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F582F9">
      <w:pPr>
        <w:rPr>
          <w:rFonts w:eastAsia="华文中宋"/>
          <w:color w:val="000000" w:themeColor="text1"/>
          <w:sz w:val="36"/>
          <w:szCs w:val="36"/>
          <w14:textFill>
            <w14:solidFill>
              <w14:schemeClr w14:val="tx1"/>
            </w14:solidFill>
          </w14:textFill>
        </w:rPr>
      </w:pPr>
    </w:p>
    <w:p w14:paraId="7DAE8350">
      <w:pPr>
        <w:rPr>
          <w:rFonts w:eastAsia="华文中宋"/>
          <w:color w:val="000000" w:themeColor="text1"/>
          <w:sz w:val="36"/>
          <w:szCs w:val="36"/>
          <w14:textFill>
            <w14:solidFill>
              <w14:schemeClr w14:val="tx1"/>
            </w14:solidFill>
          </w14:textFill>
        </w:rPr>
      </w:pPr>
    </w:p>
    <w:p w14:paraId="2AF093D1">
      <w:pPr>
        <w:rPr>
          <w:rFonts w:eastAsia="华文中宋"/>
          <w:color w:val="000000" w:themeColor="text1"/>
          <w:sz w:val="36"/>
          <w:szCs w:val="36"/>
          <w14:textFill>
            <w14:solidFill>
              <w14:schemeClr w14:val="tx1"/>
            </w14:solidFill>
          </w14:textFill>
        </w:rPr>
      </w:pPr>
    </w:p>
    <w:p w14:paraId="6A638739">
      <w:pPr>
        <w:rPr>
          <w:rFonts w:eastAsia="华文中宋"/>
          <w:color w:val="000000" w:themeColor="text1"/>
          <w:sz w:val="36"/>
          <w:szCs w:val="36"/>
          <w14:textFill>
            <w14:solidFill>
              <w14:schemeClr w14:val="tx1"/>
            </w14:solidFill>
          </w14:textFill>
        </w:rPr>
      </w:pPr>
    </w:p>
    <w:p w14:paraId="07478ECC">
      <w:pPr>
        <w:rPr>
          <w:rFonts w:eastAsia="华文中宋"/>
          <w:color w:val="000000" w:themeColor="text1"/>
          <w:sz w:val="36"/>
          <w:szCs w:val="36"/>
          <w14:textFill>
            <w14:solidFill>
              <w14:schemeClr w14:val="tx1"/>
            </w14:solidFill>
          </w14:textFill>
        </w:rPr>
      </w:pPr>
    </w:p>
    <w:p w14:paraId="5F3DC99A">
      <w:pPr>
        <w:rPr>
          <w:rFonts w:eastAsia="华文中宋"/>
          <w:color w:val="000000" w:themeColor="text1"/>
          <w:sz w:val="36"/>
          <w:szCs w:val="36"/>
          <w14:textFill>
            <w14:solidFill>
              <w14:schemeClr w14:val="tx1"/>
            </w14:solidFill>
          </w14:textFill>
        </w:rPr>
      </w:pPr>
    </w:p>
    <w:p w14:paraId="606BFA33">
      <w:pPr>
        <w:adjustRightInd w:val="0"/>
        <w:snapToGrid w:val="0"/>
        <w:jc w:val="center"/>
        <w:outlineLvl w:val="0"/>
        <w:rPr>
          <w:rFonts w:eastAsia="华文中宋"/>
          <w:color w:val="000000" w:themeColor="text1"/>
          <w:sz w:val="72"/>
          <w:szCs w:val="72"/>
          <w14:textFill>
            <w14:solidFill>
              <w14:schemeClr w14:val="tx1"/>
            </w14:solidFill>
          </w14:textFill>
        </w:rPr>
      </w:pPr>
      <w:bookmarkStart w:id="0" w:name="_Toc71641908"/>
      <w:bookmarkStart w:id="1" w:name="_Toc69297234"/>
      <w:bookmarkStart w:id="2" w:name="_Toc111"/>
      <w:r>
        <w:rPr>
          <w:rFonts w:eastAsia="华文中宋"/>
          <w:color w:val="000000" w:themeColor="text1"/>
          <w:sz w:val="72"/>
          <w:szCs w:val="72"/>
          <w14:textFill>
            <w14:solidFill>
              <w14:schemeClr w14:val="tx1"/>
            </w14:solidFill>
          </w14:textFill>
        </w:rPr>
        <w:t>建设项目环境影响报告表</w:t>
      </w:r>
      <w:bookmarkEnd w:id="0"/>
      <w:bookmarkEnd w:id="1"/>
      <w:bookmarkEnd w:id="2"/>
    </w:p>
    <w:p w14:paraId="296A6DE4">
      <w:pPr>
        <w:adjustRightInd w:val="0"/>
        <w:snapToGrid w:val="0"/>
        <w:spacing w:before="192" w:beforeLines="80"/>
        <w:jc w:val="center"/>
        <w:rPr>
          <w:rFonts w:eastAsia="华文中宋"/>
          <w:color w:val="000000" w:themeColor="text1"/>
          <w:sz w:val="36"/>
          <w:szCs w:val="36"/>
          <w14:textFill>
            <w14:solidFill>
              <w14:schemeClr w14:val="tx1"/>
            </w14:solidFill>
          </w14:textFill>
        </w:rPr>
      </w:pPr>
      <w:r>
        <w:rPr>
          <w:rFonts w:eastAsia="华文中宋"/>
          <w:color w:val="000000" w:themeColor="text1"/>
          <w:sz w:val="36"/>
          <w:szCs w:val="36"/>
          <w14:textFill>
            <w14:solidFill>
              <w14:schemeClr w14:val="tx1"/>
            </w14:solidFill>
          </w14:textFill>
        </w:rPr>
        <w:t>（污染影响类</w:t>
      </w:r>
      <w:r>
        <w:rPr>
          <w:rFonts w:hint="eastAsia" w:eastAsia="华文中宋"/>
          <w:color w:val="000000" w:themeColor="text1"/>
          <w:sz w:val="36"/>
          <w:szCs w:val="36"/>
          <w14:textFill>
            <w14:solidFill>
              <w14:schemeClr w14:val="tx1"/>
            </w14:solidFill>
          </w14:textFill>
        </w:rPr>
        <w:t>·</w:t>
      </w:r>
      <w:r>
        <w:rPr>
          <w:rFonts w:hint="eastAsia" w:eastAsia="华文中宋"/>
          <w:color w:val="000000" w:themeColor="text1"/>
          <w:sz w:val="36"/>
          <w:szCs w:val="36"/>
          <w:lang w:val="en-US" w:eastAsia="zh-CN"/>
          <w14:textFill>
            <w14:solidFill>
              <w14:schemeClr w14:val="tx1"/>
            </w14:solidFill>
          </w14:textFill>
        </w:rPr>
        <w:t>报批</w:t>
      </w:r>
      <w:r>
        <w:rPr>
          <w:rFonts w:eastAsia="华文中宋"/>
          <w:color w:val="000000" w:themeColor="text1"/>
          <w:sz w:val="36"/>
          <w:szCs w:val="36"/>
          <w14:textFill>
            <w14:solidFill>
              <w14:schemeClr w14:val="tx1"/>
            </w14:solidFill>
          </w14:textFill>
        </w:rPr>
        <w:t>稿）</w:t>
      </w:r>
    </w:p>
    <w:p w14:paraId="730684DD">
      <w:pPr>
        <w:jc w:val="center"/>
        <w:rPr>
          <w:rFonts w:eastAsia="华文中宋"/>
          <w:color w:val="000000" w:themeColor="text1"/>
          <w:sz w:val="28"/>
          <w:szCs w:val="28"/>
          <w14:textFill>
            <w14:solidFill>
              <w14:schemeClr w14:val="tx1"/>
            </w14:solidFill>
          </w14:textFill>
        </w:rPr>
      </w:pPr>
    </w:p>
    <w:p w14:paraId="5C240599">
      <w:pPr>
        <w:rPr>
          <w:rFonts w:eastAsia="华文中宋"/>
          <w:color w:val="000000" w:themeColor="text1"/>
          <w:sz w:val="52"/>
          <w:szCs w:val="52"/>
          <w14:textFill>
            <w14:solidFill>
              <w14:schemeClr w14:val="tx1"/>
            </w14:solidFill>
          </w14:textFill>
        </w:rPr>
      </w:pPr>
    </w:p>
    <w:p w14:paraId="6CF7AD66">
      <w:pPr>
        <w:jc w:val="center"/>
        <w:rPr>
          <w:rFonts w:eastAsia="华文中宋"/>
          <w:color w:val="000000" w:themeColor="text1"/>
          <w:sz w:val="52"/>
          <w:szCs w:val="52"/>
          <w14:textFill>
            <w14:solidFill>
              <w14:schemeClr w14:val="tx1"/>
            </w14:solidFill>
          </w14:textFill>
        </w:rPr>
      </w:pPr>
      <w:bookmarkStart w:id="68" w:name="_GoBack"/>
      <w:bookmarkEnd w:id="68"/>
    </w:p>
    <w:p w14:paraId="74C414B1">
      <w:pPr>
        <w:jc w:val="center"/>
        <w:rPr>
          <w:rFonts w:eastAsia="华文中宋"/>
          <w:color w:val="000000" w:themeColor="text1"/>
          <w:sz w:val="44"/>
          <w:szCs w:val="44"/>
          <w14:textFill>
            <w14:solidFill>
              <w14:schemeClr w14:val="tx1"/>
            </w14:solidFill>
          </w14:textFill>
        </w:rPr>
      </w:pPr>
    </w:p>
    <w:p w14:paraId="215AC735">
      <w:pPr>
        <w:adjustRightInd w:val="0"/>
        <w:snapToGrid w:val="0"/>
        <w:spacing w:line="480" w:lineRule="auto"/>
        <w:ind w:right="-370" w:rightChars="-176"/>
        <w:jc w:val="left"/>
        <w:rPr>
          <w:rFonts w:eastAsia="华文中宋"/>
          <w:color w:val="000000" w:themeColor="text1"/>
          <w:sz w:val="36"/>
          <w:szCs w:val="36"/>
          <w:u w:val="single"/>
          <w14:textFill>
            <w14:solidFill>
              <w14:schemeClr w14:val="tx1"/>
            </w14:solidFill>
          </w14:textFill>
        </w:rPr>
      </w:pPr>
      <w:r>
        <w:rPr>
          <w:rFonts w:eastAsia="华文中宋"/>
          <w:color w:val="000000" w:themeColor="text1"/>
          <w:sz w:val="36"/>
          <w:szCs w:val="36"/>
          <w14:textFill>
            <w14:solidFill>
              <w14:schemeClr w14:val="tx1"/>
            </w14:solidFill>
          </w14:textFill>
        </w:rPr>
        <w:t>项目名称：</w:t>
      </w:r>
      <w:r>
        <w:rPr>
          <w:rFonts w:hint="eastAsia" w:eastAsia="华文中宋"/>
          <w:color w:val="000000" w:themeColor="text1"/>
          <w:sz w:val="30"/>
          <w:szCs w:val="30"/>
          <w:u w:val="single"/>
          <w14:textFill>
            <w14:solidFill>
              <w14:schemeClr w14:val="tx1"/>
            </w14:solidFill>
          </w14:textFill>
        </w:rPr>
        <w:t>江西承诚实业有限公司年产100万吨水稳拌合料二期项目</w:t>
      </w:r>
      <w:r>
        <w:rPr>
          <w:rFonts w:eastAsia="华文中宋"/>
          <w:color w:val="000000" w:themeColor="text1"/>
          <w:sz w:val="36"/>
          <w:szCs w:val="36"/>
          <w:u w:val="single"/>
          <w14:textFill>
            <w14:solidFill>
              <w14:schemeClr w14:val="tx1"/>
            </w14:solidFill>
          </w14:textFill>
        </w:rPr>
        <w:t xml:space="preserve"> </w:t>
      </w:r>
    </w:p>
    <w:p w14:paraId="32990E4D">
      <w:pPr>
        <w:adjustRightInd w:val="0"/>
        <w:snapToGrid w:val="0"/>
        <w:spacing w:line="480" w:lineRule="auto"/>
        <w:jc w:val="left"/>
        <w:rPr>
          <w:rFonts w:eastAsia="华文中宋"/>
          <w:color w:val="000000" w:themeColor="text1"/>
          <w:sz w:val="32"/>
          <w:szCs w:val="32"/>
          <w:u w:val="single"/>
          <w14:textFill>
            <w14:solidFill>
              <w14:schemeClr w14:val="tx1"/>
            </w14:solidFill>
          </w14:textFill>
        </w:rPr>
      </w:pPr>
      <w:r>
        <w:rPr>
          <w:rFonts w:eastAsia="华文中宋"/>
          <w:color w:val="000000" w:themeColor="text1"/>
          <w:sz w:val="36"/>
          <w:szCs w:val="36"/>
          <w14:textFill>
            <w14:solidFill>
              <w14:schemeClr w14:val="tx1"/>
            </w14:solidFill>
          </w14:textFill>
        </w:rPr>
        <w:t>建设单位（盖章）：</w:t>
      </w:r>
      <w:r>
        <w:rPr>
          <w:rFonts w:hint="eastAsia" w:eastAsia="华文中宋"/>
          <w:color w:val="000000" w:themeColor="text1"/>
          <w:sz w:val="36"/>
          <w:szCs w:val="36"/>
          <w:u w:val="single"/>
          <w14:textFill>
            <w14:solidFill>
              <w14:schemeClr w14:val="tx1"/>
            </w14:solidFill>
          </w14:textFill>
        </w:rPr>
        <w:t xml:space="preserve">    </w:t>
      </w:r>
      <w:r>
        <w:rPr>
          <w:rFonts w:hint="eastAsia" w:eastAsia="华文中宋"/>
          <w:color w:val="000000" w:themeColor="text1"/>
          <w:sz w:val="32"/>
          <w:szCs w:val="32"/>
          <w:u w:val="single"/>
          <w14:textFill>
            <w14:solidFill>
              <w14:schemeClr w14:val="tx1"/>
            </w14:solidFill>
          </w14:textFill>
        </w:rPr>
        <w:t>江西承诚实业有限公司</w:t>
      </w:r>
      <w:r>
        <w:rPr>
          <w:rFonts w:eastAsia="华文中宋"/>
          <w:color w:val="000000" w:themeColor="text1"/>
          <w:sz w:val="32"/>
          <w:szCs w:val="32"/>
          <w:u w:val="single"/>
          <w14:textFill>
            <w14:solidFill>
              <w14:schemeClr w14:val="tx1"/>
            </w14:solidFill>
          </w14:textFill>
        </w:rPr>
        <w:t xml:space="preserve">     </w:t>
      </w:r>
      <w:r>
        <w:rPr>
          <w:rFonts w:hint="eastAsia" w:eastAsia="华文中宋"/>
          <w:color w:val="000000" w:themeColor="text1"/>
          <w:sz w:val="32"/>
          <w:szCs w:val="32"/>
          <w:u w:val="single"/>
          <w14:textFill>
            <w14:solidFill>
              <w14:schemeClr w14:val="tx1"/>
            </w14:solidFill>
          </w14:textFill>
        </w:rPr>
        <w:t xml:space="preserve">      </w:t>
      </w:r>
    </w:p>
    <w:p w14:paraId="34C675D7">
      <w:pPr>
        <w:adjustRightInd w:val="0"/>
        <w:snapToGrid w:val="0"/>
        <w:spacing w:line="480" w:lineRule="auto"/>
        <w:jc w:val="left"/>
        <w:rPr>
          <w:rFonts w:eastAsia="华文中宋"/>
          <w:color w:val="000000" w:themeColor="text1"/>
          <w:sz w:val="36"/>
          <w:szCs w:val="36"/>
          <w:u w:val="single"/>
          <w14:textFill>
            <w14:solidFill>
              <w14:schemeClr w14:val="tx1"/>
            </w14:solidFill>
          </w14:textFill>
        </w:rPr>
      </w:pPr>
      <w:r>
        <w:rPr>
          <w:rFonts w:eastAsia="华文中宋"/>
          <w:color w:val="000000" w:themeColor="text1"/>
          <w:sz w:val="36"/>
          <w:szCs w:val="36"/>
          <w14:textFill>
            <w14:solidFill>
              <w14:schemeClr w14:val="tx1"/>
            </w14:solidFill>
          </w14:textFill>
        </w:rPr>
        <w:t>编制日期：</w:t>
      </w:r>
      <w:r>
        <w:rPr>
          <w:rFonts w:eastAsia="华文中宋"/>
          <w:color w:val="000000" w:themeColor="text1"/>
          <w:sz w:val="36"/>
          <w:szCs w:val="36"/>
          <w:u w:val="single"/>
          <w14:textFill>
            <w14:solidFill>
              <w14:schemeClr w14:val="tx1"/>
            </w14:solidFill>
          </w14:textFill>
        </w:rPr>
        <w:t xml:space="preserve">        </w:t>
      </w:r>
      <w:r>
        <w:rPr>
          <w:rFonts w:hint="eastAsia" w:eastAsia="华文中宋"/>
          <w:color w:val="000000" w:themeColor="text1"/>
          <w:sz w:val="36"/>
          <w:szCs w:val="36"/>
          <w:u w:val="single"/>
          <w14:textFill>
            <w14:solidFill>
              <w14:schemeClr w14:val="tx1"/>
            </w14:solidFill>
          </w14:textFill>
        </w:rPr>
        <w:t xml:space="preserve">       </w:t>
      </w:r>
      <w:r>
        <w:rPr>
          <w:rFonts w:eastAsia="华文中宋"/>
          <w:color w:val="000000" w:themeColor="text1"/>
          <w:sz w:val="32"/>
          <w:szCs w:val="32"/>
          <w:u w:val="single"/>
          <w14:textFill>
            <w14:solidFill>
              <w14:schemeClr w14:val="tx1"/>
            </w14:solidFill>
          </w14:textFill>
        </w:rPr>
        <w:t>202</w:t>
      </w:r>
      <w:r>
        <w:rPr>
          <w:rFonts w:hint="eastAsia" w:eastAsia="华文中宋"/>
          <w:color w:val="000000" w:themeColor="text1"/>
          <w:sz w:val="32"/>
          <w:szCs w:val="32"/>
          <w:u w:val="single"/>
          <w:lang w:val="en-US" w:eastAsia="zh-CN"/>
          <w14:textFill>
            <w14:solidFill>
              <w14:schemeClr w14:val="tx1"/>
            </w14:solidFill>
          </w14:textFill>
        </w:rPr>
        <w:t>6</w:t>
      </w:r>
      <w:r>
        <w:rPr>
          <w:rFonts w:eastAsia="华文中宋"/>
          <w:color w:val="000000" w:themeColor="text1"/>
          <w:sz w:val="32"/>
          <w:szCs w:val="32"/>
          <w:u w:val="single"/>
          <w14:textFill>
            <w14:solidFill>
              <w14:schemeClr w14:val="tx1"/>
            </w14:solidFill>
          </w14:textFill>
        </w:rPr>
        <w:t>年</w:t>
      </w:r>
      <w:r>
        <w:rPr>
          <w:rFonts w:hint="eastAsia" w:eastAsia="华文中宋"/>
          <w:color w:val="000000" w:themeColor="text1"/>
          <w:sz w:val="32"/>
          <w:szCs w:val="32"/>
          <w:u w:val="single"/>
          <w:lang w:val="en-US" w:eastAsia="zh-CN"/>
          <w14:textFill>
            <w14:solidFill>
              <w14:schemeClr w14:val="tx1"/>
            </w14:solidFill>
          </w14:textFill>
        </w:rPr>
        <w:t>5</w:t>
      </w:r>
      <w:r>
        <w:rPr>
          <w:rFonts w:eastAsia="华文中宋"/>
          <w:color w:val="000000" w:themeColor="text1"/>
          <w:sz w:val="32"/>
          <w:szCs w:val="32"/>
          <w:u w:val="single"/>
          <w14:textFill>
            <w14:solidFill>
              <w14:schemeClr w14:val="tx1"/>
            </w14:solidFill>
          </w14:textFill>
        </w:rPr>
        <w:t xml:space="preserve">月               </w:t>
      </w:r>
      <w:bookmarkStart w:id="3" w:name="_Hlk57884087"/>
      <w:r>
        <w:rPr>
          <w:rFonts w:hint="eastAsia" w:eastAsia="华文中宋"/>
          <w:color w:val="000000" w:themeColor="text1"/>
          <w:sz w:val="32"/>
          <w:szCs w:val="32"/>
          <w:u w:val="single"/>
          <w14:textFill>
            <w14:solidFill>
              <w14:schemeClr w14:val="tx1"/>
            </w14:solidFill>
          </w14:textFill>
        </w:rPr>
        <w:t xml:space="preserve">  </w:t>
      </w:r>
    </w:p>
    <w:p w14:paraId="3CA39917">
      <w:pPr>
        <w:adjustRightInd w:val="0"/>
        <w:snapToGrid w:val="0"/>
        <w:spacing w:line="288" w:lineRule="auto"/>
        <w:ind w:firstLine="1040"/>
        <w:rPr>
          <w:rFonts w:eastAsia="华文中宋"/>
          <w:color w:val="000000" w:themeColor="text1"/>
          <w:sz w:val="36"/>
          <w:szCs w:val="36"/>
          <w:u w:val="single"/>
          <w14:textFill>
            <w14:solidFill>
              <w14:schemeClr w14:val="tx1"/>
            </w14:solidFill>
          </w14:textFill>
        </w:rPr>
      </w:pPr>
    </w:p>
    <w:p w14:paraId="6B34D4FB">
      <w:pPr>
        <w:adjustRightInd w:val="0"/>
        <w:snapToGrid w:val="0"/>
        <w:spacing w:line="288" w:lineRule="auto"/>
        <w:ind w:firstLine="1040"/>
        <w:rPr>
          <w:rFonts w:eastAsia="华文中宋"/>
          <w:color w:val="000000" w:themeColor="text1"/>
          <w:sz w:val="36"/>
          <w:szCs w:val="36"/>
          <w:u w:val="single"/>
          <w14:textFill>
            <w14:solidFill>
              <w14:schemeClr w14:val="tx1"/>
            </w14:solidFill>
          </w14:textFill>
        </w:rPr>
      </w:pPr>
    </w:p>
    <w:p w14:paraId="64DB81EA">
      <w:pPr>
        <w:adjustRightInd w:val="0"/>
        <w:snapToGrid w:val="0"/>
        <w:spacing w:line="288" w:lineRule="auto"/>
        <w:ind w:firstLine="1040"/>
        <w:rPr>
          <w:rFonts w:eastAsia="华文中宋"/>
          <w:color w:val="000000" w:themeColor="text1"/>
          <w:sz w:val="36"/>
          <w:szCs w:val="36"/>
          <w:u w:val="single"/>
          <w14:textFill>
            <w14:solidFill>
              <w14:schemeClr w14:val="tx1"/>
            </w14:solidFill>
          </w14:textFill>
        </w:rPr>
      </w:pPr>
    </w:p>
    <w:p w14:paraId="5413DB07">
      <w:pPr>
        <w:adjustRightInd w:val="0"/>
        <w:snapToGrid w:val="0"/>
        <w:spacing w:line="288" w:lineRule="auto"/>
        <w:rPr>
          <w:rFonts w:eastAsia="华文中宋"/>
          <w:color w:val="000000" w:themeColor="text1"/>
          <w:sz w:val="36"/>
          <w:szCs w:val="36"/>
          <w:u w:val="single"/>
          <w14:textFill>
            <w14:solidFill>
              <w14:schemeClr w14:val="tx1"/>
            </w14:solidFill>
          </w14:textFill>
        </w:rPr>
      </w:pPr>
    </w:p>
    <w:bookmarkEnd w:id="3"/>
    <w:p w14:paraId="18C68066">
      <w:pPr>
        <w:adjustRightInd w:val="0"/>
        <w:snapToGrid w:val="0"/>
        <w:spacing w:line="288" w:lineRule="auto"/>
        <w:jc w:val="center"/>
        <w:rPr>
          <w:rFonts w:eastAsia="华文中宋"/>
          <w:color w:val="000000" w:themeColor="text1"/>
          <w:sz w:val="36"/>
          <w:szCs w:val="36"/>
          <w14:textFill>
            <w14:solidFill>
              <w14:schemeClr w14:val="tx1"/>
            </w14:solidFill>
          </w14:textFill>
        </w:rPr>
      </w:pPr>
    </w:p>
    <w:p w14:paraId="12388F44">
      <w:pPr>
        <w:adjustRightInd w:val="0"/>
        <w:snapToGrid w:val="0"/>
        <w:spacing w:line="288" w:lineRule="auto"/>
        <w:jc w:val="center"/>
        <w:rPr>
          <w:rFonts w:eastAsia="华文中宋"/>
          <w:color w:val="000000" w:themeColor="text1"/>
          <w:sz w:val="36"/>
          <w:szCs w:val="36"/>
          <w14:textFill>
            <w14:solidFill>
              <w14:schemeClr w14:val="tx1"/>
            </w14:solidFill>
          </w14:textFill>
        </w:rPr>
      </w:pPr>
    </w:p>
    <w:p w14:paraId="1EDCDEC0">
      <w:pPr>
        <w:adjustRightInd w:val="0"/>
        <w:snapToGrid w:val="0"/>
        <w:spacing w:line="288" w:lineRule="auto"/>
        <w:jc w:val="center"/>
        <w:rPr>
          <w:rFonts w:eastAsia="华文中宋"/>
          <w:color w:val="000000" w:themeColor="text1"/>
          <w:sz w:val="36"/>
          <w:szCs w:val="36"/>
          <w14:textFill>
            <w14:solidFill>
              <w14:schemeClr w14:val="tx1"/>
            </w14:solidFill>
          </w14:textFill>
        </w:rPr>
      </w:pPr>
      <w:r>
        <w:rPr>
          <w:rFonts w:eastAsia="华文中宋"/>
          <w:color w:val="000000" w:themeColor="text1"/>
          <w:sz w:val="36"/>
          <w:szCs w:val="36"/>
          <w14:textFill>
            <w14:solidFill>
              <w14:schemeClr w14:val="tx1"/>
            </w14:solidFill>
          </w14:textFill>
        </w:rPr>
        <w:t>中华人民共和国生态环境部制</w:t>
      </w:r>
    </w:p>
    <w:p w14:paraId="1A5A2453">
      <w:pPr>
        <w:widowControl/>
        <w:jc w:val="left"/>
        <w:rPr>
          <w:rFonts w:eastAsia="华文中宋"/>
          <w:color w:val="000000" w:themeColor="text1"/>
          <w:sz w:val="36"/>
          <w:szCs w:val="36"/>
          <w14:textFill>
            <w14:solidFill>
              <w14:schemeClr w14:val="tx1"/>
            </w14:solidFill>
          </w14:textFill>
        </w:rPr>
      </w:pPr>
      <w:r>
        <w:rPr>
          <w:rFonts w:eastAsia="华文中宋"/>
          <w:color w:val="000000" w:themeColor="text1"/>
          <w:sz w:val="36"/>
          <w:szCs w:val="36"/>
          <w14:textFill>
            <w14:solidFill>
              <w14:schemeClr w14:val="tx1"/>
            </w14:solidFill>
          </w14:textFill>
        </w:rPr>
        <w:br w:type="page"/>
      </w:r>
    </w:p>
    <w:p w14:paraId="0F303CF4">
      <w:pPr>
        <w:widowControl/>
        <w:jc w:val="left"/>
        <w:rPr>
          <w:rFonts w:eastAsia="华文中宋"/>
          <w:color w:val="000000" w:themeColor="text1"/>
          <w:sz w:val="36"/>
          <w:szCs w:val="36"/>
          <w14:textFill>
            <w14:solidFill>
              <w14:schemeClr w14:val="tx1"/>
            </w14:solidFill>
          </w14:textFill>
        </w:rPr>
      </w:pPr>
      <w:r>
        <w:rPr>
          <w:rFonts w:eastAsia="华文中宋"/>
          <w:color w:val="000000" w:themeColor="text1"/>
          <w:sz w:val="36"/>
          <w:szCs w:val="36"/>
          <w14:textFill>
            <w14:solidFill>
              <w14:schemeClr w14:val="tx1"/>
            </w14:solidFill>
          </w14:textFill>
        </w:rPr>
        <w:br w:type="page"/>
      </w:r>
    </w:p>
    <w:p w14:paraId="489F03FA">
      <w:pPr>
        <w:adjustRightInd w:val="0"/>
        <w:snapToGrid w:val="0"/>
        <w:spacing w:line="288" w:lineRule="auto"/>
        <w:jc w:val="center"/>
        <w:rPr>
          <w:color w:val="000000" w:themeColor="text1"/>
          <w14:textFill>
            <w14:solidFill>
              <w14:schemeClr w14:val="tx1"/>
            </w14:solidFill>
          </w14:textFill>
        </w:rPr>
      </w:pPr>
    </w:p>
    <w:p w14:paraId="17687586">
      <w:pPr>
        <w:adjustRightInd w:val="0"/>
        <w:snapToGrid w:val="0"/>
        <w:spacing w:line="288" w:lineRule="auto"/>
        <w:jc w:val="center"/>
        <w:rPr>
          <w:rFonts w:eastAsia="华文中宋"/>
          <w:color w:val="000000" w:themeColor="text1"/>
          <w:sz w:val="44"/>
          <w:szCs w:val="44"/>
          <w14:textFill>
            <w14:solidFill>
              <w14:schemeClr w14:val="tx1"/>
            </w14:solidFill>
          </w14:textFill>
        </w:rPr>
      </w:pPr>
      <w:r>
        <w:rPr>
          <w:rFonts w:eastAsia="华文中宋"/>
          <w:color w:val="000000" w:themeColor="text1"/>
          <w:sz w:val="44"/>
          <w:szCs w:val="44"/>
          <w14:textFill>
            <w14:solidFill>
              <w14:schemeClr w14:val="tx1"/>
            </w14:solidFill>
          </w14:textFill>
        </w:rPr>
        <w:t>目  录</w:t>
      </w:r>
    </w:p>
    <w:p w14:paraId="1D715825">
      <w:pPr>
        <w:pStyle w:val="30"/>
        <w:tabs>
          <w:tab w:val="right" w:leader="dot" w:pos="8844"/>
        </w:tabs>
        <w:rPr>
          <w:rFonts w:eastAsia="华文中宋"/>
          <w:color w:val="000000" w:themeColor="text1"/>
          <w:sz w:val="32"/>
          <w:szCs w:val="32"/>
          <w14:textFill>
            <w14:solidFill>
              <w14:schemeClr w14:val="tx1"/>
            </w14:solidFill>
          </w14:textFill>
        </w:rPr>
      </w:pPr>
    </w:p>
    <w:p w14:paraId="204F3B57">
      <w:pPr>
        <w:pStyle w:val="30"/>
        <w:tabs>
          <w:tab w:val="right" w:leader="dot" w:pos="8844"/>
        </w:tabs>
        <w:rPr>
          <w:rFonts w:eastAsia="华文中宋"/>
          <w:color w:val="000000" w:themeColor="text1"/>
          <w:sz w:val="30"/>
          <w:szCs w:val="30"/>
          <w14:textFill>
            <w14:solidFill>
              <w14:schemeClr w14:val="tx1"/>
            </w14:solidFill>
          </w14:textFill>
        </w:rPr>
      </w:pPr>
      <w:r>
        <w:rPr>
          <w:rFonts w:eastAsia="华文中宋"/>
          <w:color w:val="000000" w:themeColor="text1"/>
          <w:sz w:val="32"/>
          <w:szCs w:val="32"/>
          <w14:textFill>
            <w14:solidFill>
              <w14:schemeClr w14:val="tx1"/>
            </w14:solidFill>
          </w14:textFill>
        </w:rPr>
        <w:fldChar w:fldCharType="begin"/>
      </w:r>
      <w:r>
        <w:rPr>
          <w:rFonts w:eastAsia="华文中宋"/>
          <w:color w:val="000000" w:themeColor="text1"/>
          <w:sz w:val="32"/>
          <w:szCs w:val="32"/>
          <w14:textFill>
            <w14:solidFill>
              <w14:schemeClr w14:val="tx1"/>
            </w14:solidFill>
          </w14:textFill>
        </w:rPr>
        <w:instrText xml:space="preserve"> TOC \o "1-1" \h \z \u </w:instrText>
      </w:r>
      <w:r>
        <w:rPr>
          <w:rFonts w:eastAsia="华文中宋"/>
          <w:color w:val="000000" w:themeColor="text1"/>
          <w:sz w:val="32"/>
          <w:szCs w:val="32"/>
          <w14:textFill>
            <w14:solidFill>
              <w14:schemeClr w14:val="tx1"/>
            </w14:solidFill>
          </w14:textFill>
        </w:rPr>
        <w:fldChar w:fldCharType="separate"/>
      </w:r>
    </w:p>
    <w:p w14:paraId="1AA43F6A">
      <w:pPr>
        <w:pStyle w:val="30"/>
        <w:tabs>
          <w:tab w:val="right" w:leader="dot" w:pos="8844"/>
        </w:tabs>
        <w:spacing w:line="480" w:lineRule="auto"/>
        <w:rPr>
          <w:rFonts w:eastAsia="华文中宋"/>
          <w:color w:val="000000" w:themeColor="text1"/>
          <w:sz w:val="30"/>
          <w:szCs w:val="30"/>
          <w14:textFill>
            <w14:solidFill>
              <w14:schemeClr w14:val="tx1"/>
            </w14:solidFill>
          </w14:textFill>
        </w:rPr>
      </w:pPr>
      <w:r>
        <w:fldChar w:fldCharType="begin"/>
      </w:r>
      <w:r>
        <w:instrText xml:space="preserve"> HYPERLINK \l "_Toc14757" </w:instrText>
      </w:r>
      <w:r>
        <w:fldChar w:fldCharType="separate"/>
      </w:r>
      <w:r>
        <w:rPr>
          <w:rFonts w:eastAsia="华文中宋"/>
          <w:snapToGrid w:val="0"/>
          <w:color w:val="000000" w:themeColor="text1"/>
          <w:sz w:val="30"/>
          <w:szCs w:val="30"/>
          <w14:textFill>
            <w14:solidFill>
              <w14:schemeClr w14:val="tx1"/>
            </w14:solidFill>
          </w14:textFill>
        </w:rPr>
        <w:t>一、建设项目基本情况</w:t>
      </w:r>
      <w:r>
        <w:rPr>
          <w:rFonts w:eastAsia="华文中宋"/>
          <w:color w:val="000000" w:themeColor="text1"/>
          <w:sz w:val="30"/>
          <w:szCs w:val="30"/>
          <w14:textFill>
            <w14:solidFill>
              <w14:schemeClr w14:val="tx1"/>
            </w14:solidFill>
          </w14:textFill>
        </w:rPr>
        <w:tab/>
      </w:r>
      <w:r>
        <w:rPr>
          <w:rFonts w:eastAsia="华文中宋"/>
          <w:color w:val="000000" w:themeColor="text1"/>
          <w:sz w:val="30"/>
          <w:szCs w:val="30"/>
          <w14:textFill>
            <w14:solidFill>
              <w14:schemeClr w14:val="tx1"/>
            </w14:solidFill>
          </w14:textFill>
        </w:rPr>
        <w:fldChar w:fldCharType="begin"/>
      </w:r>
      <w:r>
        <w:rPr>
          <w:rFonts w:eastAsia="华文中宋"/>
          <w:color w:val="000000" w:themeColor="text1"/>
          <w:sz w:val="30"/>
          <w:szCs w:val="30"/>
          <w14:textFill>
            <w14:solidFill>
              <w14:schemeClr w14:val="tx1"/>
            </w14:solidFill>
          </w14:textFill>
        </w:rPr>
        <w:instrText xml:space="preserve"> PAGEREF _Toc14757 </w:instrText>
      </w:r>
      <w:r>
        <w:rPr>
          <w:rFonts w:eastAsia="华文中宋"/>
          <w:color w:val="000000" w:themeColor="text1"/>
          <w:sz w:val="30"/>
          <w:szCs w:val="30"/>
          <w14:textFill>
            <w14:solidFill>
              <w14:schemeClr w14:val="tx1"/>
            </w14:solidFill>
          </w14:textFill>
        </w:rPr>
        <w:fldChar w:fldCharType="separate"/>
      </w:r>
      <w:r>
        <w:rPr>
          <w:rFonts w:eastAsia="华文中宋"/>
          <w:color w:val="000000" w:themeColor="text1"/>
          <w:sz w:val="30"/>
          <w:szCs w:val="30"/>
          <w14:textFill>
            <w14:solidFill>
              <w14:schemeClr w14:val="tx1"/>
            </w14:solidFill>
          </w14:textFill>
        </w:rPr>
        <w:t>1</w:t>
      </w:r>
      <w:r>
        <w:rPr>
          <w:rFonts w:eastAsia="华文中宋"/>
          <w:color w:val="000000" w:themeColor="text1"/>
          <w:sz w:val="30"/>
          <w:szCs w:val="30"/>
          <w14:textFill>
            <w14:solidFill>
              <w14:schemeClr w14:val="tx1"/>
            </w14:solidFill>
          </w14:textFill>
        </w:rPr>
        <w:fldChar w:fldCharType="end"/>
      </w:r>
      <w:r>
        <w:rPr>
          <w:rFonts w:eastAsia="华文中宋"/>
          <w:color w:val="000000" w:themeColor="text1"/>
          <w:sz w:val="30"/>
          <w:szCs w:val="30"/>
          <w14:textFill>
            <w14:solidFill>
              <w14:schemeClr w14:val="tx1"/>
            </w14:solidFill>
          </w14:textFill>
        </w:rPr>
        <w:fldChar w:fldCharType="end"/>
      </w:r>
    </w:p>
    <w:p w14:paraId="2A2191F0">
      <w:pPr>
        <w:pStyle w:val="30"/>
        <w:tabs>
          <w:tab w:val="right" w:leader="dot" w:pos="8844"/>
        </w:tabs>
        <w:spacing w:line="480" w:lineRule="auto"/>
        <w:rPr>
          <w:rFonts w:eastAsia="华文中宋"/>
          <w:color w:val="000000" w:themeColor="text1"/>
          <w:sz w:val="30"/>
          <w:szCs w:val="30"/>
          <w14:textFill>
            <w14:solidFill>
              <w14:schemeClr w14:val="tx1"/>
            </w14:solidFill>
          </w14:textFill>
        </w:rPr>
      </w:pPr>
      <w:r>
        <w:fldChar w:fldCharType="begin"/>
      </w:r>
      <w:r>
        <w:instrText xml:space="preserve"> HYPERLINK \l "_Toc16992" </w:instrText>
      </w:r>
      <w:r>
        <w:fldChar w:fldCharType="separate"/>
      </w:r>
      <w:r>
        <w:rPr>
          <w:rFonts w:eastAsia="华文中宋"/>
          <w:snapToGrid w:val="0"/>
          <w:color w:val="000000" w:themeColor="text1"/>
          <w:sz w:val="30"/>
          <w:szCs w:val="30"/>
          <w14:textFill>
            <w14:solidFill>
              <w14:schemeClr w14:val="tx1"/>
            </w14:solidFill>
          </w14:textFill>
        </w:rPr>
        <w:t>二、建设项目工程分析</w:t>
      </w:r>
      <w:r>
        <w:rPr>
          <w:rFonts w:eastAsia="华文中宋"/>
          <w:color w:val="000000" w:themeColor="text1"/>
          <w:sz w:val="30"/>
          <w:szCs w:val="30"/>
          <w14:textFill>
            <w14:solidFill>
              <w14:schemeClr w14:val="tx1"/>
            </w14:solidFill>
          </w14:textFill>
        </w:rPr>
        <w:tab/>
      </w:r>
      <w:r>
        <w:rPr>
          <w:rFonts w:eastAsia="华文中宋"/>
          <w:color w:val="000000" w:themeColor="text1"/>
          <w:sz w:val="30"/>
          <w:szCs w:val="30"/>
          <w14:textFill>
            <w14:solidFill>
              <w14:schemeClr w14:val="tx1"/>
            </w14:solidFill>
          </w14:textFill>
        </w:rPr>
        <w:fldChar w:fldCharType="begin"/>
      </w:r>
      <w:r>
        <w:rPr>
          <w:rFonts w:eastAsia="华文中宋"/>
          <w:color w:val="000000" w:themeColor="text1"/>
          <w:sz w:val="30"/>
          <w:szCs w:val="30"/>
          <w14:textFill>
            <w14:solidFill>
              <w14:schemeClr w14:val="tx1"/>
            </w14:solidFill>
          </w14:textFill>
        </w:rPr>
        <w:instrText xml:space="preserve"> PAGEREF _Toc16992 </w:instrText>
      </w:r>
      <w:r>
        <w:rPr>
          <w:rFonts w:eastAsia="华文中宋"/>
          <w:color w:val="000000" w:themeColor="text1"/>
          <w:sz w:val="30"/>
          <w:szCs w:val="30"/>
          <w14:textFill>
            <w14:solidFill>
              <w14:schemeClr w14:val="tx1"/>
            </w14:solidFill>
          </w14:textFill>
        </w:rPr>
        <w:fldChar w:fldCharType="separate"/>
      </w:r>
      <w:r>
        <w:rPr>
          <w:rFonts w:eastAsia="华文中宋"/>
          <w:color w:val="000000" w:themeColor="text1"/>
          <w:sz w:val="30"/>
          <w:szCs w:val="30"/>
          <w14:textFill>
            <w14:solidFill>
              <w14:schemeClr w14:val="tx1"/>
            </w14:solidFill>
          </w14:textFill>
        </w:rPr>
        <w:t>19</w:t>
      </w:r>
      <w:r>
        <w:rPr>
          <w:rFonts w:eastAsia="华文中宋"/>
          <w:color w:val="000000" w:themeColor="text1"/>
          <w:sz w:val="30"/>
          <w:szCs w:val="30"/>
          <w14:textFill>
            <w14:solidFill>
              <w14:schemeClr w14:val="tx1"/>
            </w14:solidFill>
          </w14:textFill>
        </w:rPr>
        <w:fldChar w:fldCharType="end"/>
      </w:r>
      <w:r>
        <w:rPr>
          <w:rFonts w:eastAsia="华文中宋"/>
          <w:color w:val="000000" w:themeColor="text1"/>
          <w:sz w:val="30"/>
          <w:szCs w:val="30"/>
          <w14:textFill>
            <w14:solidFill>
              <w14:schemeClr w14:val="tx1"/>
            </w14:solidFill>
          </w14:textFill>
        </w:rPr>
        <w:fldChar w:fldCharType="end"/>
      </w:r>
    </w:p>
    <w:p w14:paraId="64E86227">
      <w:pPr>
        <w:pStyle w:val="30"/>
        <w:tabs>
          <w:tab w:val="right" w:leader="dot" w:pos="8844"/>
        </w:tabs>
        <w:spacing w:line="480" w:lineRule="auto"/>
        <w:rPr>
          <w:rFonts w:eastAsia="华文中宋"/>
          <w:color w:val="000000" w:themeColor="text1"/>
          <w:sz w:val="30"/>
          <w:szCs w:val="30"/>
          <w14:textFill>
            <w14:solidFill>
              <w14:schemeClr w14:val="tx1"/>
            </w14:solidFill>
          </w14:textFill>
        </w:rPr>
      </w:pPr>
      <w:r>
        <w:fldChar w:fldCharType="begin"/>
      </w:r>
      <w:r>
        <w:instrText xml:space="preserve"> HYPERLINK \l "_Toc28871" </w:instrText>
      </w:r>
      <w:r>
        <w:fldChar w:fldCharType="separate"/>
      </w:r>
      <w:r>
        <w:rPr>
          <w:rFonts w:eastAsia="华文中宋"/>
          <w:snapToGrid w:val="0"/>
          <w:color w:val="000000" w:themeColor="text1"/>
          <w:sz w:val="30"/>
          <w:szCs w:val="30"/>
          <w14:textFill>
            <w14:solidFill>
              <w14:schemeClr w14:val="tx1"/>
            </w14:solidFill>
          </w14:textFill>
        </w:rPr>
        <w:t>三、区域环境质量</w:t>
      </w:r>
      <w:bookmarkStart w:id="4" w:name="_Hlt96975884"/>
      <w:r>
        <w:rPr>
          <w:rFonts w:eastAsia="华文中宋"/>
          <w:snapToGrid w:val="0"/>
          <w:color w:val="000000" w:themeColor="text1"/>
          <w:sz w:val="30"/>
          <w:szCs w:val="30"/>
          <w14:textFill>
            <w14:solidFill>
              <w14:schemeClr w14:val="tx1"/>
            </w14:solidFill>
          </w14:textFill>
        </w:rPr>
        <w:t>现</w:t>
      </w:r>
      <w:bookmarkEnd w:id="4"/>
      <w:r>
        <w:rPr>
          <w:rFonts w:eastAsia="华文中宋"/>
          <w:snapToGrid w:val="0"/>
          <w:color w:val="000000" w:themeColor="text1"/>
          <w:sz w:val="30"/>
          <w:szCs w:val="30"/>
          <w14:textFill>
            <w14:solidFill>
              <w14:schemeClr w14:val="tx1"/>
            </w14:solidFill>
          </w14:textFill>
        </w:rPr>
        <w:t>状、环境保护目标及评价标准</w:t>
      </w:r>
      <w:r>
        <w:rPr>
          <w:rFonts w:eastAsia="华文中宋"/>
          <w:color w:val="000000" w:themeColor="text1"/>
          <w:sz w:val="30"/>
          <w:szCs w:val="30"/>
          <w14:textFill>
            <w14:solidFill>
              <w14:schemeClr w14:val="tx1"/>
            </w14:solidFill>
          </w14:textFill>
        </w:rPr>
        <w:tab/>
      </w:r>
      <w:r>
        <w:rPr>
          <w:rFonts w:eastAsia="华文中宋"/>
          <w:color w:val="000000" w:themeColor="text1"/>
          <w:sz w:val="30"/>
          <w:szCs w:val="30"/>
          <w14:textFill>
            <w14:solidFill>
              <w14:schemeClr w14:val="tx1"/>
            </w14:solidFill>
          </w14:textFill>
        </w:rPr>
        <w:fldChar w:fldCharType="begin"/>
      </w:r>
      <w:r>
        <w:rPr>
          <w:rFonts w:eastAsia="华文中宋"/>
          <w:color w:val="000000" w:themeColor="text1"/>
          <w:sz w:val="30"/>
          <w:szCs w:val="30"/>
          <w14:textFill>
            <w14:solidFill>
              <w14:schemeClr w14:val="tx1"/>
            </w14:solidFill>
          </w14:textFill>
        </w:rPr>
        <w:instrText xml:space="preserve"> PAGEREF _Toc28871 </w:instrText>
      </w:r>
      <w:r>
        <w:rPr>
          <w:rFonts w:eastAsia="华文中宋"/>
          <w:color w:val="000000" w:themeColor="text1"/>
          <w:sz w:val="30"/>
          <w:szCs w:val="30"/>
          <w14:textFill>
            <w14:solidFill>
              <w14:schemeClr w14:val="tx1"/>
            </w14:solidFill>
          </w14:textFill>
        </w:rPr>
        <w:fldChar w:fldCharType="separate"/>
      </w:r>
      <w:r>
        <w:rPr>
          <w:rFonts w:eastAsia="华文中宋"/>
          <w:color w:val="000000" w:themeColor="text1"/>
          <w:sz w:val="30"/>
          <w:szCs w:val="30"/>
          <w14:textFill>
            <w14:solidFill>
              <w14:schemeClr w14:val="tx1"/>
            </w14:solidFill>
          </w14:textFill>
        </w:rPr>
        <w:t>38</w:t>
      </w:r>
      <w:r>
        <w:rPr>
          <w:rFonts w:eastAsia="华文中宋"/>
          <w:color w:val="000000" w:themeColor="text1"/>
          <w:sz w:val="30"/>
          <w:szCs w:val="30"/>
          <w14:textFill>
            <w14:solidFill>
              <w14:schemeClr w14:val="tx1"/>
            </w14:solidFill>
          </w14:textFill>
        </w:rPr>
        <w:fldChar w:fldCharType="end"/>
      </w:r>
      <w:r>
        <w:rPr>
          <w:rFonts w:eastAsia="华文中宋"/>
          <w:color w:val="000000" w:themeColor="text1"/>
          <w:sz w:val="30"/>
          <w:szCs w:val="30"/>
          <w14:textFill>
            <w14:solidFill>
              <w14:schemeClr w14:val="tx1"/>
            </w14:solidFill>
          </w14:textFill>
        </w:rPr>
        <w:fldChar w:fldCharType="end"/>
      </w:r>
    </w:p>
    <w:p w14:paraId="420A5453">
      <w:pPr>
        <w:pStyle w:val="30"/>
        <w:tabs>
          <w:tab w:val="right" w:leader="dot" w:pos="8844"/>
        </w:tabs>
        <w:spacing w:line="480" w:lineRule="auto"/>
        <w:rPr>
          <w:rFonts w:eastAsia="华文中宋"/>
          <w:color w:val="000000" w:themeColor="text1"/>
          <w:sz w:val="30"/>
          <w:szCs w:val="30"/>
          <w14:textFill>
            <w14:solidFill>
              <w14:schemeClr w14:val="tx1"/>
            </w14:solidFill>
          </w14:textFill>
        </w:rPr>
      </w:pPr>
      <w:r>
        <w:fldChar w:fldCharType="begin"/>
      </w:r>
      <w:r>
        <w:instrText xml:space="preserve"> HYPERLINK \l "_Toc6847" </w:instrText>
      </w:r>
      <w:r>
        <w:fldChar w:fldCharType="separate"/>
      </w:r>
      <w:r>
        <w:rPr>
          <w:rFonts w:eastAsia="华文中宋"/>
          <w:snapToGrid w:val="0"/>
          <w:color w:val="000000" w:themeColor="text1"/>
          <w:sz w:val="30"/>
          <w:szCs w:val="30"/>
          <w14:textFill>
            <w14:solidFill>
              <w14:schemeClr w14:val="tx1"/>
            </w14:solidFill>
          </w14:textFill>
        </w:rPr>
        <w:t>四、主要环境影响和保护措施</w:t>
      </w:r>
      <w:r>
        <w:rPr>
          <w:rFonts w:eastAsia="华文中宋"/>
          <w:color w:val="000000" w:themeColor="text1"/>
          <w:sz w:val="30"/>
          <w:szCs w:val="30"/>
          <w14:textFill>
            <w14:solidFill>
              <w14:schemeClr w14:val="tx1"/>
            </w14:solidFill>
          </w14:textFill>
        </w:rPr>
        <w:tab/>
      </w:r>
      <w:r>
        <w:rPr>
          <w:rFonts w:eastAsia="华文中宋"/>
          <w:color w:val="000000" w:themeColor="text1"/>
          <w:sz w:val="30"/>
          <w:szCs w:val="30"/>
          <w14:textFill>
            <w14:solidFill>
              <w14:schemeClr w14:val="tx1"/>
            </w14:solidFill>
          </w14:textFill>
        </w:rPr>
        <w:fldChar w:fldCharType="begin"/>
      </w:r>
      <w:r>
        <w:rPr>
          <w:rFonts w:eastAsia="华文中宋"/>
          <w:color w:val="000000" w:themeColor="text1"/>
          <w:sz w:val="30"/>
          <w:szCs w:val="30"/>
          <w14:textFill>
            <w14:solidFill>
              <w14:schemeClr w14:val="tx1"/>
            </w14:solidFill>
          </w14:textFill>
        </w:rPr>
        <w:instrText xml:space="preserve"> PAGEREF _Toc6847 </w:instrText>
      </w:r>
      <w:r>
        <w:rPr>
          <w:rFonts w:eastAsia="华文中宋"/>
          <w:color w:val="000000" w:themeColor="text1"/>
          <w:sz w:val="30"/>
          <w:szCs w:val="30"/>
          <w14:textFill>
            <w14:solidFill>
              <w14:schemeClr w14:val="tx1"/>
            </w14:solidFill>
          </w14:textFill>
        </w:rPr>
        <w:fldChar w:fldCharType="separate"/>
      </w:r>
      <w:r>
        <w:rPr>
          <w:rFonts w:eastAsia="华文中宋"/>
          <w:color w:val="000000" w:themeColor="text1"/>
          <w:sz w:val="30"/>
          <w:szCs w:val="30"/>
          <w14:textFill>
            <w14:solidFill>
              <w14:schemeClr w14:val="tx1"/>
            </w14:solidFill>
          </w14:textFill>
        </w:rPr>
        <w:t>43</w:t>
      </w:r>
      <w:r>
        <w:rPr>
          <w:rFonts w:eastAsia="华文中宋"/>
          <w:color w:val="000000" w:themeColor="text1"/>
          <w:sz w:val="30"/>
          <w:szCs w:val="30"/>
          <w14:textFill>
            <w14:solidFill>
              <w14:schemeClr w14:val="tx1"/>
            </w14:solidFill>
          </w14:textFill>
        </w:rPr>
        <w:fldChar w:fldCharType="end"/>
      </w:r>
      <w:r>
        <w:rPr>
          <w:rFonts w:eastAsia="华文中宋"/>
          <w:color w:val="000000" w:themeColor="text1"/>
          <w:sz w:val="30"/>
          <w:szCs w:val="30"/>
          <w14:textFill>
            <w14:solidFill>
              <w14:schemeClr w14:val="tx1"/>
            </w14:solidFill>
          </w14:textFill>
        </w:rPr>
        <w:fldChar w:fldCharType="end"/>
      </w:r>
    </w:p>
    <w:p w14:paraId="2151CC0C">
      <w:pPr>
        <w:pStyle w:val="30"/>
        <w:tabs>
          <w:tab w:val="right" w:leader="dot" w:pos="8844"/>
        </w:tabs>
        <w:spacing w:line="480" w:lineRule="auto"/>
        <w:rPr>
          <w:rFonts w:eastAsia="华文中宋"/>
          <w:color w:val="000000" w:themeColor="text1"/>
          <w:sz w:val="30"/>
          <w:szCs w:val="30"/>
          <w14:textFill>
            <w14:solidFill>
              <w14:schemeClr w14:val="tx1"/>
            </w14:solidFill>
          </w14:textFill>
        </w:rPr>
      </w:pPr>
      <w:r>
        <w:fldChar w:fldCharType="begin"/>
      </w:r>
      <w:r>
        <w:instrText xml:space="preserve"> HYPERLINK \l "_Toc4229" </w:instrText>
      </w:r>
      <w:r>
        <w:fldChar w:fldCharType="separate"/>
      </w:r>
      <w:r>
        <w:rPr>
          <w:rFonts w:eastAsia="华文中宋"/>
          <w:snapToGrid w:val="0"/>
          <w:color w:val="000000" w:themeColor="text1"/>
          <w:sz w:val="30"/>
          <w:szCs w:val="30"/>
          <w14:textFill>
            <w14:solidFill>
              <w14:schemeClr w14:val="tx1"/>
            </w14:solidFill>
          </w14:textFill>
        </w:rPr>
        <w:t>五、环境保护措施监督检查清单</w:t>
      </w:r>
      <w:r>
        <w:rPr>
          <w:rFonts w:eastAsia="华文中宋"/>
          <w:color w:val="000000" w:themeColor="text1"/>
          <w:sz w:val="30"/>
          <w:szCs w:val="30"/>
          <w14:textFill>
            <w14:solidFill>
              <w14:schemeClr w14:val="tx1"/>
            </w14:solidFill>
          </w14:textFill>
        </w:rPr>
        <w:tab/>
      </w:r>
      <w:r>
        <w:rPr>
          <w:rFonts w:eastAsia="华文中宋"/>
          <w:color w:val="000000" w:themeColor="text1"/>
          <w:sz w:val="30"/>
          <w:szCs w:val="30"/>
          <w14:textFill>
            <w14:solidFill>
              <w14:schemeClr w14:val="tx1"/>
            </w14:solidFill>
          </w14:textFill>
        </w:rPr>
        <w:fldChar w:fldCharType="begin"/>
      </w:r>
      <w:r>
        <w:rPr>
          <w:rFonts w:eastAsia="华文中宋"/>
          <w:color w:val="000000" w:themeColor="text1"/>
          <w:sz w:val="30"/>
          <w:szCs w:val="30"/>
          <w14:textFill>
            <w14:solidFill>
              <w14:schemeClr w14:val="tx1"/>
            </w14:solidFill>
          </w14:textFill>
        </w:rPr>
        <w:instrText xml:space="preserve"> PAGEREF _Toc4229 </w:instrText>
      </w:r>
      <w:r>
        <w:rPr>
          <w:rFonts w:eastAsia="华文中宋"/>
          <w:color w:val="000000" w:themeColor="text1"/>
          <w:sz w:val="30"/>
          <w:szCs w:val="30"/>
          <w14:textFill>
            <w14:solidFill>
              <w14:schemeClr w14:val="tx1"/>
            </w14:solidFill>
          </w14:textFill>
        </w:rPr>
        <w:fldChar w:fldCharType="separate"/>
      </w:r>
      <w:r>
        <w:rPr>
          <w:rFonts w:eastAsia="华文中宋"/>
          <w:color w:val="000000" w:themeColor="text1"/>
          <w:sz w:val="30"/>
          <w:szCs w:val="30"/>
          <w14:textFill>
            <w14:solidFill>
              <w14:schemeClr w14:val="tx1"/>
            </w14:solidFill>
          </w14:textFill>
        </w:rPr>
        <w:t>78</w:t>
      </w:r>
      <w:r>
        <w:rPr>
          <w:rFonts w:eastAsia="华文中宋"/>
          <w:color w:val="000000" w:themeColor="text1"/>
          <w:sz w:val="30"/>
          <w:szCs w:val="30"/>
          <w14:textFill>
            <w14:solidFill>
              <w14:schemeClr w14:val="tx1"/>
            </w14:solidFill>
          </w14:textFill>
        </w:rPr>
        <w:fldChar w:fldCharType="end"/>
      </w:r>
      <w:r>
        <w:rPr>
          <w:rFonts w:eastAsia="华文中宋"/>
          <w:color w:val="000000" w:themeColor="text1"/>
          <w:sz w:val="30"/>
          <w:szCs w:val="30"/>
          <w14:textFill>
            <w14:solidFill>
              <w14:schemeClr w14:val="tx1"/>
            </w14:solidFill>
          </w14:textFill>
        </w:rPr>
        <w:fldChar w:fldCharType="end"/>
      </w:r>
    </w:p>
    <w:p w14:paraId="5A0D9E4E">
      <w:pPr>
        <w:pStyle w:val="30"/>
        <w:tabs>
          <w:tab w:val="right" w:leader="dot" w:pos="8844"/>
        </w:tabs>
        <w:spacing w:line="480" w:lineRule="auto"/>
        <w:rPr>
          <w:rFonts w:eastAsia="华文中宋"/>
          <w:color w:val="000000" w:themeColor="text1"/>
          <w:sz w:val="30"/>
          <w:szCs w:val="30"/>
          <w14:textFill>
            <w14:solidFill>
              <w14:schemeClr w14:val="tx1"/>
            </w14:solidFill>
          </w14:textFill>
        </w:rPr>
      </w:pPr>
      <w:r>
        <w:fldChar w:fldCharType="begin"/>
      </w:r>
      <w:r>
        <w:instrText xml:space="preserve"> HYPERLINK \l "_Toc23188" </w:instrText>
      </w:r>
      <w:r>
        <w:fldChar w:fldCharType="separate"/>
      </w:r>
      <w:r>
        <w:rPr>
          <w:rFonts w:eastAsia="华文中宋"/>
          <w:snapToGrid w:val="0"/>
          <w:color w:val="000000" w:themeColor="text1"/>
          <w:sz w:val="30"/>
          <w:szCs w:val="30"/>
          <w14:textFill>
            <w14:solidFill>
              <w14:schemeClr w14:val="tx1"/>
            </w14:solidFill>
          </w14:textFill>
        </w:rPr>
        <w:t>六、结论</w:t>
      </w:r>
      <w:r>
        <w:rPr>
          <w:rFonts w:eastAsia="华文中宋"/>
          <w:color w:val="000000" w:themeColor="text1"/>
          <w:sz w:val="30"/>
          <w:szCs w:val="30"/>
          <w14:textFill>
            <w14:solidFill>
              <w14:schemeClr w14:val="tx1"/>
            </w14:solidFill>
          </w14:textFill>
        </w:rPr>
        <w:tab/>
      </w:r>
      <w:r>
        <w:rPr>
          <w:rFonts w:eastAsia="华文中宋"/>
          <w:color w:val="000000" w:themeColor="text1"/>
          <w:sz w:val="30"/>
          <w:szCs w:val="30"/>
          <w14:textFill>
            <w14:solidFill>
              <w14:schemeClr w14:val="tx1"/>
            </w14:solidFill>
          </w14:textFill>
        </w:rPr>
        <w:fldChar w:fldCharType="begin"/>
      </w:r>
      <w:r>
        <w:rPr>
          <w:rFonts w:eastAsia="华文中宋"/>
          <w:color w:val="000000" w:themeColor="text1"/>
          <w:sz w:val="30"/>
          <w:szCs w:val="30"/>
          <w14:textFill>
            <w14:solidFill>
              <w14:schemeClr w14:val="tx1"/>
            </w14:solidFill>
          </w14:textFill>
        </w:rPr>
        <w:instrText xml:space="preserve"> PAGEREF _Toc23188 </w:instrText>
      </w:r>
      <w:r>
        <w:rPr>
          <w:rFonts w:eastAsia="华文中宋"/>
          <w:color w:val="000000" w:themeColor="text1"/>
          <w:sz w:val="30"/>
          <w:szCs w:val="30"/>
          <w14:textFill>
            <w14:solidFill>
              <w14:schemeClr w14:val="tx1"/>
            </w14:solidFill>
          </w14:textFill>
        </w:rPr>
        <w:fldChar w:fldCharType="separate"/>
      </w:r>
      <w:r>
        <w:rPr>
          <w:rFonts w:eastAsia="华文中宋"/>
          <w:color w:val="000000" w:themeColor="text1"/>
          <w:sz w:val="30"/>
          <w:szCs w:val="30"/>
          <w14:textFill>
            <w14:solidFill>
              <w14:schemeClr w14:val="tx1"/>
            </w14:solidFill>
          </w14:textFill>
        </w:rPr>
        <w:t>82</w:t>
      </w:r>
      <w:r>
        <w:rPr>
          <w:rFonts w:eastAsia="华文中宋"/>
          <w:color w:val="000000" w:themeColor="text1"/>
          <w:sz w:val="30"/>
          <w:szCs w:val="30"/>
          <w14:textFill>
            <w14:solidFill>
              <w14:schemeClr w14:val="tx1"/>
            </w14:solidFill>
          </w14:textFill>
        </w:rPr>
        <w:fldChar w:fldCharType="end"/>
      </w:r>
      <w:r>
        <w:rPr>
          <w:rFonts w:eastAsia="华文中宋"/>
          <w:color w:val="000000" w:themeColor="text1"/>
          <w:sz w:val="30"/>
          <w:szCs w:val="30"/>
          <w14:textFill>
            <w14:solidFill>
              <w14:schemeClr w14:val="tx1"/>
            </w14:solidFill>
          </w14:textFill>
        </w:rPr>
        <w:fldChar w:fldCharType="end"/>
      </w:r>
    </w:p>
    <w:p w14:paraId="577F0E25">
      <w:pPr>
        <w:pStyle w:val="30"/>
        <w:tabs>
          <w:tab w:val="right" w:leader="dot" w:pos="8844"/>
        </w:tabs>
        <w:spacing w:line="480" w:lineRule="auto"/>
        <w:rPr>
          <w:rFonts w:eastAsia="华文中宋"/>
          <w:color w:val="000000" w:themeColor="text1"/>
          <w14:textFill>
            <w14:solidFill>
              <w14:schemeClr w14:val="tx1"/>
            </w14:solidFill>
          </w14:textFill>
        </w:rPr>
      </w:pPr>
      <w:r>
        <w:fldChar w:fldCharType="begin"/>
      </w:r>
      <w:r>
        <w:instrText xml:space="preserve"> HYPERLINK \l "_Toc9965" </w:instrText>
      </w:r>
      <w:r>
        <w:fldChar w:fldCharType="separate"/>
      </w:r>
      <w:r>
        <w:rPr>
          <w:rFonts w:eastAsia="华文中宋"/>
          <w:snapToGrid w:val="0"/>
          <w:color w:val="000000" w:themeColor="text1"/>
          <w:sz w:val="30"/>
          <w:szCs w:val="30"/>
          <w14:textFill>
            <w14:solidFill>
              <w14:schemeClr w14:val="tx1"/>
            </w14:solidFill>
          </w14:textFill>
        </w:rPr>
        <w:t>附表一   建设项目污染物排放量汇总表</w:t>
      </w:r>
      <w:r>
        <w:rPr>
          <w:rFonts w:eastAsia="华文中宋"/>
          <w:color w:val="000000" w:themeColor="text1"/>
          <w:sz w:val="30"/>
          <w:szCs w:val="30"/>
          <w14:textFill>
            <w14:solidFill>
              <w14:schemeClr w14:val="tx1"/>
            </w14:solidFill>
          </w14:textFill>
        </w:rPr>
        <w:tab/>
      </w:r>
      <w:bookmarkStart w:id="5" w:name="_Hlt96974043"/>
      <w:bookmarkStart w:id="6" w:name="_Hlt96974044"/>
      <w:r>
        <w:rPr>
          <w:rFonts w:eastAsia="华文中宋"/>
          <w:color w:val="000000" w:themeColor="text1"/>
          <w:sz w:val="30"/>
          <w:szCs w:val="30"/>
          <w14:textFill>
            <w14:solidFill>
              <w14:schemeClr w14:val="tx1"/>
            </w14:solidFill>
          </w14:textFill>
        </w:rPr>
        <w:fldChar w:fldCharType="begin"/>
      </w:r>
      <w:r>
        <w:rPr>
          <w:rFonts w:eastAsia="华文中宋"/>
          <w:color w:val="000000" w:themeColor="text1"/>
          <w:sz w:val="30"/>
          <w:szCs w:val="30"/>
          <w14:textFill>
            <w14:solidFill>
              <w14:schemeClr w14:val="tx1"/>
            </w14:solidFill>
          </w14:textFill>
        </w:rPr>
        <w:instrText xml:space="preserve"> PAGEREF _Toc9965 </w:instrText>
      </w:r>
      <w:r>
        <w:rPr>
          <w:rFonts w:eastAsia="华文中宋"/>
          <w:color w:val="000000" w:themeColor="text1"/>
          <w:sz w:val="30"/>
          <w:szCs w:val="30"/>
          <w14:textFill>
            <w14:solidFill>
              <w14:schemeClr w14:val="tx1"/>
            </w14:solidFill>
          </w14:textFill>
        </w:rPr>
        <w:fldChar w:fldCharType="separate"/>
      </w:r>
      <w:r>
        <w:rPr>
          <w:rFonts w:eastAsia="华文中宋"/>
          <w:color w:val="000000" w:themeColor="text1"/>
          <w:sz w:val="30"/>
          <w:szCs w:val="30"/>
          <w14:textFill>
            <w14:solidFill>
              <w14:schemeClr w14:val="tx1"/>
            </w14:solidFill>
          </w14:textFill>
        </w:rPr>
        <w:t>83</w:t>
      </w:r>
      <w:r>
        <w:rPr>
          <w:rFonts w:eastAsia="华文中宋"/>
          <w:color w:val="000000" w:themeColor="text1"/>
          <w:sz w:val="30"/>
          <w:szCs w:val="30"/>
          <w14:textFill>
            <w14:solidFill>
              <w14:schemeClr w14:val="tx1"/>
            </w14:solidFill>
          </w14:textFill>
        </w:rPr>
        <w:fldChar w:fldCharType="end"/>
      </w:r>
      <w:bookmarkEnd w:id="5"/>
      <w:bookmarkEnd w:id="6"/>
      <w:r>
        <w:rPr>
          <w:rFonts w:eastAsia="华文中宋"/>
          <w:color w:val="000000" w:themeColor="text1"/>
          <w:sz w:val="30"/>
          <w:szCs w:val="30"/>
          <w14:textFill>
            <w14:solidFill>
              <w14:schemeClr w14:val="tx1"/>
            </w14:solidFill>
          </w14:textFill>
        </w:rPr>
        <w:fldChar w:fldCharType="end"/>
      </w:r>
    </w:p>
    <w:p w14:paraId="404E8C4A">
      <w:pPr>
        <w:adjustRightInd w:val="0"/>
        <w:snapToGrid w:val="0"/>
        <w:spacing w:line="288" w:lineRule="auto"/>
        <w:ind w:firstLine="1040"/>
        <w:rPr>
          <w:rFonts w:eastAsia="黑体"/>
          <w:color w:val="000000" w:themeColor="text1"/>
          <w:sz w:val="32"/>
          <w:szCs w:val="32"/>
          <w14:textFill>
            <w14:solidFill>
              <w14:schemeClr w14:val="tx1"/>
            </w14:solidFill>
          </w14:textFill>
        </w:rPr>
      </w:pPr>
      <w:r>
        <w:rPr>
          <w:rFonts w:eastAsia="华文中宋"/>
          <w:color w:val="000000" w:themeColor="text1"/>
          <w:sz w:val="32"/>
          <w:szCs w:val="32"/>
          <w14:textFill>
            <w14:solidFill>
              <w14:schemeClr w14:val="tx1"/>
            </w14:solidFill>
          </w14:textFill>
        </w:rPr>
        <w:fldChar w:fldCharType="end"/>
      </w:r>
    </w:p>
    <w:p w14:paraId="2068CD79">
      <w:pPr>
        <w:adjustRightInd w:val="0"/>
        <w:snapToGrid w:val="0"/>
        <w:spacing w:line="288" w:lineRule="auto"/>
        <w:ind w:firstLine="1040"/>
        <w:rPr>
          <w:rFonts w:eastAsia="黑体"/>
          <w:color w:val="000000" w:themeColor="text1"/>
          <w:sz w:val="32"/>
          <w:szCs w:val="32"/>
          <w14:textFill>
            <w14:solidFill>
              <w14:schemeClr w14:val="tx1"/>
            </w14:solidFill>
          </w14:textFill>
        </w:rPr>
      </w:pPr>
    </w:p>
    <w:p w14:paraId="6F9F6595">
      <w:pPr>
        <w:adjustRightInd w:val="0"/>
        <w:snapToGrid w:val="0"/>
        <w:spacing w:line="288" w:lineRule="auto"/>
        <w:ind w:firstLine="1040"/>
        <w:rPr>
          <w:rFonts w:eastAsia="黑体"/>
          <w:color w:val="000000" w:themeColor="text1"/>
          <w:sz w:val="32"/>
          <w:szCs w:val="32"/>
          <w14:textFill>
            <w14:solidFill>
              <w14:schemeClr w14:val="tx1"/>
            </w14:solidFill>
          </w14:textFill>
        </w:rPr>
      </w:pPr>
    </w:p>
    <w:p w14:paraId="51090209">
      <w:pPr>
        <w:adjustRightInd w:val="0"/>
        <w:snapToGrid w:val="0"/>
        <w:spacing w:line="288" w:lineRule="auto"/>
        <w:ind w:firstLine="1040"/>
        <w:rPr>
          <w:rFonts w:eastAsia="黑体"/>
          <w:color w:val="000000" w:themeColor="text1"/>
          <w:sz w:val="32"/>
          <w:szCs w:val="32"/>
          <w14:textFill>
            <w14:solidFill>
              <w14:schemeClr w14:val="tx1"/>
            </w14:solidFill>
          </w14:textFill>
        </w:rPr>
      </w:pPr>
    </w:p>
    <w:p w14:paraId="619FE550">
      <w:pPr>
        <w:adjustRightInd w:val="0"/>
        <w:snapToGrid w:val="0"/>
        <w:spacing w:line="288" w:lineRule="auto"/>
        <w:ind w:firstLine="1040"/>
        <w:rPr>
          <w:rFonts w:eastAsia="黑体"/>
          <w:color w:val="000000" w:themeColor="text1"/>
          <w:sz w:val="32"/>
          <w:szCs w:val="32"/>
          <w14:textFill>
            <w14:solidFill>
              <w14:schemeClr w14:val="tx1"/>
            </w14:solidFill>
          </w14:textFill>
        </w:rPr>
      </w:pPr>
    </w:p>
    <w:p w14:paraId="4E2D2A4B">
      <w:pPr>
        <w:adjustRightInd w:val="0"/>
        <w:snapToGrid w:val="0"/>
        <w:spacing w:line="288" w:lineRule="auto"/>
        <w:ind w:firstLine="1040"/>
        <w:rPr>
          <w:rFonts w:eastAsia="黑体"/>
          <w:color w:val="000000" w:themeColor="text1"/>
          <w:sz w:val="32"/>
          <w:szCs w:val="32"/>
          <w14:textFill>
            <w14:solidFill>
              <w14:schemeClr w14:val="tx1"/>
            </w14:solidFill>
          </w14:textFill>
        </w:rPr>
      </w:pPr>
    </w:p>
    <w:p w14:paraId="35BC5F3B">
      <w:pPr>
        <w:adjustRightInd w:val="0"/>
        <w:snapToGrid w:val="0"/>
        <w:spacing w:line="288" w:lineRule="auto"/>
        <w:ind w:firstLine="1040"/>
        <w:rPr>
          <w:rFonts w:eastAsia="黑体"/>
          <w:color w:val="000000" w:themeColor="text1"/>
          <w:sz w:val="32"/>
          <w:szCs w:val="32"/>
          <w14:textFill>
            <w14:solidFill>
              <w14:schemeClr w14:val="tx1"/>
            </w14:solidFill>
          </w14:textFill>
        </w:rPr>
      </w:pPr>
    </w:p>
    <w:p w14:paraId="169E2810">
      <w:pPr>
        <w:adjustRightInd w:val="0"/>
        <w:snapToGrid w:val="0"/>
        <w:spacing w:line="288" w:lineRule="auto"/>
        <w:ind w:firstLine="1040"/>
        <w:rPr>
          <w:rFonts w:eastAsia="黑体"/>
          <w:color w:val="000000" w:themeColor="text1"/>
          <w:sz w:val="32"/>
          <w:szCs w:val="32"/>
          <w14:textFill>
            <w14:solidFill>
              <w14:schemeClr w14:val="tx1"/>
            </w14:solidFill>
          </w14:textFill>
        </w:rPr>
      </w:pPr>
    </w:p>
    <w:p w14:paraId="4C73A82E">
      <w:pPr>
        <w:adjustRightInd w:val="0"/>
        <w:snapToGrid w:val="0"/>
        <w:spacing w:line="288" w:lineRule="auto"/>
        <w:ind w:firstLine="1040"/>
        <w:rPr>
          <w:rFonts w:eastAsia="黑体"/>
          <w:color w:val="000000" w:themeColor="text1"/>
          <w:sz w:val="32"/>
          <w:szCs w:val="32"/>
          <w14:textFill>
            <w14:solidFill>
              <w14:schemeClr w14:val="tx1"/>
            </w14:solidFill>
          </w14:textFill>
        </w:rPr>
      </w:pPr>
    </w:p>
    <w:p w14:paraId="0C07D9A9">
      <w:pPr>
        <w:adjustRightInd w:val="0"/>
        <w:snapToGrid w:val="0"/>
        <w:spacing w:line="288" w:lineRule="auto"/>
        <w:ind w:firstLine="1040"/>
        <w:rPr>
          <w:rFonts w:eastAsia="黑体"/>
          <w:color w:val="000000" w:themeColor="text1"/>
          <w:sz w:val="32"/>
          <w:szCs w:val="32"/>
          <w14:textFill>
            <w14:solidFill>
              <w14:schemeClr w14:val="tx1"/>
            </w14:solidFill>
          </w14:textFill>
        </w:rPr>
      </w:pPr>
    </w:p>
    <w:p w14:paraId="2435DFEB">
      <w:pPr>
        <w:adjustRightInd w:val="0"/>
        <w:snapToGrid w:val="0"/>
        <w:spacing w:line="288" w:lineRule="auto"/>
        <w:ind w:firstLine="1040"/>
        <w:rPr>
          <w:rFonts w:eastAsia="黑体"/>
          <w:color w:val="000000" w:themeColor="text1"/>
          <w:sz w:val="32"/>
          <w:szCs w:val="32"/>
          <w14:textFill>
            <w14:solidFill>
              <w14:schemeClr w14:val="tx1"/>
            </w14:solidFill>
          </w14:textFill>
        </w:rPr>
      </w:pPr>
    </w:p>
    <w:p w14:paraId="41DC04B3">
      <w:pPr>
        <w:widowControl/>
        <w:jc w:val="left"/>
        <w:rPr>
          <w:rFonts w:eastAsia="黑体"/>
          <w:color w:val="000000" w:themeColor="text1"/>
          <w:sz w:val="32"/>
          <w:szCs w:val="32"/>
          <w14:textFill>
            <w14:solidFill>
              <w14:schemeClr w14:val="tx1"/>
            </w14:solidFill>
          </w14:textFill>
        </w:rPr>
      </w:pPr>
      <w:r>
        <w:rPr>
          <w:rFonts w:eastAsia="黑体"/>
          <w:color w:val="000000" w:themeColor="text1"/>
          <w:sz w:val="32"/>
          <w:szCs w:val="32"/>
          <w14:textFill>
            <w14:solidFill>
              <w14:schemeClr w14:val="tx1"/>
            </w14:solidFill>
          </w14:textFill>
        </w:rPr>
        <w:br w:type="page"/>
      </w:r>
    </w:p>
    <w:p w14:paraId="30AD2810">
      <w:pPr>
        <w:adjustRightInd w:val="0"/>
        <w:snapToGrid w:val="0"/>
        <w:spacing w:line="288" w:lineRule="auto"/>
        <w:ind w:firstLine="1040"/>
        <w:rPr>
          <w:rFonts w:eastAsia="黑体"/>
          <w:color w:val="000000" w:themeColor="text1"/>
          <w:sz w:val="32"/>
          <w:szCs w:val="32"/>
          <w14:textFill>
            <w14:solidFill>
              <w14:schemeClr w14:val="tx1"/>
            </w14:solidFill>
          </w14:textFill>
        </w:rPr>
      </w:pPr>
    </w:p>
    <w:p w14:paraId="7DE6A9E7">
      <w:pPr>
        <w:widowControl/>
        <w:jc w:val="left"/>
        <w:rPr>
          <w:rFonts w:eastAsia="黑体"/>
          <w:color w:val="000000" w:themeColor="text1"/>
          <w:sz w:val="32"/>
          <w:szCs w:val="32"/>
          <w14:textFill>
            <w14:solidFill>
              <w14:schemeClr w14:val="tx1"/>
            </w14:solidFill>
          </w14:textFill>
        </w:rPr>
      </w:pPr>
      <w:r>
        <w:rPr>
          <w:rFonts w:eastAsia="黑体"/>
          <w:color w:val="000000" w:themeColor="text1"/>
          <w:sz w:val="32"/>
          <w:szCs w:val="32"/>
          <w14:textFill>
            <w14:solidFill>
              <w14:schemeClr w14:val="tx1"/>
            </w14:solidFill>
          </w14:textFill>
        </w:rPr>
        <w:br w:type="page"/>
      </w:r>
    </w:p>
    <w:p w14:paraId="1510F6AF">
      <w:pPr>
        <w:adjustRightInd w:val="0"/>
        <w:snapToGrid w:val="0"/>
        <w:spacing w:line="288" w:lineRule="auto"/>
        <w:ind w:firstLine="1040"/>
        <w:rPr>
          <w:rFonts w:eastAsia="黑体"/>
          <w:color w:val="000000" w:themeColor="text1"/>
          <w:sz w:val="32"/>
          <w:szCs w:val="32"/>
          <w14:textFill>
            <w14:solidFill>
              <w14:schemeClr w14:val="tx1"/>
            </w14:solidFill>
          </w14:textFill>
        </w:rPr>
      </w:pPr>
    </w:p>
    <w:p w14:paraId="46D4637A">
      <w:pPr>
        <w:pStyle w:val="19"/>
        <w:numPr>
          <w:ilvl w:val="0"/>
          <w:numId w:val="0"/>
        </w:numPr>
        <w:ind w:left="840"/>
        <w:rPr>
          <w:color w:val="000000" w:themeColor="text1"/>
          <w14:textFill>
            <w14:solidFill>
              <w14:schemeClr w14:val="tx1"/>
            </w14:solidFill>
          </w14:textFill>
        </w:rPr>
      </w:pPr>
    </w:p>
    <w:p w14:paraId="5CF9193C">
      <w:pPr>
        <w:widowControl/>
        <w:adjustRightInd w:val="0"/>
        <w:snapToGrid w:val="0"/>
        <w:spacing w:line="360" w:lineRule="auto"/>
        <w:rPr>
          <w:color w:val="000000" w:themeColor="text1"/>
          <w:sz w:val="24"/>
          <w14:textFill>
            <w14:solidFill>
              <w14:schemeClr w14:val="tx1"/>
            </w14:solidFill>
          </w14:textFill>
        </w:rPr>
      </w:pPr>
      <w:r>
        <w:rPr>
          <w:b/>
          <w:bCs/>
          <w:color w:val="000000" w:themeColor="text1"/>
          <w:sz w:val="24"/>
          <w14:textFill>
            <w14:solidFill>
              <w14:schemeClr w14:val="tx1"/>
            </w14:solidFill>
          </w14:textFill>
        </w:rPr>
        <w:t>附图：</w:t>
      </w:r>
    </w:p>
    <w:p w14:paraId="5B49EB70">
      <w:pPr>
        <w:widowControl/>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 xml:space="preserve">附图一 </w:t>
      </w:r>
      <w:r>
        <w:rPr>
          <w:rFonts w:hint="eastAsia"/>
          <w:color w:val="000000" w:themeColor="text1"/>
          <w:sz w:val="24"/>
          <w14:textFill>
            <w14:solidFill>
              <w14:schemeClr w14:val="tx1"/>
            </w14:solidFill>
          </w14:textFill>
        </w:rPr>
        <w:t>建设项目地理位置图</w:t>
      </w:r>
    </w:p>
    <w:p w14:paraId="3DD9FCF5">
      <w:pPr>
        <w:widowControl/>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 xml:space="preserve">附图二 </w:t>
      </w:r>
      <w:r>
        <w:rPr>
          <w:rFonts w:hint="eastAsia"/>
          <w:color w:val="000000" w:themeColor="text1"/>
          <w:sz w:val="24"/>
          <w14:textFill>
            <w14:solidFill>
              <w14:schemeClr w14:val="tx1"/>
            </w14:solidFill>
          </w14:textFill>
        </w:rPr>
        <w:t>建设项目500m评价范围及周边关系图</w:t>
      </w:r>
    </w:p>
    <w:p w14:paraId="6ECA119A">
      <w:pPr>
        <w:widowControl/>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附图</w:t>
      </w:r>
      <w:r>
        <w:rPr>
          <w:rFonts w:hint="eastAsia"/>
          <w:color w:val="000000" w:themeColor="text1"/>
          <w:sz w:val="24"/>
          <w14:textFill>
            <w14:solidFill>
              <w14:schemeClr w14:val="tx1"/>
            </w14:solidFill>
          </w14:textFill>
        </w:rPr>
        <w:t>三</w:t>
      </w:r>
      <w:r>
        <w:rPr>
          <w:color w:val="000000" w:themeColor="text1"/>
          <w:sz w:val="24"/>
          <w14:textFill>
            <w14:solidFill>
              <w14:schemeClr w14:val="tx1"/>
            </w14:solidFill>
          </w14:textFill>
        </w:rPr>
        <w:t xml:space="preserve"> </w:t>
      </w:r>
      <w:r>
        <w:rPr>
          <w:rFonts w:hint="eastAsia"/>
          <w:color w:val="000000" w:themeColor="text1"/>
          <w:sz w:val="24"/>
          <w14:textFill>
            <w14:solidFill>
              <w14:schemeClr w14:val="tx1"/>
            </w14:solidFill>
          </w14:textFill>
        </w:rPr>
        <w:t>现有项目平面总布置及分区防渗图</w:t>
      </w:r>
    </w:p>
    <w:p w14:paraId="59122F8A">
      <w:pPr>
        <w:widowControl/>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附图</w:t>
      </w:r>
      <w:r>
        <w:rPr>
          <w:rFonts w:hint="eastAsia"/>
          <w:color w:val="000000" w:themeColor="text1"/>
          <w:sz w:val="24"/>
          <w14:textFill>
            <w14:solidFill>
              <w14:schemeClr w14:val="tx1"/>
            </w14:solidFill>
          </w14:textFill>
        </w:rPr>
        <w:t>四 本项目平面总布置、原料进场路线及分区防渗图</w:t>
      </w:r>
    </w:p>
    <w:p w14:paraId="29B69EDF">
      <w:pPr>
        <w:widowControl/>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附图</w:t>
      </w:r>
      <w:r>
        <w:rPr>
          <w:rFonts w:hint="eastAsia"/>
          <w:color w:val="000000" w:themeColor="text1"/>
          <w:sz w:val="24"/>
          <w14:textFill>
            <w14:solidFill>
              <w14:schemeClr w14:val="tx1"/>
            </w14:solidFill>
          </w14:textFill>
        </w:rPr>
        <w:t>五</w:t>
      </w:r>
      <w:r>
        <w:rPr>
          <w:color w:val="000000" w:themeColor="text1"/>
          <w:sz w:val="24"/>
          <w14:textFill>
            <w14:solidFill>
              <w14:schemeClr w14:val="tx1"/>
            </w14:solidFill>
          </w14:textFill>
        </w:rPr>
        <w:t xml:space="preserve"> </w:t>
      </w:r>
      <w:r>
        <w:rPr>
          <w:rFonts w:hint="eastAsia"/>
          <w:color w:val="000000" w:themeColor="text1"/>
          <w:sz w:val="24"/>
          <w14:textFill>
            <w14:solidFill>
              <w14:schemeClr w14:val="tx1"/>
            </w14:solidFill>
          </w14:textFill>
        </w:rPr>
        <w:t>项目所在区域地表水水环境功能区划图</w:t>
      </w:r>
    </w:p>
    <w:p w14:paraId="5DF98D67">
      <w:pPr>
        <w:widowControl/>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附图</w:t>
      </w:r>
      <w:r>
        <w:rPr>
          <w:rFonts w:hint="eastAsia"/>
          <w:color w:val="000000" w:themeColor="text1"/>
          <w:sz w:val="24"/>
          <w14:textFill>
            <w14:solidFill>
              <w14:schemeClr w14:val="tx1"/>
            </w14:solidFill>
          </w14:textFill>
        </w:rPr>
        <w:t>六</w:t>
      </w:r>
      <w:r>
        <w:rPr>
          <w:color w:val="000000" w:themeColor="text1"/>
          <w:sz w:val="24"/>
          <w14:textFill>
            <w14:solidFill>
              <w14:schemeClr w14:val="tx1"/>
            </w14:solidFill>
          </w14:textFill>
        </w:rPr>
        <w:t xml:space="preserve"> </w:t>
      </w:r>
      <w:r>
        <w:rPr>
          <w:rFonts w:hint="eastAsia"/>
          <w:color w:val="000000" w:themeColor="text1"/>
          <w:sz w:val="24"/>
          <w14:textFill>
            <w14:solidFill>
              <w14:schemeClr w14:val="tx1"/>
            </w14:solidFill>
          </w14:textFill>
        </w:rPr>
        <w:t>乐平市生态保护红线划定范围图</w:t>
      </w:r>
    </w:p>
    <w:p w14:paraId="49B291B1">
      <w:pPr>
        <w:widowControl/>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附图</w:t>
      </w:r>
      <w:r>
        <w:rPr>
          <w:rFonts w:hint="eastAsia"/>
          <w:color w:val="000000" w:themeColor="text1"/>
          <w:sz w:val="24"/>
          <w14:textFill>
            <w14:solidFill>
              <w14:schemeClr w14:val="tx1"/>
            </w14:solidFill>
          </w14:textFill>
        </w:rPr>
        <w:t>七</w:t>
      </w:r>
      <w:r>
        <w:rPr>
          <w:color w:val="000000" w:themeColor="text1"/>
          <w:sz w:val="24"/>
          <w14:textFill>
            <w14:solidFill>
              <w14:schemeClr w14:val="tx1"/>
            </w14:solidFill>
          </w14:textFill>
        </w:rPr>
        <w:t xml:space="preserve"> </w:t>
      </w:r>
      <w:r>
        <w:rPr>
          <w:rFonts w:hint="eastAsia"/>
          <w:color w:val="000000" w:themeColor="text1"/>
          <w:sz w:val="24"/>
          <w14:textFill>
            <w14:solidFill>
              <w14:schemeClr w14:val="tx1"/>
            </w14:solidFill>
          </w14:textFill>
        </w:rPr>
        <w:t>项目所在环境管控单元图</w:t>
      </w:r>
    </w:p>
    <w:p w14:paraId="628C1501">
      <w:pPr>
        <w:widowControl/>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附图</w:t>
      </w:r>
      <w:r>
        <w:rPr>
          <w:rFonts w:hint="eastAsia"/>
          <w:color w:val="000000" w:themeColor="text1"/>
          <w:sz w:val="24"/>
          <w14:textFill>
            <w14:solidFill>
              <w14:schemeClr w14:val="tx1"/>
            </w14:solidFill>
          </w14:textFill>
        </w:rPr>
        <w:t>八</w:t>
      </w:r>
      <w:r>
        <w:rPr>
          <w:color w:val="000000" w:themeColor="text1"/>
          <w:sz w:val="24"/>
          <w14:textFill>
            <w14:solidFill>
              <w14:schemeClr w14:val="tx1"/>
            </w14:solidFill>
          </w14:textFill>
        </w:rPr>
        <w:t xml:space="preserve"> </w:t>
      </w:r>
      <w:r>
        <w:rPr>
          <w:rFonts w:hint="eastAsia"/>
          <w:color w:val="000000" w:themeColor="text1"/>
          <w:sz w:val="24"/>
          <w14:textFill>
            <w14:solidFill>
              <w14:schemeClr w14:val="tx1"/>
            </w14:solidFill>
          </w14:textFill>
        </w:rPr>
        <w:t>园区土地利用规划图</w:t>
      </w:r>
    </w:p>
    <w:p w14:paraId="330EC22C">
      <w:pPr>
        <w:widowControl/>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附图</w:t>
      </w:r>
      <w:r>
        <w:rPr>
          <w:rFonts w:hint="eastAsia"/>
          <w:color w:val="000000" w:themeColor="text1"/>
          <w:sz w:val="24"/>
          <w14:textFill>
            <w14:solidFill>
              <w14:schemeClr w14:val="tx1"/>
            </w14:solidFill>
          </w14:textFill>
        </w:rPr>
        <w:t>九</w:t>
      </w:r>
      <w:r>
        <w:rPr>
          <w:color w:val="000000" w:themeColor="text1"/>
          <w:sz w:val="24"/>
          <w14:textFill>
            <w14:solidFill>
              <w14:schemeClr w14:val="tx1"/>
            </w14:solidFill>
          </w14:textFill>
        </w:rPr>
        <w:t xml:space="preserve"> </w:t>
      </w:r>
      <w:r>
        <w:rPr>
          <w:rFonts w:hint="eastAsia"/>
          <w:color w:val="000000" w:themeColor="text1"/>
          <w:sz w:val="24"/>
          <w14:textFill>
            <w14:solidFill>
              <w14:schemeClr w14:val="tx1"/>
            </w14:solidFill>
          </w14:textFill>
        </w:rPr>
        <w:t>园区规划产业布局图</w:t>
      </w:r>
    </w:p>
    <w:p w14:paraId="583BE0A8">
      <w:pPr>
        <w:widowControl/>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附图</w:t>
      </w:r>
      <w:r>
        <w:rPr>
          <w:rFonts w:hint="eastAsia"/>
          <w:color w:val="000000" w:themeColor="text1"/>
          <w:sz w:val="24"/>
          <w14:textFill>
            <w14:solidFill>
              <w14:schemeClr w14:val="tx1"/>
            </w14:solidFill>
          </w14:textFill>
        </w:rPr>
        <w:t>十</w:t>
      </w:r>
      <w:r>
        <w:rPr>
          <w:color w:val="000000" w:themeColor="text1"/>
          <w:sz w:val="24"/>
          <w14:textFill>
            <w14:solidFill>
              <w14:schemeClr w14:val="tx1"/>
            </w14:solidFill>
          </w14:textFill>
        </w:rPr>
        <w:t xml:space="preserve"> </w:t>
      </w:r>
      <w:r>
        <w:rPr>
          <w:rFonts w:hint="eastAsia"/>
          <w:color w:val="000000" w:themeColor="text1"/>
          <w:sz w:val="24"/>
          <w14:textFill>
            <w14:solidFill>
              <w14:schemeClr w14:val="tx1"/>
            </w14:solidFill>
          </w14:textFill>
        </w:rPr>
        <w:t>园区污水工程规划图</w:t>
      </w:r>
    </w:p>
    <w:p w14:paraId="0C268299">
      <w:pPr>
        <w:widowControl/>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附图</w:t>
      </w:r>
      <w:r>
        <w:rPr>
          <w:rFonts w:hint="eastAsia"/>
          <w:color w:val="000000" w:themeColor="text1"/>
          <w:sz w:val="24"/>
          <w14:textFill>
            <w14:solidFill>
              <w14:schemeClr w14:val="tx1"/>
            </w14:solidFill>
          </w14:textFill>
        </w:rPr>
        <w:t>十一</w:t>
      </w:r>
      <w:r>
        <w:rPr>
          <w:color w:val="000000" w:themeColor="text1"/>
          <w:sz w:val="24"/>
          <w14:textFill>
            <w14:solidFill>
              <w14:schemeClr w14:val="tx1"/>
            </w14:solidFill>
          </w14:textFill>
        </w:rPr>
        <w:t xml:space="preserve"> </w:t>
      </w:r>
      <w:r>
        <w:rPr>
          <w:rFonts w:hint="eastAsia"/>
          <w:color w:val="000000" w:themeColor="text1"/>
          <w:sz w:val="24"/>
          <w14:textFill>
            <w14:solidFill>
              <w14:schemeClr w14:val="tx1"/>
            </w14:solidFill>
          </w14:textFill>
        </w:rPr>
        <w:t>园区雨水工程规划图</w:t>
      </w:r>
    </w:p>
    <w:p w14:paraId="3C6CDAD5">
      <w:pPr>
        <w:widowControl/>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附图</w:t>
      </w:r>
      <w:r>
        <w:rPr>
          <w:rFonts w:hint="eastAsia"/>
          <w:color w:val="000000" w:themeColor="text1"/>
          <w:sz w:val="24"/>
          <w14:textFill>
            <w14:solidFill>
              <w14:schemeClr w14:val="tx1"/>
            </w14:solidFill>
          </w14:textFill>
        </w:rPr>
        <w:t>十二 项目卫生防护距离包络线示意图</w:t>
      </w:r>
    </w:p>
    <w:p w14:paraId="37140083">
      <w:pPr>
        <w:widowControl/>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附图</w:t>
      </w:r>
      <w:r>
        <w:rPr>
          <w:rFonts w:hint="eastAsia"/>
          <w:color w:val="000000" w:themeColor="text1"/>
          <w:sz w:val="24"/>
          <w14:textFill>
            <w14:solidFill>
              <w14:schemeClr w14:val="tx1"/>
            </w14:solidFill>
          </w14:textFill>
        </w:rPr>
        <w:t>十三 建设项目大气监测点位图</w:t>
      </w:r>
    </w:p>
    <w:p w14:paraId="156460FB">
      <w:pPr>
        <w:pStyle w:val="56"/>
        <w:rPr>
          <w:rFonts w:eastAsia="等线"/>
          <w:color w:val="000000" w:themeColor="text1"/>
          <w14:textFill>
            <w14:solidFill>
              <w14:schemeClr w14:val="tx1"/>
            </w14:solidFill>
          </w14:textFill>
        </w:rPr>
      </w:pPr>
    </w:p>
    <w:p w14:paraId="46E94A49">
      <w:pPr>
        <w:pStyle w:val="56"/>
        <w:rPr>
          <w:rFonts w:eastAsia="等线"/>
          <w:color w:val="000000" w:themeColor="text1"/>
          <w14:textFill>
            <w14:solidFill>
              <w14:schemeClr w14:val="tx1"/>
            </w14:solidFill>
          </w14:textFill>
        </w:rPr>
      </w:pPr>
    </w:p>
    <w:p w14:paraId="7ED3A8D5">
      <w:pPr>
        <w:widowControl/>
        <w:adjustRightInd w:val="0"/>
        <w:snapToGrid w:val="0"/>
        <w:spacing w:line="360" w:lineRule="auto"/>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附件：</w:t>
      </w:r>
    </w:p>
    <w:p w14:paraId="1900FD2D">
      <w:pPr>
        <w:adjustRightInd w:val="0"/>
        <w:snapToGrid w:val="0"/>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附件一 委托书</w:t>
      </w:r>
    </w:p>
    <w:p w14:paraId="55FD5C52">
      <w:pPr>
        <w:adjustRightInd w:val="0"/>
        <w:snapToGrid w:val="0"/>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附件二 备案文件</w:t>
      </w:r>
    </w:p>
    <w:p w14:paraId="73CB9FBC">
      <w:pPr>
        <w:adjustRightInd w:val="0"/>
        <w:snapToGrid w:val="0"/>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附件</w:t>
      </w:r>
      <w:r>
        <w:rPr>
          <w:rFonts w:hint="eastAsia"/>
          <w:color w:val="000000" w:themeColor="text1"/>
          <w:sz w:val="24"/>
          <w14:textFill>
            <w14:solidFill>
              <w14:schemeClr w14:val="tx1"/>
            </w14:solidFill>
          </w14:textFill>
        </w:rPr>
        <w:t>三</w:t>
      </w:r>
      <w:r>
        <w:rPr>
          <w:color w:val="000000" w:themeColor="text1"/>
          <w:sz w:val="24"/>
          <w14:textFill>
            <w14:solidFill>
              <w14:schemeClr w14:val="tx1"/>
            </w14:solidFill>
          </w14:textFill>
        </w:rPr>
        <w:t xml:space="preserve"> </w:t>
      </w:r>
      <w:r>
        <w:rPr>
          <w:rFonts w:hint="eastAsia"/>
          <w:color w:val="000000" w:themeColor="text1"/>
          <w:sz w:val="24"/>
          <w14:textFill>
            <w14:solidFill>
              <w14:schemeClr w14:val="tx1"/>
            </w14:solidFill>
          </w14:textFill>
        </w:rPr>
        <w:t>土地文件</w:t>
      </w:r>
    </w:p>
    <w:p w14:paraId="65BBE95A">
      <w:pPr>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附件四 建设用地使用权竞选入选确认书</w:t>
      </w:r>
    </w:p>
    <w:p w14:paraId="74F41DD9">
      <w:pPr>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附件五 营业执照</w:t>
      </w:r>
    </w:p>
    <w:p w14:paraId="542A0D36">
      <w:pPr>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附件六 园区规划环评审查意见的函</w:t>
      </w:r>
    </w:p>
    <w:p w14:paraId="6C49A25D">
      <w:pPr>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附件七 大气环境监测报告</w:t>
      </w:r>
    </w:p>
    <w:p w14:paraId="5FE6AA24">
      <w:pPr>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附件八 排污许可登记回执</w:t>
      </w:r>
    </w:p>
    <w:p w14:paraId="2F1A17B2">
      <w:pPr>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附件九 现有项目环评批复</w:t>
      </w:r>
    </w:p>
    <w:p w14:paraId="170BE1BB">
      <w:pPr>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附件十 现有项目竣工环保验收意见</w:t>
      </w:r>
    </w:p>
    <w:p w14:paraId="3DDF8326">
      <w:pPr>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附件十一 现场踏勘表</w:t>
      </w:r>
    </w:p>
    <w:p w14:paraId="42B715D5">
      <w:pPr>
        <w:widowControl/>
        <w:jc w:val="left"/>
        <w:rPr>
          <w:rFonts w:ascii="宋体" w:eastAsia="等线" w:cs="宋体"/>
          <w:color w:val="000000" w:themeColor="text1"/>
          <w:sz w:val="24"/>
          <w14:textFill>
            <w14:solidFill>
              <w14:schemeClr w14:val="tx1"/>
            </w14:solidFill>
          </w14:textFill>
        </w:rPr>
      </w:pPr>
      <w:r>
        <w:rPr>
          <w:rFonts w:eastAsia="等线"/>
          <w:color w:val="000000" w:themeColor="text1"/>
          <w14:textFill>
            <w14:solidFill>
              <w14:schemeClr w14:val="tx1"/>
            </w14:solidFill>
          </w14:textFill>
        </w:rPr>
        <w:br w:type="page"/>
      </w:r>
    </w:p>
    <w:p w14:paraId="04CD5BBB">
      <w:pPr>
        <w:pStyle w:val="56"/>
        <w:rPr>
          <w:rFonts w:eastAsia="等线"/>
          <w:color w:val="000000" w:themeColor="text1"/>
          <w14:textFill>
            <w14:solidFill>
              <w14:schemeClr w14:val="tx1"/>
            </w14:solidFill>
          </w14:textFill>
        </w:rPr>
      </w:pPr>
    </w:p>
    <w:p w14:paraId="5544D61F">
      <w:pPr>
        <w:pStyle w:val="19"/>
        <w:ind w:left="420" w:firstLine="420"/>
        <w:rPr>
          <w:color w:val="000000" w:themeColor="text1"/>
          <w14:textFill>
            <w14:solidFill>
              <w14:schemeClr w14:val="tx1"/>
            </w14:solidFill>
          </w14:textFill>
        </w:rPr>
        <w:sectPr>
          <w:footerReference r:id="rId3" w:type="default"/>
          <w:footerReference r:id="rId4" w:type="even"/>
          <w:pgSz w:w="11906" w:h="16838"/>
          <w:pgMar w:top="1134" w:right="1134" w:bottom="1134" w:left="1134" w:header="851" w:footer="851" w:gutter="0"/>
          <w:pgNumType w:start="3"/>
          <w:cols w:space="720" w:num="1"/>
          <w:docGrid w:linePitch="312" w:charSpace="0"/>
        </w:sectPr>
      </w:pPr>
    </w:p>
    <w:p w14:paraId="4CD73E26">
      <w:pPr>
        <w:pStyle w:val="40"/>
        <w:spacing w:before="0" w:beforeAutospacing="0" w:after="0" w:afterAutospacing="0"/>
        <w:outlineLvl w:val="0"/>
        <w:rPr>
          <w:rFonts w:ascii="Times New Roman" w:hAnsi="Times New Roman"/>
          <w:b/>
          <w:bCs/>
          <w:snapToGrid w:val="0"/>
          <w:color w:val="000000" w:themeColor="text1"/>
          <w:sz w:val="30"/>
          <w:szCs w:val="30"/>
          <w14:textFill>
            <w14:solidFill>
              <w14:schemeClr w14:val="tx1"/>
            </w14:solidFill>
          </w14:textFill>
        </w:rPr>
      </w:pPr>
      <w:bookmarkStart w:id="7" w:name="_Toc71641909"/>
      <w:bookmarkStart w:id="8" w:name="_Toc14757"/>
      <w:r>
        <w:rPr>
          <w:rFonts w:ascii="Times New Roman" w:hAnsi="Times New Roman"/>
          <w:b/>
          <w:bCs/>
          <w:snapToGrid w:val="0"/>
          <w:color w:val="000000" w:themeColor="text1"/>
          <w:sz w:val="30"/>
          <w:szCs w:val="30"/>
          <w14:textFill>
            <w14:solidFill>
              <w14:schemeClr w14:val="tx1"/>
            </w14:solidFill>
          </w14:textFill>
        </w:rPr>
        <w:t>一、建设项目基本情况</w:t>
      </w:r>
      <w:bookmarkEnd w:id="7"/>
      <w:bookmarkEnd w:id="8"/>
    </w:p>
    <w:tbl>
      <w:tblPr>
        <w:tblStyle w:val="45"/>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565"/>
        <w:gridCol w:w="2781"/>
        <w:gridCol w:w="1797"/>
        <w:gridCol w:w="3521"/>
      </w:tblGrid>
      <w:tr w14:paraId="72B14DF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497" w:hRule="atLeast"/>
          <w:jc w:val="center"/>
        </w:trPr>
        <w:tc>
          <w:tcPr>
            <w:tcW w:w="1615" w:type="dxa"/>
            <w:tcMar>
              <w:top w:w="16" w:type="dxa"/>
              <w:left w:w="16" w:type="dxa"/>
              <w:right w:w="16" w:type="dxa"/>
            </w:tcMar>
            <w:vAlign w:val="center"/>
          </w:tcPr>
          <w:p w14:paraId="78781E4E">
            <w:pPr>
              <w:pStyle w:val="173"/>
              <w:rPr>
                <w:color w:val="000000" w:themeColor="text1"/>
                <w14:textFill>
                  <w14:solidFill>
                    <w14:schemeClr w14:val="tx1"/>
                  </w14:solidFill>
                </w14:textFill>
              </w:rPr>
            </w:pPr>
            <w:r>
              <w:rPr>
                <w:color w:val="000000" w:themeColor="text1"/>
                <w14:textFill>
                  <w14:solidFill>
                    <w14:schemeClr w14:val="tx1"/>
                  </w14:solidFill>
                </w14:textFill>
              </w:rPr>
              <w:t>建设</w:t>
            </w:r>
          </w:p>
          <w:p w14:paraId="332F82C2">
            <w:pPr>
              <w:pStyle w:val="173"/>
              <w:rPr>
                <w:color w:val="000000" w:themeColor="text1"/>
                <w14:textFill>
                  <w14:solidFill>
                    <w14:schemeClr w14:val="tx1"/>
                  </w14:solidFill>
                </w14:textFill>
              </w:rPr>
            </w:pPr>
            <w:r>
              <w:rPr>
                <w:color w:val="000000" w:themeColor="text1"/>
                <w14:textFill>
                  <w14:solidFill>
                    <w14:schemeClr w14:val="tx1"/>
                  </w14:solidFill>
                </w14:textFill>
              </w:rPr>
              <w:t>项目名称</w:t>
            </w:r>
          </w:p>
        </w:tc>
        <w:tc>
          <w:tcPr>
            <w:tcW w:w="8340" w:type="dxa"/>
            <w:gridSpan w:val="3"/>
            <w:vAlign w:val="center"/>
          </w:tcPr>
          <w:p w14:paraId="40B82006">
            <w:pPr>
              <w:pStyle w:val="127"/>
              <w:rPr>
                <w:color w:val="000000" w:themeColor="text1"/>
                <w14:textFill>
                  <w14:solidFill>
                    <w14:schemeClr w14:val="tx1"/>
                  </w14:solidFill>
                </w14:textFill>
              </w:rPr>
            </w:pPr>
            <w:r>
              <w:rPr>
                <w:rFonts w:hint="eastAsia"/>
                <w:color w:val="000000" w:themeColor="text1"/>
                <w14:textFill>
                  <w14:solidFill>
                    <w14:schemeClr w14:val="tx1"/>
                  </w14:solidFill>
                </w14:textFill>
              </w:rPr>
              <w:t>江西承诚实业有限公司年产100万吨水稳拌合料二期项目</w:t>
            </w:r>
          </w:p>
        </w:tc>
      </w:tr>
      <w:tr w14:paraId="6BF262B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615" w:type="dxa"/>
            <w:tcMar>
              <w:top w:w="16" w:type="dxa"/>
              <w:left w:w="16" w:type="dxa"/>
              <w:right w:w="16" w:type="dxa"/>
            </w:tcMar>
            <w:vAlign w:val="center"/>
          </w:tcPr>
          <w:p w14:paraId="1708B0A9">
            <w:pPr>
              <w:adjustRightInd w:val="0"/>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项目代码</w:t>
            </w:r>
          </w:p>
        </w:tc>
        <w:tc>
          <w:tcPr>
            <w:tcW w:w="8340" w:type="dxa"/>
            <w:gridSpan w:val="3"/>
            <w:vAlign w:val="center"/>
          </w:tcPr>
          <w:p w14:paraId="436DF23A">
            <w:pPr>
              <w:pStyle w:val="127"/>
              <w:rPr>
                <w:color w:val="000000" w:themeColor="text1"/>
                <w14:textFill>
                  <w14:solidFill>
                    <w14:schemeClr w14:val="tx1"/>
                  </w14:solidFill>
                </w14:textFill>
              </w:rPr>
            </w:pPr>
            <w:r>
              <w:rPr>
                <w:color w:val="000000" w:themeColor="text1"/>
                <w14:textFill>
                  <w14:solidFill>
                    <w14:schemeClr w14:val="tx1"/>
                  </w14:solidFill>
                </w14:textFill>
              </w:rPr>
              <w:t>2509-360281-04-05-690046</w:t>
            </w:r>
          </w:p>
        </w:tc>
      </w:tr>
      <w:tr w14:paraId="507934D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615" w:type="dxa"/>
            <w:tcMar>
              <w:top w:w="16" w:type="dxa"/>
              <w:left w:w="16" w:type="dxa"/>
              <w:right w:w="16" w:type="dxa"/>
            </w:tcMar>
            <w:vAlign w:val="center"/>
          </w:tcPr>
          <w:p w14:paraId="4CC15FBE">
            <w:pPr>
              <w:adjustRightInd w:val="0"/>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建设单</w:t>
            </w:r>
          </w:p>
          <w:p w14:paraId="3182D976">
            <w:pPr>
              <w:adjustRightInd w:val="0"/>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位联系人</w:t>
            </w:r>
          </w:p>
        </w:tc>
        <w:tc>
          <w:tcPr>
            <w:tcW w:w="2911" w:type="dxa"/>
            <w:vAlign w:val="center"/>
          </w:tcPr>
          <w:p w14:paraId="03DD4AC1">
            <w:pPr>
              <w:pStyle w:val="127"/>
              <w:rPr>
                <w:color w:val="000000" w:themeColor="text1"/>
                <w14:textFill>
                  <w14:solidFill>
                    <w14:schemeClr w14:val="tx1"/>
                  </w14:solidFill>
                </w14:textFill>
              </w:rPr>
            </w:pPr>
            <w:r>
              <w:rPr>
                <w:rFonts w:hint="eastAsia"/>
                <w:color w:val="000000" w:themeColor="text1"/>
                <w14:textFill>
                  <w14:solidFill>
                    <w14:schemeClr w14:val="tx1"/>
                  </w14:solidFill>
                </w14:textFill>
              </w:rPr>
              <w:t>钟刚</w:t>
            </w:r>
          </w:p>
        </w:tc>
        <w:tc>
          <w:tcPr>
            <w:tcW w:w="1861" w:type="dxa"/>
            <w:vAlign w:val="center"/>
          </w:tcPr>
          <w:p w14:paraId="5B897B25">
            <w:pPr>
              <w:pStyle w:val="173"/>
              <w:rPr>
                <w:color w:val="000000" w:themeColor="text1"/>
                <w14:textFill>
                  <w14:solidFill>
                    <w14:schemeClr w14:val="tx1"/>
                  </w14:solidFill>
                </w14:textFill>
              </w:rPr>
            </w:pPr>
            <w:r>
              <w:rPr>
                <w:color w:val="000000" w:themeColor="text1"/>
                <w14:textFill>
                  <w14:solidFill>
                    <w14:schemeClr w14:val="tx1"/>
                  </w14:solidFill>
                </w14:textFill>
              </w:rPr>
              <w:t>联系方式</w:t>
            </w:r>
          </w:p>
        </w:tc>
        <w:tc>
          <w:tcPr>
            <w:tcW w:w="3568" w:type="dxa"/>
            <w:vAlign w:val="center"/>
          </w:tcPr>
          <w:p w14:paraId="44461AA6">
            <w:pPr>
              <w:pStyle w:val="127"/>
              <w:rPr>
                <w:color w:val="000000" w:themeColor="text1"/>
                <w14:textFill>
                  <w14:solidFill>
                    <w14:schemeClr w14:val="tx1"/>
                  </w14:solidFill>
                </w14:textFill>
              </w:rPr>
            </w:pPr>
            <w:r>
              <w:rPr>
                <w:color w:val="000000" w:themeColor="text1"/>
                <w14:textFill>
                  <w14:solidFill>
                    <w14:schemeClr w14:val="tx1"/>
                  </w14:solidFill>
                </w14:textFill>
              </w:rPr>
              <w:t>13907981668</w:t>
            </w:r>
          </w:p>
        </w:tc>
      </w:tr>
      <w:tr w14:paraId="301B57D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615" w:type="dxa"/>
            <w:tcMar>
              <w:top w:w="16" w:type="dxa"/>
              <w:left w:w="16" w:type="dxa"/>
              <w:right w:w="16" w:type="dxa"/>
            </w:tcMar>
            <w:vAlign w:val="center"/>
          </w:tcPr>
          <w:p w14:paraId="54ECCA1C">
            <w:pPr>
              <w:adjustRightInd w:val="0"/>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建设地点</w:t>
            </w:r>
          </w:p>
        </w:tc>
        <w:tc>
          <w:tcPr>
            <w:tcW w:w="8340" w:type="dxa"/>
            <w:gridSpan w:val="3"/>
            <w:vAlign w:val="center"/>
          </w:tcPr>
          <w:p w14:paraId="1B12823E">
            <w:pPr>
              <w:pStyle w:val="127"/>
              <w:rPr>
                <w:color w:val="000000" w:themeColor="text1"/>
                <w14:textFill>
                  <w14:solidFill>
                    <w14:schemeClr w14:val="tx1"/>
                  </w14:solidFill>
                </w14:textFill>
              </w:rPr>
            </w:pPr>
            <w:r>
              <w:rPr>
                <w:rFonts w:hint="eastAsia"/>
                <w:color w:val="000000" w:themeColor="text1"/>
                <w14:textFill>
                  <w14:solidFill>
                    <w14:schemeClr w14:val="tx1"/>
                  </w14:solidFill>
                </w14:textFill>
              </w:rPr>
              <w:t>江西省景德镇市乐平市金山工业园金一路CH-1地块</w:t>
            </w:r>
          </w:p>
        </w:tc>
      </w:tr>
      <w:tr w14:paraId="2C2679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497" w:hRule="atLeast"/>
          <w:jc w:val="center"/>
        </w:trPr>
        <w:tc>
          <w:tcPr>
            <w:tcW w:w="1615" w:type="dxa"/>
            <w:tcMar>
              <w:top w:w="16" w:type="dxa"/>
              <w:left w:w="16" w:type="dxa"/>
              <w:right w:w="16" w:type="dxa"/>
            </w:tcMar>
            <w:vAlign w:val="center"/>
          </w:tcPr>
          <w:p w14:paraId="2405D2B6">
            <w:pPr>
              <w:adjustRightInd w:val="0"/>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地理坐标</w:t>
            </w:r>
          </w:p>
        </w:tc>
        <w:tc>
          <w:tcPr>
            <w:tcW w:w="8340" w:type="dxa"/>
            <w:gridSpan w:val="3"/>
            <w:vAlign w:val="center"/>
          </w:tcPr>
          <w:p w14:paraId="0E715069">
            <w:pPr>
              <w:pStyle w:val="127"/>
              <w:rPr>
                <w:rFonts w:eastAsia="新宋体"/>
                <w:color w:val="000000" w:themeColor="text1"/>
                <w:szCs w:val="24"/>
                <w14:textFill>
                  <w14:solidFill>
                    <w14:schemeClr w14:val="tx1"/>
                  </w14:solidFill>
                </w14:textFill>
              </w:rPr>
            </w:pPr>
            <w:r>
              <w:rPr>
                <w:rFonts w:eastAsia="新宋体"/>
                <w:color w:val="000000" w:themeColor="text1"/>
                <w:szCs w:val="24"/>
                <w14:textFill>
                  <w14:solidFill>
                    <w14:schemeClr w14:val="tx1"/>
                  </w14:solidFill>
                </w14:textFill>
              </w:rPr>
              <w:t>中心位置地理坐标：</w:t>
            </w:r>
            <w:r>
              <w:rPr>
                <w:rFonts w:hint="eastAsia" w:eastAsia="新宋体"/>
                <w:color w:val="000000" w:themeColor="text1"/>
                <w:szCs w:val="24"/>
                <w14:textFill>
                  <w14:solidFill>
                    <w14:schemeClr w14:val="tx1"/>
                  </w14:solidFill>
                </w14:textFill>
              </w:rPr>
              <w:t>经</w:t>
            </w:r>
            <w:r>
              <w:rPr>
                <w:rFonts w:eastAsia="新宋体"/>
                <w:color w:val="000000" w:themeColor="text1"/>
                <w:szCs w:val="24"/>
                <w14:textFill>
                  <w14:solidFill>
                    <w14:schemeClr w14:val="tx1"/>
                  </w14:solidFill>
                </w14:textFill>
              </w:rPr>
              <w:t>度E 11</w:t>
            </w:r>
            <w:r>
              <w:rPr>
                <w:rFonts w:hint="eastAsia" w:eastAsia="新宋体"/>
                <w:color w:val="000000" w:themeColor="text1"/>
                <w:szCs w:val="24"/>
                <w14:textFill>
                  <w14:solidFill>
                    <w14:schemeClr w14:val="tx1"/>
                  </w14:solidFill>
                </w14:textFill>
              </w:rPr>
              <w:t>7</w:t>
            </w:r>
            <w:r>
              <w:rPr>
                <w:rFonts w:eastAsia="新宋体"/>
                <w:color w:val="000000" w:themeColor="text1"/>
                <w:szCs w:val="24"/>
                <w14:textFill>
                  <w14:solidFill>
                    <w14:schemeClr w14:val="tx1"/>
                  </w14:solidFill>
                </w14:textFill>
              </w:rPr>
              <w:t>°</w:t>
            </w:r>
            <w:r>
              <w:rPr>
                <w:rFonts w:hint="eastAsia" w:eastAsia="新宋体"/>
                <w:color w:val="000000" w:themeColor="text1"/>
                <w:szCs w:val="24"/>
                <w14:textFill>
                  <w14:solidFill>
                    <w14:schemeClr w14:val="tx1"/>
                  </w14:solidFill>
                </w14:textFill>
              </w:rPr>
              <w:t>11</w:t>
            </w:r>
            <w:r>
              <w:rPr>
                <w:rFonts w:eastAsia="新宋体"/>
                <w:color w:val="000000" w:themeColor="text1"/>
                <w:szCs w:val="24"/>
                <w14:textFill>
                  <w14:solidFill>
                    <w14:schemeClr w14:val="tx1"/>
                  </w14:solidFill>
                </w14:textFill>
              </w:rPr>
              <w:t>′</w:t>
            </w:r>
            <w:r>
              <w:rPr>
                <w:rFonts w:hint="eastAsia" w:eastAsia="新宋体"/>
                <w:color w:val="000000" w:themeColor="text1"/>
                <w:szCs w:val="24"/>
                <w14:textFill>
                  <w14:solidFill>
                    <w14:schemeClr w14:val="tx1"/>
                  </w14:solidFill>
                </w14:textFill>
              </w:rPr>
              <w:t>40.568</w:t>
            </w:r>
            <w:r>
              <w:rPr>
                <w:rFonts w:eastAsia="新宋体"/>
                <w:color w:val="000000" w:themeColor="text1"/>
                <w:szCs w:val="24"/>
                <w14:textFill>
                  <w14:solidFill>
                    <w14:schemeClr w14:val="tx1"/>
                  </w14:solidFill>
                </w14:textFill>
              </w:rPr>
              <w:t>″，</w:t>
            </w:r>
            <w:r>
              <w:rPr>
                <w:rFonts w:hint="eastAsia" w:eastAsia="新宋体"/>
                <w:color w:val="000000" w:themeColor="text1"/>
                <w:szCs w:val="24"/>
                <w14:textFill>
                  <w14:solidFill>
                    <w14:schemeClr w14:val="tx1"/>
                  </w14:solidFill>
                </w14:textFill>
              </w:rPr>
              <w:t>纬</w:t>
            </w:r>
            <w:r>
              <w:rPr>
                <w:rFonts w:eastAsia="新宋体"/>
                <w:color w:val="000000" w:themeColor="text1"/>
                <w:szCs w:val="24"/>
                <w14:textFill>
                  <w14:solidFill>
                    <w14:schemeClr w14:val="tx1"/>
                  </w14:solidFill>
                </w14:textFill>
              </w:rPr>
              <w:t>度</w:t>
            </w:r>
            <w:bookmarkStart w:id="9" w:name="OLE_LINK74"/>
            <w:r>
              <w:rPr>
                <w:rFonts w:eastAsia="新宋体"/>
                <w:color w:val="000000" w:themeColor="text1"/>
                <w:szCs w:val="24"/>
                <w14:textFill>
                  <w14:solidFill>
                    <w14:schemeClr w14:val="tx1"/>
                  </w14:solidFill>
                </w14:textFill>
              </w:rPr>
              <w:t>N 2</w:t>
            </w:r>
            <w:r>
              <w:rPr>
                <w:rFonts w:hint="eastAsia" w:eastAsia="新宋体"/>
                <w:color w:val="000000" w:themeColor="text1"/>
                <w:szCs w:val="24"/>
                <w14:textFill>
                  <w14:solidFill>
                    <w14:schemeClr w14:val="tx1"/>
                  </w14:solidFill>
                </w14:textFill>
              </w:rPr>
              <w:t>9</w:t>
            </w:r>
            <w:r>
              <w:rPr>
                <w:rFonts w:eastAsia="新宋体"/>
                <w:color w:val="000000" w:themeColor="text1"/>
                <w:szCs w:val="24"/>
                <w14:textFill>
                  <w14:solidFill>
                    <w14:schemeClr w14:val="tx1"/>
                  </w14:solidFill>
                </w14:textFill>
              </w:rPr>
              <w:t>°</w:t>
            </w:r>
            <w:r>
              <w:rPr>
                <w:rFonts w:hint="eastAsia" w:eastAsia="新宋体"/>
                <w:color w:val="000000" w:themeColor="text1"/>
                <w:szCs w:val="24"/>
                <w14:textFill>
                  <w14:solidFill>
                    <w14:schemeClr w14:val="tx1"/>
                  </w14:solidFill>
                </w14:textFill>
              </w:rPr>
              <w:t>0</w:t>
            </w:r>
            <w:r>
              <w:rPr>
                <w:rFonts w:eastAsia="新宋体"/>
                <w:color w:val="000000" w:themeColor="text1"/>
                <w:szCs w:val="24"/>
                <w14:textFill>
                  <w14:solidFill>
                    <w14:schemeClr w14:val="tx1"/>
                  </w14:solidFill>
                </w14:textFill>
              </w:rPr>
              <w:t>′</w:t>
            </w:r>
            <w:r>
              <w:rPr>
                <w:rFonts w:hint="eastAsia" w:eastAsia="新宋体"/>
                <w:color w:val="000000" w:themeColor="text1"/>
                <w:szCs w:val="24"/>
                <w14:textFill>
                  <w14:solidFill>
                    <w14:schemeClr w14:val="tx1"/>
                  </w14:solidFill>
                </w14:textFill>
              </w:rPr>
              <w:t>4.682</w:t>
            </w:r>
            <w:r>
              <w:rPr>
                <w:rFonts w:eastAsia="新宋体"/>
                <w:color w:val="000000" w:themeColor="text1"/>
                <w:szCs w:val="24"/>
                <w14:textFill>
                  <w14:solidFill>
                    <w14:schemeClr w14:val="tx1"/>
                  </w14:solidFill>
                </w14:textFill>
              </w:rPr>
              <w:t>″</w:t>
            </w:r>
            <w:bookmarkEnd w:id="9"/>
          </w:p>
        </w:tc>
      </w:tr>
      <w:tr w14:paraId="4234067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1" w:hRule="atLeast"/>
          <w:jc w:val="center"/>
        </w:trPr>
        <w:tc>
          <w:tcPr>
            <w:tcW w:w="1615" w:type="dxa"/>
            <w:tcMar>
              <w:top w:w="16" w:type="dxa"/>
              <w:left w:w="16" w:type="dxa"/>
              <w:right w:w="16" w:type="dxa"/>
            </w:tcMar>
            <w:vAlign w:val="center"/>
          </w:tcPr>
          <w:p w14:paraId="5B1A9285">
            <w:pPr>
              <w:adjustRightInd w:val="0"/>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国民经济</w:t>
            </w:r>
          </w:p>
          <w:p w14:paraId="2573E03E">
            <w:pPr>
              <w:adjustRightInd w:val="0"/>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行业类别</w:t>
            </w:r>
          </w:p>
        </w:tc>
        <w:tc>
          <w:tcPr>
            <w:tcW w:w="2911" w:type="dxa"/>
            <w:vAlign w:val="center"/>
          </w:tcPr>
          <w:p w14:paraId="696E81E3">
            <w:pPr>
              <w:pStyle w:val="12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C3029其他</w:t>
            </w:r>
            <w:bookmarkStart w:id="10" w:name="OLE_LINK10"/>
            <w:r>
              <w:rPr>
                <w:rFonts w:hint="eastAsia"/>
                <w:snapToGrid w:val="0"/>
                <w:color w:val="000000" w:themeColor="text1"/>
                <w14:textFill>
                  <w14:solidFill>
                    <w14:schemeClr w14:val="tx1"/>
                  </w14:solidFill>
                </w14:textFill>
              </w:rPr>
              <w:t>水泥</w:t>
            </w:r>
            <w:bookmarkEnd w:id="10"/>
            <w:r>
              <w:rPr>
                <w:rFonts w:hint="eastAsia"/>
                <w:snapToGrid w:val="0"/>
                <w:color w:val="000000" w:themeColor="text1"/>
                <w14:textFill>
                  <w14:solidFill>
                    <w14:schemeClr w14:val="tx1"/>
                  </w14:solidFill>
                </w14:textFill>
              </w:rPr>
              <w:t>类似制品制造</w:t>
            </w:r>
          </w:p>
        </w:tc>
        <w:tc>
          <w:tcPr>
            <w:tcW w:w="1861" w:type="dxa"/>
            <w:vAlign w:val="center"/>
          </w:tcPr>
          <w:p w14:paraId="4F79D9B9">
            <w:pPr>
              <w:pStyle w:val="173"/>
              <w:rPr>
                <w:color w:val="000000" w:themeColor="text1"/>
                <w14:textFill>
                  <w14:solidFill>
                    <w14:schemeClr w14:val="tx1"/>
                  </w14:solidFill>
                </w14:textFill>
              </w:rPr>
            </w:pPr>
            <w:bookmarkStart w:id="11" w:name="_Hlk49843745"/>
            <w:r>
              <w:rPr>
                <w:color w:val="000000" w:themeColor="text1"/>
                <w14:textFill>
                  <w14:solidFill>
                    <w14:schemeClr w14:val="tx1"/>
                  </w14:solidFill>
                </w14:textFill>
              </w:rPr>
              <w:t>建设项目</w:t>
            </w:r>
          </w:p>
          <w:p w14:paraId="10A27C81">
            <w:pPr>
              <w:pStyle w:val="173"/>
              <w:rPr>
                <w:color w:val="000000" w:themeColor="text1"/>
                <w14:textFill>
                  <w14:solidFill>
                    <w14:schemeClr w14:val="tx1"/>
                  </w14:solidFill>
                </w14:textFill>
              </w:rPr>
            </w:pPr>
            <w:r>
              <w:rPr>
                <w:color w:val="000000" w:themeColor="text1"/>
                <w14:textFill>
                  <w14:solidFill>
                    <w14:schemeClr w14:val="tx1"/>
                  </w14:solidFill>
                </w14:textFill>
              </w:rPr>
              <w:t>行业类别</w:t>
            </w:r>
            <w:bookmarkEnd w:id="11"/>
          </w:p>
        </w:tc>
        <w:tc>
          <w:tcPr>
            <w:tcW w:w="3568" w:type="dxa"/>
            <w:vAlign w:val="center"/>
          </w:tcPr>
          <w:p w14:paraId="448F22BA">
            <w:pPr>
              <w:pStyle w:val="127"/>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二十七、非金属矿物制品业30-55 石膏、水泥制品及类似制品制造302一商品混凝土；砼结构构件制造；水泥制品制造</w:t>
            </w:r>
            <w:r>
              <w:rPr>
                <w:color w:val="000000" w:themeColor="text1"/>
                <w14:textFill>
                  <w14:solidFill>
                    <w14:schemeClr w14:val="tx1"/>
                  </w14:solidFill>
                </w14:textFill>
              </w:rPr>
              <w:t xml:space="preserve"> </w:t>
            </w:r>
          </w:p>
        </w:tc>
      </w:tr>
      <w:tr w14:paraId="184D5BE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19" w:hRule="atLeast"/>
          <w:jc w:val="center"/>
        </w:trPr>
        <w:tc>
          <w:tcPr>
            <w:tcW w:w="1615" w:type="dxa"/>
            <w:tcMar>
              <w:top w:w="16" w:type="dxa"/>
              <w:left w:w="16" w:type="dxa"/>
              <w:right w:w="16" w:type="dxa"/>
            </w:tcMar>
            <w:vAlign w:val="center"/>
          </w:tcPr>
          <w:p w14:paraId="60E82B30">
            <w:pPr>
              <w:adjustRightInd w:val="0"/>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建设性质</w:t>
            </w:r>
          </w:p>
        </w:tc>
        <w:tc>
          <w:tcPr>
            <w:tcW w:w="2911" w:type="dxa"/>
            <w:vAlign w:val="center"/>
          </w:tcPr>
          <w:p w14:paraId="45CDC03B">
            <w:pPr>
              <w:pStyle w:val="127"/>
              <w:jc w:val="left"/>
              <w:rPr>
                <w:color w:val="000000" w:themeColor="text1"/>
                <w14:textFill>
                  <w14:solidFill>
                    <w14:schemeClr w14:val="tx1"/>
                  </w14:solidFill>
                </w14:textFill>
              </w:rPr>
            </w:pPr>
            <w:r>
              <w:rPr>
                <w:color w:val="000000" w:themeColor="text1"/>
                <w14:textFill>
                  <w14:solidFill>
                    <w14:schemeClr w14:val="tx1"/>
                  </w14:solidFill>
                </w14:textFill>
              </w:rPr>
              <w:sym w:font="Wingdings 2" w:char="00A3"/>
            </w:r>
            <w:r>
              <w:rPr>
                <w:color w:val="000000" w:themeColor="text1"/>
                <w14:textFill>
                  <w14:solidFill>
                    <w14:schemeClr w14:val="tx1"/>
                  </w14:solidFill>
                </w14:textFill>
              </w:rPr>
              <w:t>新建</w:t>
            </w:r>
          </w:p>
          <w:p w14:paraId="01547194">
            <w:pPr>
              <w:pStyle w:val="127"/>
              <w:jc w:val="left"/>
              <w:rPr>
                <w:color w:val="000000" w:themeColor="text1"/>
                <w14:textFill>
                  <w14:solidFill>
                    <w14:schemeClr w14:val="tx1"/>
                  </w14:solidFill>
                </w14:textFill>
              </w:rPr>
            </w:pPr>
            <w:r>
              <w:rPr>
                <w:color w:val="000000" w:themeColor="text1"/>
                <w14:textFill>
                  <w14:solidFill>
                    <w14:schemeClr w14:val="tx1"/>
                  </w14:solidFill>
                </w14:textFill>
              </w:rPr>
              <w:sym w:font="Wingdings 2" w:char="00A3"/>
            </w:r>
            <w:r>
              <w:rPr>
                <w:color w:val="000000" w:themeColor="text1"/>
                <w14:textFill>
                  <w14:solidFill>
                    <w14:schemeClr w14:val="tx1"/>
                  </w14:solidFill>
                </w14:textFill>
              </w:rPr>
              <w:t>改建</w:t>
            </w:r>
          </w:p>
          <w:p w14:paraId="1F95DB96">
            <w:pPr>
              <w:pStyle w:val="127"/>
              <w:jc w:val="left"/>
              <w:rPr>
                <w:color w:val="000000" w:themeColor="text1"/>
                <w14:textFill>
                  <w14:solidFill>
                    <w14:schemeClr w14:val="tx1"/>
                  </w14:solidFill>
                </w14:textFill>
              </w:rPr>
            </w:pPr>
            <w:r>
              <w:rPr>
                <w:color w:val="000000" w:themeColor="text1"/>
                <w14:textFill>
                  <w14:solidFill>
                    <w14:schemeClr w14:val="tx1"/>
                  </w14:solidFill>
                </w14:textFill>
              </w:rPr>
              <w:sym w:font="Wingdings 2" w:char="0052"/>
            </w:r>
            <w:r>
              <w:rPr>
                <w:color w:val="000000" w:themeColor="text1"/>
                <w14:textFill>
                  <w14:solidFill>
                    <w14:schemeClr w14:val="tx1"/>
                  </w14:solidFill>
                </w14:textFill>
              </w:rPr>
              <w:t>扩建</w:t>
            </w:r>
          </w:p>
          <w:p w14:paraId="5315D266">
            <w:pPr>
              <w:pStyle w:val="127"/>
              <w:jc w:val="left"/>
              <w:rPr>
                <w:color w:val="000000" w:themeColor="text1"/>
                <w14:textFill>
                  <w14:solidFill>
                    <w14:schemeClr w14:val="tx1"/>
                  </w14:solidFill>
                </w14:textFill>
              </w:rPr>
            </w:pPr>
            <w:r>
              <w:rPr>
                <w:color w:val="000000" w:themeColor="text1"/>
                <w14:textFill>
                  <w14:solidFill>
                    <w14:schemeClr w14:val="tx1"/>
                  </w14:solidFill>
                </w14:textFill>
              </w:rPr>
              <w:sym w:font="Wingdings 2" w:char="00A3"/>
            </w:r>
            <w:r>
              <w:rPr>
                <w:color w:val="000000" w:themeColor="text1"/>
                <w14:textFill>
                  <w14:solidFill>
                    <w14:schemeClr w14:val="tx1"/>
                  </w14:solidFill>
                </w14:textFill>
              </w:rPr>
              <w:t>技术改造</w:t>
            </w:r>
          </w:p>
        </w:tc>
        <w:tc>
          <w:tcPr>
            <w:tcW w:w="1861" w:type="dxa"/>
            <w:vAlign w:val="center"/>
          </w:tcPr>
          <w:p w14:paraId="07356E49">
            <w:pPr>
              <w:pStyle w:val="173"/>
              <w:rPr>
                <w:color w:val="000000" w:themeColor="text1"/>
                <w14:textFill>
                  <w14:solidFill>
                    <w14:schemeClr w14:val="tx1"/>
                  </w14:solidFill>
                </w14:textFill>
              </w:rPr>
            </w:pPr>
            <w:r>
              <w:rPr>
                <w:color w:val="000000" w:themeColor="text1"/>
                <w14:textFill>
                  <w14:solidFill>
                    <w14:schemeClr w14:val="tx1"/>
                  </w14:solidFill>
                </w14:textFill>
              </w:rPr>
              <w:t>建设项目</w:t>
            </w:r>
          </w:p>
          <w:p w14:paraId="27D48C6F">
            <w:pPr>
              <w:pStyle w:val="173"/>
              <w:rPr>
                <w:color w:val="000000" w:themeColor="text1"/>
                <w14:textFill>
                  <w14:solidFill>
                    <w14:schemeClr w14:val="tx1"/>
                  </w14:solidFill>
                </w14:textFill>
              </w:rPr>
            </w:pPr>
            <w:r>
              <w:rPr>
                <w:color w:val="000000" w:themeColor="text1"/>
                <w14:textFill>
                  <w14:solidFill>
                    <w14:schemeClr w14:val="tx1"/>
                  </w14:solidFill>
                </w14:textFill>
              </w:rPr>
              <w:t>申报情形</w:t>
            </w:r>
          </w:p>
        </w:tc>
        <w:tc>
          <w:tcPr>
            <w:tcW w:w="3568" w:type="dxa"/>
            <w:vAlign w:val="center"/>
          </w:tcPr>
          <w:p w14:paraId="201C54B8">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sym w:font="Wingdings 2" w:char="0052"/>
            </w:r>
            <w:r>
              <w:rPr>
                <w:color w:val="000000" w:themeColor="text1"/>
                <w:sz w:val="24"/>
                <w14:textFill>
                  <w14:solidFill>
                    <w14:schemeClr w14:val="tx1"/>
                  </w14:solidFill>
                </w14:textFill>
              </w:rPr>
              <w:t>首次申报项目</w:t>
            </w:r>
          </w:p>
          <w:p w14:paraId="79EADAE0">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sym w:font="Wingdings 2" w:char="00A3"/>
            </w:r>
            <w:r>
              <w:rPr>
                <w:color w:val="000000" w:themeColor="text1"/>
                <w:sz w:val="24"/>
                <w14:textFill>
                  <w14:solidFill>
                    <w14:schemeClr w14:val="tx1"/>
                  </w14:solidFill>
                </w14:textFill>
              </w:rPr>
              <w:t>不予批准后再次申报项目</w:t>
            </w:r>
          </w:p>
          <w:p w14:paraId="41DBC0E1">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sym w:font="Wingdings 2" w:char="00A3"/>
            </w:r>
            <w:r>
              <w:rPr>
                <w:color w:val="000000" w:themeColor="text1"/>
                <w:sz w:val="24"/>
                <w14:textFill>
                  <w14:solidFill>
                    <w14:schemeClr w14:val="tx1"/>
                  </w14:solidFill>
                </w14:textFill>
              </w:rPr>
              <w:t>超五年重新审核项目</w:t>
            </w:r>
          </w:p>
          <w:p w14:paraId="26835B2C">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sym w:font="Wingdings 2" w:char="00A3"/>
            </w:r>
            <w:r>
              <w:rPr>
                <w:color w:val="000000" w:themeColor="text1"/>
                <w:sz w:val="24"/>
                <w14:textFill>
                  <w14:solidFill>
                    <w14:schemeClr w14:val="tx1"/>
                  </w14:solidFill>
                </w14:textFill>
              </w:rPr>
              <w:t>重大变动重新报批项目</w:t>
            </w:r>
          </w:p>
        </w:tc>
      </w:tr>
      <w:tr w14:paraId="7D325EF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1" w:hRule="atLeast"/>
          <w:jc w:val="center"/>
        </w:trPr>
        <w:tc>
          <w:tcPr>
            <w:tcW w:w="1615" w:type="dxa"/>
            <w:tcMar>
              <w:top w:w="16" w:type="dxa"/>
              <w:left w:w="16" w:type="dxa"/>
              <w:right w:w="16" w:type="dxa"/>
            </w:tcMar>
            <w:vAlign w:val="center"/>
          </w:tcPr>
          <w:p w14:paraId="6ACAD014">
            <w:pPr>
              <w:adjustRightInd w:val="0"/>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项目审批（核准/备案）部门（选填）</w:t>
            </w:r>
          </w:p>
        </w:tc>
        <w:tc>
          <w:tcPr>
            <w:tcW w:w="2911" w:type="dxa"/>
            <w:vAlign w:val="center"/>
          </w:tcPr>
          <w:p w14:paraId="019D8D73">
            <w:pPr>
              <w:pStyle w:val="127"/>
              <w:rPr>
                <w:color w:val="000000" w:themeColor="text1"/>
                <w14:textFill>
                  <w14:solidFill>
                    <w14:schemeClr w14:val="tx1"/>
                  </w14:solidFill>
                </w14:textFill>
              </w:rPr>
            </w:pPr>
            <w:r>
              <w:rPr>
                <w:rFonts w:hint="eastAsia"/>
                <w:color w:val="000000" w:themeColor="text1"/>
                <w14:textFill>
                  <w14:solidFill>
                    <w14:schemeClr w14:val="tx1"/>
                  </w14:solidFill>
                </w14:textFill>
              </w:rPr>
              <w:t>乐平市发展和改革委员会</w:t>
            </w:r>
          </w:p>
        </w:tc>
        <w:tc>
          <w:tcPr>
            <w:tcW w:w="1861" w:type="dxa"/>
            <w:vAlign w:val="center"/>
          </w:tcPr>
          <w:p w14:paraId="144823C3">
            <w:pPr>
              <w:pStyle w:val="173"/>
              <w:rPr>
                <w:color w:val="000000" w:themeColor="text1"/>
                <w14:textFill>
                  <w14:solidFill>
                    <w14:schemeClr w14:val="tx1"/>
                  </w14:solidFill>
                </w14:textFill>
              </w:rPr>
            </w:pPr>
            <w:r>
              <w:rPr>
                <w:color w:val="000000" w:themeColor="text1"/>
                <w14:textFill>
                  <w14:solidFill>
                    <w14:schemeClr w14:val="tx1"/>
                  </w14:solidFill>
                </w14:textFill>
              </w:rPr>
              <w:t>项目审批（核准/备案）文号（选填）</w:t>
            </w:r>
          </w:p>
        </w:tc>
        <w:tc>
          <w:tcPr>
            <w:tcW w:w="3568" w:type="dxa"/>
            <w:vAlign w:val="center"/>
          </w:tcPr>
          <w:p w14:paraId="2E909F0C">
            <w:pPr>
              <w:pStyle w:val="127"/>
              <w:rPr>
                <w:color w:val="000000" w:themeColor="text1"/>
                <w14:textFill>
                  <w14:solidFill>
                    <w14:schemeClr w14:val="tx1"/>
                  </w14:solidFill>
                </w14:textFill>
              </w:rPr>
            </w:pPr>
            <w:r>
              <w:rPr>
                <w:color w:val="000000" w:themeColor="text1"/>
                <w14:textFill>
                  <w14:solidFill>
                    <w14:schemeClr w14:val="tx1"/>
                  </w14:solidFill>
                </w14:textFill>
              </w:rPr>
              <w:t>2509-360281-04-05-690046</w:t>
            </w:r>
          </w:p>
        </w:tc>
      </w:tr>
      <w:tr w14:paraId="5060F9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4" w:hRule="atLeast"/>
          <w:jc w:val="center"/>
        </w:trPr>
        <w:tc>
          <w:tcPr>
            <w:tcW w:w="1615" w:type="dxa"/>
            <w:tcMar>
              <w:top w:w="16" w:type="dxa"/>
              <w:left w:w="16" w:type="dxa"/>
              <w:right w:w="16" w:type="dxa"/>
            </w:tcMar>
            <w:vAlign w:val="center"/>
          </w:tcPr>
          <w:p w14:paraId="10723CDB">
            <w:pPr>
              <w:adjustRightInd w:val="0"/>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总投资</w:t>
            </w:r>
          </w:p>
          <w:p w14:paraId="099556E2">
            <w:pPr>
              <w:adjustRightInd w:val="0"/>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（万元）</w:t>
            </w:r>
          </w:p>
        </w:tc>
        <w:tc>
          <w:tcPr>
            <w:tcW w:w="2911" w:type="dxa"/>
            <w:vAlign w:val="center"/>
          </w:tcPr>
          <w:p w14:paraId="4132CDDB">
            <w:pPr>
              <w:pStyle w:val="127"/>
              <w:rPr>
                <w:color w:val="000000" w:themeColor="text1"/>
                <w14:textFill>
                  <w14:solidFill>
                    <w14:schemeClr w14:val="tx1"/>
                  </w14:solidFill>
                </w14:textFill>
              </w:rPr>
            </w:pPr>
            <w:r>
              <w:rPr>
                <w:rFonts w:hint="eastAsia"/>
                <w:color w:val="000000" w:themeColor="text1"/>
                <w14:textFill>
                  <w14:solidFill>
                    <w14:schemeClr w14:val="tx1"/>
                  </w14:solidFill>
                </w14:textFill>
              </w:rPr>
              <w:t>1000</w:t>
            </w:r>
          </w:p>
        </w:tc>
        <w:tc>
          <w:tcPr>
            <w:tcW w:w="1861" w:type="dxa"/>
            <w:tcMar>
              <w:top w:w="16" w:type="dxa"/>
              <w:left w:w="16" w:type="dxa"/>
              <w:right w:w="16" w:type="dxa"/>
            </w:tcMar>
            <w:vAlign w:val="center"/>
          </w:tcPr>
          <w:p w14:paraId="55101569">
            <w:pPr>
              <w:pStyle w:val="173"/>
              <w:rPr>
                <w:color w:val="000000" w:themeColor="text1"/>
                <w14:textFill>
                  <w14:solidFill>
                    <w14:schemeClr w14:val="tx1"/>
                  </w14:solidFill>
                </w14:textFill>
              </w:rPr>
            </w:pPr>
            <w:r>
              <w:rPr>
                <w:color w:val="000000" w:themeColor="text1"/>
                <w14:textFill>
                  <w14:solidFill>
                    <w14:schemeClr w14:val="tx1"/>
                  </w14:solidFill>
                </w14:textFill>
              </w:rPr>
              <w:t>环保投资</w:t>
            </w:r>
          </w:p>
          <w:p w14:paraId="65124897">
            <w:pPr>
              <w:pStyle w:val="173"/>
              <w:rPr>
                <w:color w:val="000000" w:themeColor="text1"/>
                <w14:textFill>
                  <w14:solidFill>
                    <w14:schemeClr w14:val="tx1"/>
                  </w14:solidFill>
                </w14:textFill>
              </w:rPr>
            </w:pPr>
            <w:r>
              <w:rPr>
                <w:color w:val="000000" w:themeColor="text1"/>
                <w14:textFill>
                  <w14:solidFill>
                    <w14:schemeClr w14:val="tx1"/>
                  </w14:solidFill>
                </w14:textFill>
              </w:rPr>
              <w:t>（万元）</w:t>
            </w:r>
          </w:p>
        </w:tc>
        <w:tc>
          <w:tcPr>
            <w:tcW w:w="3568" w:type="dxa"/>
            <w:vAlign w:val="center"/>
          </w:tcPr>
          <w:p w14:paraId="0977B4D5">
            <w:pPr>
              <w:pStyle w:val="127"/>
              <w:rPr>
                <w:color w:val="000000" w:themeColor="text1"/>
                <w14:textFill>
                  <w14:solidFill>
                    <w14:schemeClr w14:val="tx1"/>
                  </w14:solidFill>
                </w14:textFill>
              </w:rPr>
            </w:pPr>
            <w:r>
              <w:rPr>
                <w:rFonts w:hint="eastAsia"/>
                <w:color w:val="000000" w:themeColor="text1"/>
                <w14:textFill>
                  <w14:solidFill>
                    <w14:schemeClr w14:val="tx1"/>
                  </w14:solidFill>
                </w14:textFill>
              </w:rPr>
              <w:t>30</w:t>
            </w:r>
          </w:p>
        </w:tc>
      </w:tr>
      <w:tr w14:paraId="04CA310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44" w:hRule="atLeast"/>
          <w:jc w:val="center"/>
        </w:trPr>
        <w:tc>
          <w:tcPr>
            <w:tcW w:w="1615" w:type="dxa"/>
            <w:tcMar>
              <w:top w:w="16" w:type="dxa"/>
              <w:left w:w="16" w:type="dxa"/>
              <w:right w:w="16" w:type="dxa"/>
            </w:tcMar>
            <w:vAlign w:val="center"/>
          </w:tcPr>
          <w:p w14:paraId="333ECE2C">
            <w:pPr>
              <w:adjustRightInd w:val="0"/>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环保投资占比（%）</w:t>
            </w:r>
          </w:p>
        </w:tc>
        <w:tc>
          <w:tcPr>
            <w:tcW w:w="2911" w:type="dxa"/>
            <w:vAlign w:val="center"/>
          </w:tcPr>
          <w:p w14:paraId="0B784A26">
            <w:pPr>
              <w:pStyle w:val="127"/>
              <w:rPr>
                <w:color w:val="000000" w:themeColor="text1"/>
                <w14:textFill>
                  <w14:solidFill>
                    <w14:schemeClr w14:val="tx1"/>
                  </w14:solidFill>
                </w14:textFill>
              </w:rPr>
            </w:pPr>
            <w:r>
              <w:rPr>
                <w:rFonts w:hint="eastAsia"/>
                <w:color w:val="000000" w:themeColor="text1"/>
                <w14:textFill>
                  <w14:solidFill>
                    <w14:schemeClr w14:val="tx1"/>
                  </w14:solidFill>
                </w14:textFill>
              </w:rPr>
              <w:t>3</w:t>
            </w:r>
            <w:r>
              <w:rPr>
                <w:color w:val="000000" w:themeColor="text1"/>
                <w14:textFill>
                  <w14:solidFill>
                    <w14:schemeClr w14:val="tx1"/>
                  </w14:solidFill>
                </w14:textFill>
              </w:rPr>
              <w:t>%</w:t>
            </w:r>
          </w:p>
        </w:tc>
        <w:tc>
          <w:tcPr>
            <w:tcW w:w="1861" w:type="dxa"/>
            <w:tcMar>
              <w:top w:w="16" w:type="dxa"/>
              <w:left w:w="16" w:type="dxa"/>
              <w:right w:w="16" w:type="dxa"/>
            </w:tcMar>
            <w:vAlign w:val="center"/>
          </w:tcPr>
          <w:p w14:paraId="20C15751">
            <w:pPr>
              <w:pStyle w:val="173"/>
              <w:rPr>
                <w:color w:val="000000" w:themeColor="text1"/>
                <w14:textFill>
                  <w14:solidFill>
                    <w14:schemeClr w14:val="tx1"/>
                  </w14:solidFill>
                </w14:textFill>
              </w:rPr>
            </w:pPr>
            <w:r>
              <w:rPr>
                <w:color w:val="000000" w:themeColor="text1"/>
                <w14:textFill>
                  <w14:solidFill>
                    <w14:schemeClr w14:val="tx1"/>
                  </w14:solidFill>
                </w14:textFill>
              </w:rPr>
              <w:t>施工工期</w:t>
            </w:r>
          </w:p>
        </w:tc>
        <w:tc>
          <w:tcPr>
            <w:tcW w:w="3568" w:type="dxa"/>
            <w:vAlign w:val="center"/>
          </w:tcPr>
          <w:p w14:paraId="343F8B27">
            <w:pPr>
              <w:pStyle w:val="127"/>
              <w:rPr>
                <w:color w:val="000000" w:themeColor="text1"/>
                <w14:textFill>
                  <w14:solidFill>
                    <w14:schemeClr w14:val="tx1"/>
                  </w14:solidFill>
                </w14:textFill>
              </w:rPr>
            </w:pPr>
            <w:r>
              <w:rPr>
                <w:rFonts w:hint="eastAsia"/>
                <w:color w:val="000000" w:themeColor="text1"/>
                <w14:textFill>
                  <w14:solidFill>
                    <w14:schemeClr w14:val="tx1"/>
                  </w14:solidFill>
                </w14:textFill>
              </w:rPr>
              <w:t>3个月</w:t>
            </w:r>
          </w:p>
        </w:tc>
      </w:tr>
      <w:tr w14:paraId="76A5D09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615" w:type="dxa"/>
            <w:tcMar>
              <w:top w:w="16" w:type="dxa"/>
              <w:left w:w="16" w:type="dxa"/>
              <w:right w:w="16" w:type="dxa"/>
            </w:tcMar>
            <w:vAlign w:val="center"/>
          </w:tcPr>
          <w:p w14:paraId="5BC6EB66">
            <w:pPr>
              <w:adjustRightInd w:val="0"/>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是否开工建设</w:t>
            </w:r>
          </w:p>
        </w:tc>
        <w:tc>
          <w:tcPr>
            <w:tcW w:w="2911" w:type="dxa"/>
            <w:vAlign w:val="center"/>
          </w:tcPr>
          <w:p w14:paraId="79418171">
            <w:pPr>
              <w:pStyle w:val="127"/>
              <w:jc w:val="left"/>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sym w:font="Wingdings 2" w:char="0052"/>
            </w:r>
            <w:r>
              <w:rPr>
                <w:rFonts w:hint="eastAsia"/>
                <w:color w:val="000000" w:themeColor="text1"/>
                <w:sz w:val="21"/>
                <w:szCs w:val="21"/>
                <w14:textFill>
                  <w14:solidFill>
                    <w14:schemeClr w14:val="tx1"/>
                  </w14:solidFill>
                </w14:textFill>
              </w:rPr>
              <w:t>否：</w:t>
            </w:r>
            <w:r>
              <w:rPr>
                <w:color w:val="000000" w:themeColor="text1"/>
                <w:sz w:val="21"/>
                <w:szCs w:val="21"/>
                <w14:textFill>
                  <w14:solidFill>
                    <w14:schemeClr w14:val="tx1"/>
                  </w14:solidFill>
                </w14:textFill>
              </w:rPr>
              <w:t xml:space="preserve"> </w:t>
            </w:r>
          </w:p>
          <w:p w14:paraId="610FC0A3">
            <w:pPr>
              <w:pStyle w:val="127"/>
              <w:jc w:val="left"/>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sym w:font="Wingdings 2" w:char="00A3"/>
            </w:r>
            <w:r>
              <w:rPr>
                <w:rFonts w:hint="eastAsia"/>
                <w:color w:val="000000" w:themeColor="text1"/>
                <w:sz w:val="21"/>
                <w:szCs w:val="21"/>
                <w14:textFill>
                  <w14:solidFill>
                    <w14:schemeClr w14:val="tx1"/>
                  </w14:solidFill>
                </w14:textFill>
              </w:rPr>
              <w:t>是：</w:t>
            </w:r>
            <w:r>
              <w:rPr>
                <w:color w:val="000000" w:themeColor="text1"/>
                <w:sz w:val="21"/>
                <w:szCs w:val="21"/>
                <w:u w:val="single"/>
                <w14:textFill>
                  <w14:solidFill>
                    <w14:schemeClr w14:val="tx1"/>
                  </w14:solidFill>
                </w14:textFill>
              </w:rPr>
              <w:t xml:space="preserve">          </w:t>
            </w:r>
          </w:p>
        </w:tc>
        <w:tc>
          <w:tcPr>
            <w:tcW w:w="1861" w:type="dxa"/>
            <w:tcMar>
              <w:top w:w="16" w:type="dxa"/>
              <w:left w:w="16" w:type="dxa"/>
              <w:right w:w="16" w:type="dxa"/>
            </w:tcMar>
            <w:vAlign w:val="center"/>
          </w:tcPr>
          <w:p w14:paraId="345E1F55">
            <w:pPr>
              <w:pStyle w:val="173"/>
              <w:rPr>
                <w:color w:val="000000" w:themeColor="text1"/>
                <w14:textFill>
                  <w14:solidFill>
                    <w14:schemeClr w14:val="tx1"/>
                  </w14:solidFill>
                </w14:textFill>
              </w:rPr>
            </w:pPr>
            <w:r>
              <w:rPr>
                <w:color w:val="000000" w:themeColor="text1"/>
                <w:spacing w:val="-6"/>
                <w14:textFill>
                  <w14:solidFill>
                    <w14:schemeClr w14:val="tx1"/>
                  </w14:solidFill>
                </w14:textFill>
              </w:rPr>
              <w:t>用地面积（m</w:t>
            </w:r>
            <w:r>
              <w:rPr>
                <w:color w:val="000000" w:themeColor="text1"/>
                <w:spacing w:val="-6"/>
                <w:vertAlign w:val="superscript"/>
                <w14:textFill>
                  <w14:solidFill>
                    <w14:schemeClr w14:val="tx1"/>
                  </w14:solidFill>
                </w14:textFill>
              </w:rPr>
              <w:t>2</w:t>
            </w:r>
            <w:r>
              <w:rPr>
                <w:color w:val="000000" w:themeColor="text1"/>
                <w:spacing w:val="-6"/>
                <w14:textFill>
                  <w14:solidFill>
                    <w14:schemeClr w14:val="tx1"/>
                  </w14:solidFill>
                </w14:textFill>
              </w:rPr>
              <w:t>）</w:t>
            </w:r>
          </w:p>
        </w:tc>
        <w:tc>
          <w:tcPr>
            <w:tcW w:w="3568" w:type="dxa"/>
            <w:vAlign w:val="center"/>
          </w:tcPr>
          <w:p w14:paraId="19E4CBDC">
            <w:pPr>
              <w:pStyle w:val="127"/>
              <w:rPr>
                <w:color w:val="000000" w:themeColor="text1"/>
                <w14:textFill>
                  <w14:solidFill>
                    <w14:schemeClr w14:val="tx1"/>
                  </w14:solidFill>
                </w14:textFill>
              </w:rPr>
            </w:pPr>
            <w:r>
              <w:rPr>
                <w:rFonts w:hint="eastAsia"/>
                <w:color w:val="000000" w:themeColor="text1"/>
                <w14:textFill>
                  <w14:solidFill>
                    <w14:schemeClr w14:val="tx1"/>
                  </w14:solidFill>
                </w14:textFill>
              </w:rPr>
              <w:t>27000（按二期工程</w:t>
            </w:r>
          </w:p>
          <w:p w14:paraId="796D7170">
            <w:pPr>
              <w:pStyle w:val="127"/>
              <w:rPr>
                <w:color w:val="000000" w:themeColor="text1"/>
                <w14:textFill>
                  <w14:solidFill>
                    <w14:schemeClr w14:val="tx1"/>
                  </w14:solidFill>
                </w14:textFill>
              </w:rPr>
            </w:pPr>
            <w:r>
              <w:rPr>
                <w:rFonts w:hint="eastAsia"/>
                <w:color w:val="000000" w:themeColor="text1"/>
                <w14:textFill>
                  <w14:solidFill>
                    <w14:schemeClr w14:val="tx1"/>
                  </w14:solidFill>
                </w14:textFill>
              </w:rPr>
              <w:t>占地面积计）</w:t>
            </w:r>
          </w:p>
        </w:tc>
      </w:tr>
      <w:tr w14:paraId="707206B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1615" w:type="dxa"/>
            <w:vAlign w:val="center"/>
          </w:tcPr>
          <w:p w14:paraId="523F46AE">
            <w:pPr>
              <w:autoSpaceDE w:val="0"/>
              <w:autoSpaceDN w:val="0"/>
              <w:adjustRightInd w:val="0"/>
              <w:snapToGrid w:val="0"/>
              <w:jc w:val="center"/>
              <w:rPr>
                <w:b/>
                <w:bCs/>
                <w:color w:val="000000" w:themeColor="text1"/>
                <w:kern w:val="0"/>
                <w:sz w:val="24"/>
                <w14:textFill>
                  <w14:solidFill>
                    <w14:schemeClr w14:val="tx1"/>
                  </w14:solidFill>
                </w14:textFill>
              </w:rPr>
            </w:pPr>
            <w:r>
              <w:rPr>
                <w:b/>
                <w:bCs/>
                <w:color w:val="000000" w:themeColor="text1"/>
                <w:kern w:val="0"/>
                <w:sz w:val="24"/>
                <w14:textFill>
                  <w14:solidFill>
                    <w14:schemeClr w14:val="tx1"/>
                  </w14:solidFill>
                </w14:textFill>
              </w:rPr>
              <w:t>专项评价设置情况</w:t>
            </w:r>
          </w:p>
        </w:tc>
        <w:tc>
          <w:tcPr>
            <w:tcW w:w="8340" w:type="dxa"/>
            <w:gridSpan w:val="3"/>
            <w:vAlign w:val="center"/>
          </w:tcPr>
          <w:p w14:paraId="608772BA">
            <w:pPr>
              <w:autoSpaceDE w:val="0"/>
              <w:autoSpaceDN w:val="0"/>
              <w:adjustRightInd w:val="0"/>
              <w:spacing w:line="360" w:lineRule="auto"/>
              <w:ind w:firstLine="480" w:firstLineChars="200"/>
              <w:jc w:val="left"/>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根据《建设项目环境影响报告表编制技术指南（污染影响类）（试行）》（2020年12月23日），本项目专项评价设置情况如下。</w:t>
            </w:r>
          </w:p>
          <w:p w14:paraId="47492A87">
            <w:pPr>
              <w:jc w:val="center"/>
              <w:rPr>
                <w:b/>
                <w:bCs/>
                <w:color w:val="000000" w:themeColor="text1"/>
                <w:kern w:val="0"/>
                <w:szCs w:val="21"/>
                <w14:textFill>
                  <w14:solidFill>
                    <w14:schemeClr w14:val="tx1"/>
                  </w14:solidFill>
                </w14:textFill>
              </w:rPr>
            </w:pPr>
            <w:r>
              <w:rPr>
                <w:b/>
                <w:bCs/>
                <w:color w:val="000000" w:themeColor="text1"/>
                <w:position w:val="6"/>
                <w:szCs w:val="21"/>
                <w14:textFill>
                  <w14:solidFill>
                    <w14:schemeClr w14:val="tx1"/>
                  </w14:solidFill>
                </w14:textFill>
              </w:rPr>
              <w:t>表1</w:t>
            </w:r>
            <w:r>
              <w:rPr>
                <w:rFonts w:hint="eastAsia"/>
                <w:b/>
                <w:bCs/>
                <w:color w:val="000000" w:themeColor="text1"/>
                <w:position w:val="6"/>
                <w:szCs w:val="21"/>
                <w14:textFill>
                  <w14:solidFill>
                    <w14:schemeClr w14:val="tx1"/>
                  </w14:solidFill>
                </w14:textFill>
              </w:rPr>
              <w:t>-1</w:t>
            </w:r>
            <w:r>
              <w:rPr>
                <w:b/>
                <w:bCs/>
                <w:color w:val="000000" w:themeColor="text1"/>
                <w:position w:val="6"/>
                <w:szCs w:val="21"/>
                <w14:textFill>
                  <w14:solidFill>
                    <w14:schemeClr w14:val="tx1"/>
                  </w14:solidFill>
                </w14:textFill>
              </w:rPr>
              <w:t xml:space="preserve">  专项评价设置情况一览表</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040"/>
              <w:gridCol w:w="3733"/>
              <w:gridCol w:w="3080"/>
            </w:tblGrid>
            <w:tr w14:paraId="2F99627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662" w:type="pct"/>
                  <w:vAlign w:val="center"/>
                </w:tcPr>
                <w:p w14:paraId="5CF15887">
                  <w:pPr>
                    <w:autoSpaceDE w:val="0"/>
                    <w:autoSpaceDN w:val="0"/>
                    <w:adjustRightInd w:val="0"/>
                    <w:jc w:val="center"/>
                    <w:rPr>
                      <w:b/>
                      <w:bCs/>
                      <w:color w:val="000000" w:themeColor="text1"/>
                      <w:kern w:val="0"/>
                      <w:sz w:val="18"/>
                      <w:szCs w:val="18"/>
                      <w14:textFill>
                        <w14:solidFill>
                          <w14:schemeClr w14:val="tx1"/>
                        </w14:solidFill>
                      </w14:textFill>
                    </w:rPr>
                  </w:pPr>
                  <w:r>
                    <w:rPr>
                      <w:b/>
                      <w:bCs/>
                      <w:color w:val="000000" w:themeColor="text1"/>
                      <w:kern w:val="0"/>
                      <w:sz w:val="18"/>
                      <w:szCs w:val="18"/>
                      <w14:textFill>
                        <w14:solidFill>
                          <w14:schemeClr w14:val="tx1"/>
                        </w14:solidFill>
                      </w14:textFill>
                    </w:rPr>
                    <w:t>专项评价类别</w:t>
                  </w:r>
                </w:p>
              </w:tc>
              <w:tc>
                <w:tcPr>
                  <w:tcW w:w="2377" w:type="pct"/>
                  <w:vAlign w:val="center"/>
                </w:tcPr>
                <w:p w14:paraId="31DE2AEE">
                  <w:pPr>
                    <w:autoSpaceDE w:val="0"/>
                    <w:autoSpaceDN w:val="0"/>
                    <w:adjustRightInd w:val="0"/>
                    <w:jc w:val="center"/>
                    <w:rPr>
                      <w:b/>
                      <w:bCs/>
                      <w:color w:val="000000" w:themeColor="text1"/>
                      <w:kern w:val="0"/>
                      <w:sz w:val="18"/>
                      <w:szCs w:val="18"/>
                      <w14:textFill>
                        <w14:solidFill>
                          <w14:schemeClr w14:val="tx1"/>
                        </w14:solidFill>
                      </w14:textFill>
                    </w:rPr>
                  </w:pPr>
                  <w:r>
                    <w:rPr>
                      <w:b/>
                      <w:bCs/>
                      <w:color w:val="000000" w:themeColor="text1"/>
                      <w:kern w:val="0"/>
                      <w:sz w:val="18"/>
                      <w:szCs w:val="18"/>
                      <w14:textFill>
                        <w14:solidFill>
                          <w14:schemeClr w14:val="tx1"/>
                        </w14:solidFill>
                      </w14:textFill>
                    </w:rPr>
                    <w:t>设置原则</w:t>
                  </w:r>
                </w:p>
              </w:tc>
              <w:tc>
                <w:tcPr>
                  <w:tcW w:w="1961" w:type="pct"/>
                  <w:vAlign w:val="center"/>
                </w:tcPr>
                <w:p w14:paraId="3321B7EA">
                  <w:pPr>
                    <w:autoSpaceDE w:val="0"/>
                    <w:autoSpaceDN w:val="0"/>
                    <w:adjustRightInd w:val="0"/>
                    <w:jc w:val="center"/>
                    <w:rPr>
                      <w:b/>
                      <w:bCs/>
                      <w:color w:val="000000" w:themeColor="text1"/>
                      <w:kern w:val="0"/>
                      <w:sz w:val="18"/>
                      <w:szCs w:val="18"/>
                      <w14:textFill>
                        <w14:solidFill>
                          <w14:schemeClr w14:val="tx1"/>
                        </w14:solidFill>
                      </w14:textFill>
                    </w:rPr>
                  </w:pPr>
                  <w:r>
                    <w:rPr>
                      <w:b/>
                      <w:bCs/>
                      <w:color w:val="000000" w:themeColor="text1"/>
                      <w:kern w:val="0"/>
                      <w:sz w:val="18"/>
                      <w:szCs w:val="18"/>
                      <w14:textFill>
                        <w14:solidFill>
                          <w14:schemeClr w14:val="tx1"/>
                        </w14:solidFill>
                      </w14:textFill>
                    </w:rPr>
                    <w:t>本项目情况</w:t>
                  </w:r>
                </w:p>
              </w:tc>
            </w:tr>
            <w:tr w14:paraId="09E4E84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662" w:type="pct"/>
                  <w:vAlign w:val="center"/>
                </w:tcPr>
                <w:p w14:paraId="2A63AD53">
                  <w:pPr>
                    <w:autoSpaceDE w:val="0"/>
                    <w:autoSpaceDN w:val="0"/>
                    <w:adjustRightIn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大气</w:t>
                  </w:r>
                </w:p>
              </w:tc>
              <w:tc>
                <w:tcPr>
                  <w:tcW w:w="2377" w:type="pct"/>
                  <w:vAlign w:val="center"/>
                </w:tcPr>
                <w:p w14:paraId="4CFD1C2C">
                  <w:pPr>
                    <w:autoSpaceDE w:val="0"/>
                    <w:autoSpaceDN w:val="0"/>
                    <w:adjustRightInd w:val="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排放废气含有毒有害污染物、二噁英、苯并[a]芘、氰化物、氯气且厂界外500米范围内有环境空气保护目标的建设项目</w:t>
                  </w:r>
                </w:p>
              </w:tc>
              <w:tc>
                <w:tcPr>
                  <w:tcW w:w="1961" w:type="pct"/>
                  <w:vAlign w:val="center"/>
                </w:tcPr>
                <w:p w14:paraId="252EA7B7">
                  <w:pPr>
                    <w:autoSpaceDE w:val="0"/>
                    <w:autoSpaceDN w:val="0"/>
                    <w:adjustRightInd w:val="0"/>
                    <w:jc w:val="left"/>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本项目不涉及有毒有害污染物、二噁英、</w:t>
                  </w:r>
                  <w:r>
                    <w:rPr>
                      <w:color w:val="000000" w:themeColor="text1"/>
                      <w:kern w:val="0"/>
                      <w:sz w:val="18"/>
                      <w:szCs w:val="18"/>
                      <w14:textFill>
                        <w14:solidFill>
                          <w14:schemeClr w14:val="tx1"/>
                        </w14:solidFill>
                      </w14:textFill>
                    </w:rPr>
                    <w:t>苯并[a]芘、氰化物、氯气</w:t>
                  </w:r>
                  <w:r>
                    <w:rPr>
                      <w:rFonts w:hint="eastAsia"/>
                      <w:color w:val="000000" w:themeColor="text1"/>
                      <w:kern w:val="0"/>
                      <w:sz w:val="18"/>
                      <w:szCs w:val="18"/>
                      <w14:textFill>
                        <w14:solidFill>
                          <w14:schemeClr w14:val="tx1"/>
                        </w14:solidFill>
                      </w14:textFill>
                    </w:rPr>
                    <w:t>排放</w:t>
                  </w:r>
                </w:p>
              </w:tc>
            </w:tr>
            <w:tr w14:paraId="328F84F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662" w:type="pct"/>
                  <w:vAlign w:val="center"/>
                </w:tcPr>
                <w:p w14:paraId="2DAED81C">
                  <w:pPr>
                    <w:autoSpaceDE w:val="0"/>
                    <w:autoSpaceDN w:val="0"/>
                    <w:adjustRightIn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地表水</w:t>
                  </w:r>
                </w:p>
              </w:tc>
              <w:tc>
                <w:tcPr>
                  <w:tcW w:w="2377" w:type="pct"/>
                  <w:vAlign w:val="center"/>
                </w:tcPr>
                <w:p w14:paraId="27A5837D">
                  <w:pPr>
                    <w:autoSpaceDE w:val="0"/>
                    <w:autoSpaceDN w:val="0"/>
                    <w:adjustRightInd w:val="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新增工业废水直排建设项目（槽罐车外送污水处理厂的除外）；新增废水直排的污水集中处理厂</w:t>
                  </w:r>
                </w:p>
              </w:tc>
              <w:tc>
                <w:tcPr>
                  <w:tcW w:w="1961" w:type="pct"/>
                  <w:vAlign w:val="center"/>
                </w:tcPr>
                <w:p w14:paraId="13B219AC">
                  <w:pPr>
                    <w:autoSpaceDE w:val="0"/>
                    <w:autoSpaceDN w:val="0"/>
                    <w:adjustRightInd w:val="0"/>
                    <w:jc w:val="left"/>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本项目非工业生产项目，无工业废水直接排放</w:t>
                  </w:r>
                </w:p>
              </w:tc>
            </w:tr>
            <w:tr w14:paraId="223D1B7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662" w:type="pct"/>
                  <w:vAlign w:val="center"/>
                </w:tcPr>
                <w:p w14:paraId="46EDF63D">
                  <w:pPr>
                    <w:autoSpaceDE w:val="0"/>
                    <w:autoSpaceDN w:val="0"/>
                    <w:adjustRightIn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环境风险</w:t>
                  </w:r>
                </w:p>
              </w:tc>
              <w:tc>
                <w:tcPr>
                  <w:tcW w:w="2377" w:type="pct"/>
                  <w:vAlign w:val="center"/>
                </w:tcPr>
                <w:p w14:paraId="320C6691">
                  <w:pPr>
                    <w:autoSpaceDE w:val="0"/>
                    <w:autoSpaceDN w:val="0"/>
                    <w:adjustRightInd w:val="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有毒有害和易燃易爆危险物质存储量超过临界量的建设项目</w:t>
                  </w:r>
                </w:p>
              </w:tc>
              <w:tc>
                <w:tcPr>
                  <w:tcW w:w="1961" w:type="pct"/>
                  <w:vAlign w:val="center"/>
                </w:tcPr>
                <w:p w14:paraId="20C78B70">
                  <w:pPr>
                    <w:autoSpaceDE w:val="0"/>
                    <w:autoSpaceDN w:val="0"/>
                    <w:adjustRightInd w:val="0"/>
                    <w:jc w:val="left"/>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本项目</w:t>
                  </w:r>
                  <w:r>
                    <w:rPr>
                      <w:color w:val="000000" w:themeColor="text1"/>
                      <w:kern w:val="0"/>
                      <w:sz w:val="18"/>
                      <w:szCs w:val="18"/>
                      <w14:textFill>
                        <w14:solidFill>
                          <w14:schemeClr w14:val="tx1"/>
                        </w14:solidFill>
                      </w14:textFill>
                    </w:rPr>
                    <w:t>有毒有害和易燃易爆危险物质</w:t>
                  </w:r>
                  <w:r>
                    <w:rPr>
                      <w:rFonts w:hint="eastAsia"/>
                      <w:color w:val="000000" w:themeColor="text1"/>
                      <w:kern w:val="0"/>
                      <w:sz w:val="18"/>
                      <w:szCs w:val="18"/>
                      <w14:textFill>
                        <w14:solidFill>
                          <w14:schemeClr w14:val="tx1"/>
                        </w14:solidFill>
                      </w14:textFill>
                    </w:rPr>
                    <w:t>未超过临界量</w:t>
                  </w:r>
                </w:p>
              </w:tc>
            </w:tr>
            <w:tr w14:paraId="3035DA0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662" w:type="pct"/>
                  <w:vAlign w:val="center"/>
                </w:tcPr>
                <w:p w14:paraId="1D533431">
                  <w:pPr>
                    <w:autoSpaceDE w:val="0"/>
                    <w:autoSpaceDN w:val="0"/>
                    <w:adjustRightIn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生态</w:t>
                  </w:r>
                </w:p>
              </w:tc>
              <w:tc>
                <w:tcPr>
                  <w:tcW w:w="2377" w:type="pct"/>
                  <w:vAlign w:val="center"/>
                </w:tcPr>
                <w:p w14:paraId="1C0609BB">
                  <w:pPr>
                    <w:autoSpaceDE w:val="0"/>
                    <w:autoSpaceDN w:val="0"/>
                    <w:adjustRightInd w:val="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取水口下游500米范围内有重要水生生物的自然产卵场、索饵场、越冬场和洄游通道的新增河道取水的污染类建设项目</w:t>
                  </w:r>
                </w:p>
              </w:tc>
              <w:tc>
                <w:tcPr>
                  <w:tcW w:w="1961" w:type="pct"/>
                  <w:vAlign w:val="center"/>
                </w:tcPr>
                <w:p w14:paraId="2EAFFAD0">
                  <w:pPr>
                    <w:autoSpaceDE w:val="0"/>
                    <w:autoSpaceDN w:val="0"/>
                    <w:adjustRightInd w:val="0"/>
                    <w:jc w:val="left"/>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本项目非生态型建设项目</w:t>
                  </w:r>
                </w:p>
              </w:tc>
            </w:tr>
            <w:tr w14:paraId="56510CB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662" w:type="pct"/>
                  <w:vAlign w:val="center"/>
                </w:tcPr>
                <w:p w14:paraId="1CF9F791">
                  <w:pPr>
                    <w:autoSpaceDE w:val="0"/>
                    <w:autoSpaceDN w:val="0"/>
                    <w:adjustRightIn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海洋</w:t>
                  </w:r>
                </w:p>
              </w:tc>
              <w:tc>
                <w:tcPr>
                  <w:tcW w:w="2377" w:type="pct"/>
                  <w:vAlign w:val="center"/>
                </w:tcPr>
                <w:p w14:paraId="3C9B31EB">
                  <w:pPr>
                    <w:autoSpaceDE w:val="0"/>
                    <w:autoSpaceDN w:val="0"/>
                    <w:adjustRightInd w:val="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直接向海排放污染物的海洋工程建设项目</w:t>
                  </w:r>
                </w:p>
              </w:tc>
              <w:tc>
                <w:tcPr>
                  <w:tcW w:w="1961" w:type="pct"/>
                  <w:vAlign w:val="center"/>
                </w:tcPr>
                <w:p w14:paraId="28D6DFB6">
                  <w:pPr>
                    <w:autoSpaceDE w:val="0"/>
                    <w:autoSpaceDN w:val="0"/>
                    <w:adjustRightInd w:val="0"/>
                    <w:jc w:val="left"/>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本项目非海洋建设工程</w:t>
                  </w:r>
                </w:p>
              </w:tc>
            </w:tr>
          </w:tbl>
          <w:p w14:paraId="7E612915">
            <w:pPr>
              <w:pStyle w:val="127"/>
              <w:ind w:firstLine="480" w:firstLineChars="200"/>
              <w:jc w:val="left"/>
              <w:rPr>
                <w:b/>
                <w:bCs/>
                <w:color w:val="000000" w:themeColor="text1"/>
                <w14:textFill>
                  <w14:solidFill>
                    <w14:schemeClr w14:val="tx1"/>
                  </w14:solidFill>
                </w14:textFill>
              </w:rPr>
            </w:pPr>
            <w:r>
              <w:rPr>
                <w:rFonts w:hint="eastAsia"/>
                <w:color w:val="000000" w:themeColor="text1"/>
                <w:kern w:val="0"/>
                <w14:textFill>
                  <w14:solidFill>
                    <w14:schemeClr w14:val="tx1"/>
                  </w14:solidFill>
                </w14:textFill>
              </w:rPr>
              <w:t>综上所述，本项目不设置专题或专项评价。</w:t>
            </w:r>
          </w:p>
        </w:tc>
      </w:tr>
      <w:tr w14:paraId="1DFE588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615" w:type="dxa"/>
            <w:vAlign w:val="center"/>
          </w:tcPr>
          <w:p w14:paraId="61784629">
            <w:pPr>
              <w:pStyle w:val="173"/>
              <w:rPr>
                <w:color w:val="000000" w:themeColor="text1"/>
                <w:kern w:val="0"/>
                <w14:textFill>
                  <w14:solidFill>
                    <w14:schemeClr w14:val="tx1"/>
                  </w14:solidFill>
                </w14:textFill>
              </w:rPr>
            </w:pPr>
            <w:r>
              <w:rPr>
                <w:color w:val="000000" w:themeColor="text1"/>
                <w14:textFill>
                  <w14:solidFill>
                    <w14:schemeClr w14:val="tx1"/>
                  </w14:solidFill>
                </w14:textFill>
              </w:rPr>
              <w:t>规划情况</w:t>
            </w:r>
          </w:p>
        </w:tc>
        <w:tc>
          <w:tcPr>
            <w:tcW w:w="8340" w:type="dxa"/>
            <w:gridSpan w:val="3"/>
            <w:vAlign w:val="center"/>
          </w:tcPr>
          <w:p w14:paraId="5E288F33">
            <w:pPr>
              <w:spacing w:line="360" w:lineRule="auto"/>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规划名称：《江西乐平工业园区扩区调区控制性详细规划》；</w:t>
            </w:r>
          </w:p>
          <w:p w14:paraId="550A7E7A">
            <w:pPr>
              <w:spacing w:line="360" w:lineRule="auto"/>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审查单位：江西省人民政府办公厅；</w:t>
            </w:r>
          </w:p>
          <w:p w14:paraId="0EA2FE31">
            <w:pPr>
              <w:spacing w:line="360" w:lineRule="auto"/>
              <w:jc w:val="left"/>
              <w:rPr>
                <w:color w:val="000000" w:themeColor="text1"/>
                <w14:textFill>
                  <w14:solidFill>
                    <w14:schemeClr w14:val="tx1"/>
                  </w14:solidFill>
                </w14:textFill>
              </w:rPr>
            </w:pPr>
            <w:r>
              <w:rPr>
                <w:rFonts w:hint="eastAsia"/>
                <w:color w:val="000000" w:themeColor="text1"/>
                <w:sz w:val="24"/>
                <w14:textFill>
                  <w14:solidFill>
                    <w14:schemeClr w14:val="tx1"/>
                  </w14:solidFill>
                </w14:textFill>
              </w:rPr>
              <w:t>审查文件名称及文号：《江西省人民政府办公厅关于同意万载工业园区等</w:t>
            </w:r>
            <w:r>
              <w:rPr>
                <w:color w:val="000000" w:themeColor="text1"/>
                <w:sz w:val="24"/>
                <w14:textFill>
                  <w14:solidFill>
                    <w14:schemeClr w14:val="tx1"/>
                  </w14:solidFill>
                </w14:textFill>
              </w:rPr>
              <w:t>3</w:t>
            </w:r>
            <w:r>
              <w:rPr>
                <w:rFonts w:hint="eastAsia"/>
                <w:color w:val="000000" w:themeColor="text1"/>
                <w:sz w:val="24"/>
                <w14:textFill>
                  <w14:solidFill>
                    <w14:schemeClr w14:val="tx1"/>
                  </w14:solidFill>
                </w14:textFill>
              </w:rPr>
              <w:t>个开发区扩区调区的函》（赣府厅字〔</w:t>
            </w:r>
            <w:r>
              <w:rPr>
                <w:color w:val="000000" w:themeColor="text1"/>
                <w:sz w:val="24"/>
                <w14:textFill>
                  <w14:solidFill>
                    <w14:schemeClr w14:val="tx1"/>
                  </w14:solidFill>
                </w14:textFill>
              </w:rPr>
              <w:t>2024</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号）。</w:t>
            </w:r>
          </w:p>
        </w:tc>
      </w:tr>
      <w:tr w14:paraId="198191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1615" w:type="dxa"/>
            <w:vAlign w:val="center"/>
          </w:tcPr>
          <w:p w14:paraId="4197B5EC">
            <w:pPr>
              <w:adjustRightInd w:val="0"/>
              <w:snapToGrid w:val="0"/>
              <w:jc w:val="center"/>
              <w:rPr>
                <w:color w:val="000000" w:themeColor="text1"/>
                <w:kern w:val="0"/>
                <w:sz w:val="24"/>
                <w14:textFill>
                  <w14:solidFill>
                    <w14:schemeClr w14:val="tx1"/>
                  </w14:solidFill>
                </w14:textFill>
              </w:rPr>
            </w:pPr>
            <w:r>
              <w:rPr>
                <w:rStyle w:val="172"/>
                <w:color w:val="000000" w:themeColor="text1"/>
                <w14:textFill>
                  <w14:solidFill>
                    <w14:schemeClr w14:val="tx1"/>
                  </w14:solidFill>
                </w14:textFill>
              </w:rPr>
              <w:t>规划环境影响评价情况</w:t>
            </w:r>
          </w:p>
        </w:tc>
        <w:tc>
          <w:tcPr>
            <w:tcW w:w="8340" w:type="dxa"/>
            <w:gridSpan w:val="3"/>
            <w:vAlign w:val="center"/>
          </w:tcPr>
          <w:p w14:paraId="742AE803">
            <w:pPr>
              <w:tabs>
                <w:tab w:val="left" w:pos="0"/>
              </w:tabs>
              <w:spacing w:line="360" w:lineRule="auto"/>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1、规划环境影响评价文件名称：《江西乐平工业园区扩区调区规划环境影响报告书》；</w:t>
            </w:r>
          </w:p>
          <w:p w14:paraId="2D13ADA8">
            <w:pPr>
              <w:tabs>
                <w:tab w:val="left" w:pos="0"/>
              </w:tabs>
              <w:spacing w:line="360" w:lineRule="auto"/>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2、审查机关：江西省生态环境厅；</w:t>
            </w:r>
          </w:p>
          <w:p w14:paraId="66F9D587">
            <w:pPr>
              <w:pStyle w:val="93"/>
              <w:rPr>
                <w:color w:val="000000" w:themeColor="text1"/>
                <w14:textFill>
                  <w14:solidFill>
                    <w14:schemeClr w14:val="tx1"/>
                  </w14:solidFill>
                </w14:textFill>
              </w:rPr>
            </w:pPr>
            <w:r>
              <w:rPr>
                <w:rFonts w:hint="eastAsia"/>
                <w:color w:val="000000" w:themeColor="text1"/>
                <w14:textFill>
                  <w14:solidFill>
                    <w14:schemeClr w14:val="tx1"/>
                  </w14:solidFill>
                </w14:textFill>
              </w:rPr>
              <w:t>3、审查文件名称及文号：《江西省生态环境厅关于江西乐平工业园区扩区调区规划环境影响报告书审查意见的函》（赣环环评函〔</w:t>
            </w:r>
            <w:r>
              <w:rPr>
                <w:color w:val="000000" w:themeColor="text1"/>
                <w14:textFill>
                  <w14:solidFill>
                    <w14:schemeClr w14:val="tx1"/>
                  </w14:solidFill>
                </w14:textFill>
              </w:rPr>
              <w:t>2023</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267</w:t>
            </w:r>
            <w:r>
              <w:rPr>
                <w:rFonts w:hint="eastAsia"/>
                <w:color w:val="000000" w:themeColor="text1"/>
                <w14:textFill>
                  <w14:solidFill>
                    <w14:schemeClr w14:val="tx1"/>
                  </w14:solidFill>
                </w14:textFill>
              </w:rPr>
              <w:t>号）</w:t>
            </w:r>
          </w:p>
        </w:tc>
      </w:tr>
      <w:tr w14:paraId="450EB8F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1615" w:type="dxa"/>
            <w:vAlign w:val="center"/>
          </w:tcPr>
          <w:p w14:paraId="1AB8E10E">
            <w:pPr>
              <w:adjustRightInd w:val="0"/>
              <w:snapToGrid w:val="0"/>
              <w:jc w:val="center"/>
              <w:rPr>
                <w:rStyle w:val="172"/>
                <w:color w:val="000000" w:themeColor="text1"/>
                <w14:textFill>
                  <w14:solidFill>
                    <w14:schemeClr w14:val="tx1"/>
                  </w14:solidFill>
                </w14:textFill>
              </w:rPr>
            </w:pPr>
            <w:r>
              <w:rPr>
                <w:b/>
                <w:bCs/>
                <w:color w:val="000000" w:themeColor="text1"/>
                <w:kern w:val="0"/>
                <w:sz w:val="24"/>
                <w14:textFill>
                  <w14:solidFill>
                    <w14:schemeClr w14:val="tx1"/>
                  </w14:solidFill>
                </w14:textFill>
              </w:rPr>
              <w:t>规划及规划环境影响评价符合性分析</w:t>
            </w:r>
          </w:p>
        </w:tc>
        <w:tc>
          <w:tcPr>
            <w:tcW w:w="8340" w:type="dxa"/>
            <w:gridSpan w:val="3"/>
            <w:vAlign w:val="center"/>
          </w:tcPr>
          <w:p w14:paraId="419E96F9">
            <w:pPr>
              <w:tabs>
                <w:tab w:val="left" w:pos="0"/>
              </w:tabs>
              <w:spacing w:line="360" w:lineRule="auto"/>
              <w:ind w:firstLine="482" w:firstLineChars="200"/>
              <w:jc w:val="left"/>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一、与</w:t>
            </w:r>
            <w:r>
              <w:rPr>
                <w:rFonts w:hint="eastAsia"/>
                <w:b/>
                <w:bCs/>
                <w:color w:val="000000" w:themeColor="text1"/>
                <w:sz w:val="24"/>
                <w14:textFill>
                  <w14:solidFill>
                    <w14:schemeClr w14:val="tx1"/>
                  </w14:solidFill>
                </w14:textFill>
              </w:rPr>
              <w:t>《江西乐平工业园区扩区调区塔山、鸣山工业园控制性详细规划》</w:t>
            </w:r>
            <w:r>
              <w:rPr>
                <w:b/>
                <w:bCs/>
                <w:color w:val="000000" w:themeColor="text1"/>
                <w:sz w:val="24"/>
                <w14:textFill>
                  <w14:solidFill>
                    <w14:schemeClr w14:val="tx1"/>
                  </w14:solidFill>
                </w14:textFill>
              </w:rPr>
              <w:t>相符性分析</w:t>
            </w:r>
          </w:p>
          <w:p w14:paraId="7C12B3D5">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根据《江西乐平工业园区中长期发展规划（</w:t>
            </w:r>
            <w:r>
              <w:rPr>
                <w:color w:val="000000" w:themeColor="text1"/>
                <w:sz w:val="24"/>
                <w14:textFill>
                  <w14:solidFill>
                    <w14:schemeClr w14:val="tx1"/>
                  </w14:solidFill>
                </w14:textFill>
              </w:rPr>
              <w:t>2022-2030</w:t>
            </w:r>
            <w:r>
              <w:rPr>
                <w:rFonts w:hint="eastAsia"/>
                <w:color w:val="000000" w:themeColor="text1"/>
                <w:sz w:val="24"/>
                <w14:textFill>
                  <w14:solidFill>
                    <w14:schemeClr w14:val="tx1"/>
                  </w14:solidFill>
                </w14:textFill>
              </w:rPr>
              <w:t>年）》，本次规划期限为</w:t>
            </w:r>
            <w:r>
              <w:rPr>
                <w:color w:val="000000" w:themeColor="text1"/>
                <w:sz w:val="24"/>
                <w14:textFill>
                  <w14:solidFill>
                    <w14:schemeClr w14:val="tx1"/>
                  </w14:solidFill>
                </w14:textFill>
              </w:rPr>
              <w:t>2022-2030</w:t>
            </w:r>
            <w:r>
              <w:rPr>
                <w:rFonts w:hint="eastAsia"/>
                <w:color w:val="000000" w:themeColor="text1"/>
                <w:sz w:val="24"/>
                <w14:textFill>
                  <w14:solidFill>
                    <w14:schemeClr w14:val="tx1"/>
                  </w14:solidFill>
                </w14:textFill>
              </w:rPr>
              <w:t>年，基准年为</w:t>
            </w:r>
            <w:r>
              <w:rPr>
                <w:color w:val="000000" w:themeColor="text1"/>
                <w:sz w:val="24"/>
                <w14:textFill>
                  <w14:solidFill>
                    <w14:schemeClr w14:val="tx1"/>
                  </w14:solidFill>
                </w14:textFill>
              </w:rPr>
              <w:t>2021</w:t>
            </w:r>
            <w:r>
              <w:rPr>
                <w:rFonts w:hint="eastAsia"/>
                <w:color w:val="000000" w:themeColor="text1"/>
                <w:sz w:val="24"/>
                <w14:textFill>
                  <w14:solidFill>
                    <w14:schemeClr w14:val="tx1"/>
                  </w14:solidFill>
                </w14:textFill>
              </w:rPr>
              <w:t>年，分为近期和中长期两个阶段。具体内容如下：</w:t>
            </w:r>
          </w:p>
          <w:p w14:paraId="7489E95D">
            <w:pPr>
              <w:tabs>
                <w:tab w:val="left" w:pos="0"/>
              </w:tabs>
              <w:spacing w:line="360" w:lineRule="auto"/>
              <w:ind w:firstLine="482" w:firstLineChars="200"/>
              <w:jc w:val="left"/>
              <w:rPr>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规划范围</w:t>
            </w:r>
            <w:r>
              <w:rPr>
                <w:rFonts w:hint="eastAsia"/>
                <w:color w:val="000000" w:themeColor="text1"/>
                <w:sz w:val="24"/>
                <w14:textFill>
                  <w14:solidFill>
                    <w14:schemeClr w14:val="tx1"/>
                  </w14:solidFill>
                </w14:textFill>
              </w:rPr>
              <w:t>：</w:t>
            </w:r>
          </w:p>
          <w:p w14:paraId="69CA7FB5">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塔山工业园规划面积</w:t>
            </w:r>
            <w:r>
              <w:rPr>
                <w:color w:val="000000" w:themeColor="text1"/>
                <w:sz w:val="24"/>
                <w14:textFill>
                  <w14:solidFill>
                    <w14:schemeClr w14:val="tx1"/>
                  </w14:solidFill>
                </w14:textFill>
              </w:rPr>
              <w:t>1069.52</w:t>
            </w:r>
            <w:r>
              <w:rPr>
                <w:rFonts w:hint="eastAsia"/>
                <w:color w:val="000000" w:themeColor="text1"/>
                <w:sz w:val="24"/>
                <w14:textFill>
                  <w14:solidFill>
                    <w14:schemeClr w14:val="tx1"/>
                  </w14:solidFill>
                </w14:textFill>
              </w:rPr>
              <w:t>公顷，扩区后四至范围为：东临塔山十四路、塔山十五路及自然山体阻隔，南至</w:t>
            </w:r>
            <w:r>
              <w:rPr>
                <w:color w:val="000000" w:themeColor="text1"/>
                <w:sz w:val="24"/>
                <w14:textFill>
                  <w14:solidFill>
                    <w14:schemeClr w14:val="tx1"/>
                  </w14:solidFill>
                </w14:textFill>
              </w:rPr>
              <w:t>S411</w:t>
            </w:r>
            <w:r>
              <w:rPr>
                <w:rFonts w:hint="eastAsia"/>
                <w:color w:val="000000" w:themeColor="text1"/>
                <w:sz w:val="24"/>
                <w14:textFill>
                  <w14:solidFill>
                    <w14:schemeClr w14:val="tx1"/>
                  </w14:solidFill>
                </w14:textFill>
              </w:rPr>
              <w:t>（老屋村、洪家），西接塔山九路、塔山八路和塔山西路</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塔山村，临近乐安河</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，北至工业五路和工业一路（沈家岭、上畈村）。</w:t>
            </w:r>
          </w:p>
          <w:p w14:paraId="18922463">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鸣山工业园规划面积</w:t>
            </w:r>
            <w:r>
              <w:rPr>
                <w:color w:val="000000" w:themeColor="text1"/>
                <w:sz w:val="24"/>
                <w14:textFill>
                  <w14:solidFill>
                    <w14:schemeClr w14:val="tx1"/>
                  </w14:solidFill>
                </w14:textFill>
              </w:rPr>
              <w:t>66.99</w:t>
            </w:r>
            <w:r>
              <w:rPr>
                <w:rFonts w:hint="eastAsia"/>
                <w:color w:val="000000" w:themeColor="text1"/>
                <w:sz w:val="24"/>
                <w14:textFill>
                  <w14:solidFill>
                    <w14:schemeClr w14:val="tx1"/>
                  </w14:solidFill>
                </w14:textFill>
              </w:rPr>
              <w:t>公顷，规划范围为：东至经三路、南至纬二路、西至支一路、北至</w:t>
            </w:r>
            <w:r>
              <w:rPr>
                <w:color w:val="000000" w:themeColor="text1"/>
                <w:sz w:val="24"/>
                <w14:textFill>
                  <w14:solidFill>
                    <w14:schemeClr w14:val="tx1"/>
                  </w14:solidFill>
                </w14:textFill>
              </w:rPr>
              <w:t>S306</w:t>
            </w:r>
            <w:r>
              <w:rPr>
                <w:rFonts w:hint="eastAsia"/>
                <w:color w:val="000000" w:themeColor="text1"/>
                <w:sz w:val="24"/>
                <w14:textFill>
                  <w14:solidFill>
                    <w14:schemeClr w14:val="tx1"/>
                  </w14:solidFill>
                </w14:textFill>
              </w:rPr>
              <w:t>。</w:t>
            </w:r>
          </w:p>
          <w:p w14:paraId="398AB771">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金山工业园规面积为</w:t>
            </w:r>
            <w:r>
              <w:rPr>
                <w:color w:val="000000" w:themeColor="text1"/>
                <w:sz w:val="24"/>
                <w14:textFill>
                  <w14:solidFill>
                    <w14:schemeClr w14:val="tx1"/>
                  </w14:solidFill>
                </w14:textFill>
              </w:rPr>
              <w:t>642.55</w:t>
            </w:r>
            <w:r>
              <w:rPr>
                <w:rFonts w:hint="eastAsia"/>
                <w:color w:val="000000" w:themeColor="text1"/>
                <w:sz w:val="24"/>
                <w14:textFill>
                  <w14:solidFill>
                    <w14:schemeClr w14:val="tx1"/>
                  </w14:solidFill>
                </w14:textFill>
              </w:rPr>
              <w:t>公顷，规划范围为：东临规划</w:t>
            </w:r>
            <w:r>
              <w:rPr>
                <w:color w:val="000000" w:themeColor="text1"/>
                <w:sz w:val="24"/>
                <w14:textFill>
                  <w14:solidFill>
                    <w14:schemeClr w14:val="tx1"/>
                  </w14:solidFill>
                </w14:textFill>
              </w:rPr>
              <w:t>S205</w:t>
            </w:r>
            <w:r>
              <w:rPr>
                <w:rFonts w:hint="eastAsia"/>
                <w:color w:val="000000" w:themeColor="text1"/>
                <w:sz w:val="24"/>
                <w14:textFill>
                  <w14:solidFill>
                    <w14:schemeClr w14:val="tx1"/>
                  </w14:solidFill>
                </w14:textFill>
              </w:rPr>
              <w:t>、南至吴乐线、西接</w:t>
            </w:r>
            <w:r>
              <w:rPr>
                <w:color w:val="000000" w:themeColor="text1"/>
                <w:sz w:val="24"/>
                <w14:textFill>
                  <w14:solidFill>
                    <w14:schemeClr w14:val="tx1"/>
                  </w14:solidFill>
                </w14:textFill>
              </w:rPr>
              <w:t>G206</w:t>
            </w:r>
            <w:r>
              <w:rPr>
                <w:rFonts w:hint="eastAsia"/>
                <w:color w:val="000000" w:themeColor="text1"/>
                <w:sz w:val="24"/>
                <w14:textFill>
                  <w14:solidFill>
                    <w14:schemeClr w14:val="tx1"/>
                  </w14:solidFill>
                </w14:textFill>
              </w:rPr>
              <w:t>，北至规划新建</w:t>
            </w:r>
            <w:r>
              <w:rPr>
                <w:color w:val="000000" w:themeColor="text1"/>
                <w:sz w:val="24"/>
                <w14:textFill>
                  <w14:solidFill>
                    <w14:schemeClr w14:val="tx1"/>
                  </w14:solidFill>
                </w14:textFill>
              </w:rPr>
              <w:t>S306</w:t>
            </w:r>
            <w:r>
              <w:rPr>
                <w:rFonts w:hint="eastAsia"/>
                <w:color w:val="000000" w:themeColor="text1"/>
                <w:sz w:val="24"/>
                <w14:textFill>
                  <w14:solidFill>
                    <w14:schemeClr w14:val="tx1"/>
                  </w14:solidFill>
                </w14:textFill>
              </w:rPr>
              <w:t>。</w:t>
            </w:r>
          </w:p>
          <w:p w14:paraId="19AC3CD9">
            <w:pPr>
              <w:tabs>
                <w:tab w:val="left" w:pos="0"/>
              </w:tabs>
              <w:spacing w:line="360" w:lineRule="auto"/>
              <w:ind w:firstLine="482" w:firstLineChars="200"/>
              <w:jc w:val="left"/>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产业布局：</w:t>
            </w:r>
          </w:p>
          <w:p w14:paraId="7FA71FA7">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塔山工业园：重点发展精细化工、医药化工、新材料、新型建材、有色金属冶炼（仅限于贵金属回收利用）等产业；</w:t>
            </w:r>
          </w:p>
          <w:p w14:paraId="49764D2B">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鸣山工业园：着重发展新型建材、机械电子等产业；</w:t>
            </w:r>
          </w:p>
          <w:p w14:paraId="5A7B3C11">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金山工业园：着重新型建材、机械电子、有色金属制品、绿色纺织化纤等产业。</w:t>
            </w:r>
          </w:p>
          <w:p w14:paraId="44BC4306">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本项目生产水稳料，属于</w:t>
            </w:r>
            <w:bookmarkStart w:id="12" w:name="OLE_LINK8"/>
            <w:r>
              <w:rPr>
                <w:rFonts w:hint="eastAsia"/>
                <w:color w:val="000000" w:themeColor="text1"/>
                <w:sz w:val="24"/>
                <w14:textFill>
                  <w14:solidFill>
                    <w14:schemeClr w14:val="tx1"/>
                  </w14:solidFill>
                </w14:textFill>
              </w:rPr>
              <w:t>其他水泥类似制品制造</w:t>
            </w:r>
            <w:bookmarkEnd w:id="12"/>
            <w:r>
              <w:rPr>
                <w:rFonts w:hint="eastAsia"/>
                <w:color w:val="000000" w:themeColor="text1"/>
                <w:sz w:val="24"/>
                <w14:textFill>
                  <w14:solidFill>
                    <w14:schemeClr w14:val="tx1"/>
                  </w14:solidFill>
                </w14:textFill>
              </w:rPr>
              <w:t>，位于金山工业园有色金属制品产业区，与金山工业园的新型建材产业</w:t>
            </w:r>
            <w:r>
              <w:rPr>
                <w:color w:val="000000" w:themeColor="text1"/>
                <w:sz w:val="24"/>
                <w14:textFill>
                  <w14:solidFill>
                    <w14:schemeClr w14:val="tx1"/>
                  </w14:solidFill>
                </w14:textFill>
              </w:rPr>
              <w:t>规划方向相契合</w:t>
            </w:r>
            <w:r>
              <w:rPr>
                <w:rFonts w:hint="eastAsia"/>
                <w:color w:val="000000" w:themeColor="text1"/>
                <w:sz w:val="24"/>
                <w14:textFill>
                  <w14:solidFill>
                    <w14:schemeClr w14:val="tx1"/>
                  </w14:solidFill>
                </w14:textFill>
              </w:rPr>
              <w:t>，能够融入园区的产业发展格局，为园区的基础设施建设提供基础材料支持，属于园区潜力产业发展项目，所以本项目建设与园区规划相符。</w:t>
            </w:r>
          </w:p>
          <w:p w14:paraId="056417C6">
            <w:pPr>
              <w:pStyle w:val="2"/>
              <w:adjustRightInd/>
              <w:spacing w:line="360" w:lineRule="auto"/>
              <w:ind w:firstLine="498" w:firstLineChars="200"/>
              <w:jc w:val="both"/>
              <w:rPr>
                <w:rFonts w:ascii="Times New Roman" w:cs="Times New Roman"/>
                <w:b/>
                <w:bCs/>
                <w:color w:val="000000" w:themeColor="text1"/>
                <w14:textFill>
                  <w14:solidFill>
                    <w14:schemeClr w14:val="tx1"/>
                  </w14:solidFill>
                </w14:textFill>
              </w:rPr>
            </w:pPr>
            <w:r>
              <w:rPr>
                <w:rFonts w:ascii="Times New Roman" w:cs="Times New Roman"/>
                <w:b/>
                <w:bCs/>
                <w:color w:val="000000" w:themeColor="text1"/>
                <w14:textFill>
                  <w14:solidFill>
                    <w14:schemeClr w14:val="tx1"/>
                  </w14:solidFill>
                </w14:textFill>
              </w:rPr>
              <w:t>二、与</w:t>
            </w:r>
            <w:r>
              <w:rPr>
                <w:rFonts w:hint="eastAsia" w:ascii="Times New Roman" w:cs="Times New Roman"/>
                <w:b/>
                <w:bCs/>
                <w:color w:val="000000" w:themeColor="text1"/>
                <w14:textFill>
                  <w14:solidFill>
                    <w14:schemeClr w14:val="tx1"/>
                  </w14:solidFill>
                </w14:textFill>
              </w:rPr>
              <w:t>《江西乐平工业园区扩区调区规划环境影响报告书》</w:t>
            </w:r>
            <w:r>
              <w:rPr>
                <w:rFonts w:ascii="Times New Roman" w:cs="Times New Roman"/>
                <w:b/>
                <w:bCs/>
                <w:color w:val="000000" w:themeColor="text1"/>
                <w14:textFill>
                  <w14:solidFill>
                    <w14:schemeClr w14:val="tx1"/>
                  </w14:solidFill>
                </w14:textFill>
              </w:rPr>
              <w:t>相符性分析</w:t>
            </w:r>
          </w:p>
          <w:p w14:paraId="6BF0AB31">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根据《江西乐平工业园区扩区调区规划环境影响报告书》，江西乐平工业园区规划方案和主要规划内容如下：</w:t>
            </w:r>
          </w:p>
          <w:p w14:paraId="0AE473B6">
            <w:pPr>
              <w:tabs>
                <w:tab w:val="left" w:pos="0"/>
              </w:tabs>
              <w:spacing w:line="360" w:lineRule="auto"/>
              <w:ind w:firstLine="482" w:firstLineChars="200"/>
              <w:jc w:val="left"/>
              <w:rPr>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规划方案：</w:t>
            </w:r>
            <w:r>
              <w:rPr>
                <w:rFonts w:hint="eastAsia"/>
                <w:color w:val="000000" w:themeColor="text1"/>
                <w:sz w:val="24"/>
                <w14:textFill>
                  <w14:solidFill>
                    <w14:schemeClr w14:val="tx1"/>
                  </w14:solidFill>
                </w14:textFill>
              </w:rPr>
              <w:t>本次扩区调区，现有塔山工业园在原核准</w:t>
            </w:r>
            <w:r>
              <w:rPr>
                <w:color w:val="000000" w:themeColor="text1"/>
                <w:sz w:val="24"/>
                <w14:textFill>
                  <w14:solidFill>
                    <w14:schemeClr w14:val="tx1"/>
                  </w14:solidFill>
                </w14:textFill>
              </w:rPr>
              <w:t>321.27hm</w:t>
            </w:r>
            <w:r>
              <w:rPr>
                <w:color w:val="000000" w:themeColor="text1"/>
                <w:sz w:val="24"/>
                <w:vertAlign w:val="superscript"/>
                <w14:textFill>
                  <w14:solidFill>
                    <w14:schemeClr w14:val="tx1"/>
                  </w14:solidFill>
                </w14:textFill>
              </w:rPr>
              <w:t>2</w:t>
            </w:r>
            <w:r>
              <w:rPr>
                <w:rFonts w:hint="eastAsia"/>
                <w:color w:val="000000" w:themeColor="text1"/>
                <w:sz w:val="24"/>
                <w14:textFill>
                  <w14:solidFill>
                    <w14:schemeClr w14:val="tx1"/>
                  </w14:solidFill>
                </w14:textFill>
              </w:rPr>
              <w:t>基础上调减</w:t>
            </w: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个地块</w:t>
            </w:r>
            <w:r>
              <w:rPr>
                <w:color w:val="000000" w:themeColor="text1"/>
                <w:sz w:val="24"/>
                <w14:textFill>
                  <w14:solidFill>
                    <w14:schemeClr w14:val="tx1"/>
                  </w14:solidFill>
                </w14:textFill>
              </w:rPr>
              <w:t>5.5hm</w:t>
            </w:r>
            <w:r>
              <w:rPr>
                <w:color w:val="000000" w:themeColor="text1"/>
                <w:sz w:val="24"/>
                <w:vertAlign w:val="superscript"/>
                <w14:textFill>
                  <w14:solidFill>
                    <w14:schemeClr w14:val="tx1"/>
                  </w14:solidFill>
                </w14:textFill>
              </w:rPr>
              <w:t>2</w:t>
            </w:r>
            <w:r>
              <w:rPr>
                <w:rFonts w:hint="eastAsia"/>
                <w:color w:val="000000" w:themeColor="text1"/>
                <w:sz w:val="24"/>
                <w14:textFill>
                  <w14:solidFill>
                    <w14:schemeClr w14:val="tx1"/>
                  </w14:solidFill>
                </w14:textFill>
              </w:rPr>
              <w:t>，并将面积扩大到</w:t>
            </w:r>
            <w:r>
              <w:rPr>
                <w:color w:val="000000" w:themeColor="text1"/>
                <w:sz w:val="24"/>
                <w14:textFill>
                  <w14:solidFill>
                    <w14:schemeClr w14:val="tx1"/>
                  </w14:solidFill>
                </w14:textFill>
              </w:rPr>
              <w:t>1069.52hm</w:t>
            </w:r>
            <w:r>
              <w:rPr>
                <w:color w:val="000000" w:themeColor="text1"/>
                <w:sz w:val="24"/>
                <w:vertAlign w:val="superscript"/>
                <w14:textFill>
                  <w14:solidFill>
                    <w14:schemeClr w14:val="tx1"/>
                  </w14:solidFill>
                </w14:textFill>
              </w:rPr>
              <w:t>2</w:t>
            </w:r>
            <w:r>
              <w:rPr>
                <w:rFonts w:hint="eastAsia"/>
                <w:color w:val="000000" w:themeColor="text1"/>
                <w:sz w:val="24"/>
                <w14:textFill>
                  <w14:solidFill>
                    <w14:schemeClr w14:val="tx1"/>
                  </w14:solidFill>
                </w14:textFill>
              </w:rPr>
              <w:t>；同时在乐平市东、西两面分别新增金山工业园</w:t>
            </w:r>
            <w:r>
              <w:rPr>
                <w:color w:val="000000" w:themeColor="text1"/>
                <w:sz w:val="24"/>
                <w14:textFill>
                  <w14:solidFill>
                    <w14:schemeClr w14:val="tx1"/>
                  </w14:solidFill>
                </w14:textFill>
              </w:rPr>
              <w:t>642.55hm</w:t>
            </w:r>
            <w:r>
              <w:rPr>
                <w:color w:val="000000" w:themeColor="text1"/>
                <w:sz w:val="24"/>
                <w:vertAlign w:val="superscript"/>
                <w14:textFill>
                  <w14:solidFill>
                    <w14:schemeClr w14:val="tx1"/>
                  </w14:solidFill>
                </w14:textFill>
              </w:rPr>
              <w:t>2</w:t>
            </w:r>
            <w:r>
              <w:rPr>
                <w:rFonts w:hint="eastAsia"/>
                <w:color w:val="000000" w:themeColor="text1"/>
                <w:sz w:val="24"/>
                <w14:textFill>
                  <w14:solidFill>
                    <w14:schemeClr w14:val="tx1"/>
                  </w14:solidFill>
                </w14:textFill>
              </w:rPr>
              <w:t>、鸣山工业园</w:t>
            </w:r>
            <w:r>
              <w:rPr>
                <w:color w:val="000000" w:themeColor="text1"/>
                <w:sz w:val="24"/>
                <w14:textFill>
                  <w14:solidFill>
                    <w14:schemeClr w14:val="tx1"/>
                  </w14:solidFill>
                </w14:textFill>
              </w:rPr>
              <w:t>66.99hm</w:t>
            </w:r>
            <w:r>
              <w:rPr>
                <w:color w:val="000000" w:themeColor="text1"/>
                <w:sz w:val="24"/>
                <w:vertAlign w:val="superscript"/>
                <w14:textFill>
                  <w14:solidFill>
                    <w14:schemeClr w14:val="tx1"/>
                  </w14:solidFill>
                </w14:textFill>
              </w:rPr>
              <w:t>2</w:t>
            </w:r>
            <w:r>
              <w:rPr>
                <w:rFonts w:hint="eastAsia"/>
                <w:color w:val="000000" w:themeColor="text1"/>
                <w:sz w:val="24"/>
                <w14:textFill>
                  <w14:solidFill>
                    <w14:schemeClr w14:val="tx1"/>
                  </w14:solidFill>
                </w14:textFill>
              </w:rPr>
              <w:t>，扩区调区后乐平工业园区总面积增加到</w:t>
            </w:r>
            <w:r>
              <w:rPr>
                <w:color w:val="000000" w:themeColor="text1"/>
                <w:sz w:val="24"/>
                <w14:textFill>
                  <w14:solidFill>
                    <w14:schemeClr w14:val="tx1"/>
                  </w14:solidFill>
                </w14:textFill>
              </w:rPr>
              <w:t>1779.06hm</w:t>
            </w:r>
            <w:r>
              <w:rPr>
                <w:color w:val="000000" w:themeColor="text1"/>
                <w:sz w:val="24"/>
                <w:vertAlign w:val="superscript"/>
                <w14:textFill>
                  <w14:solidFill>
                    <w14:schemeClr w14:val="tx1"/>
                  </w14:solidFill>
                </w14:textFill>
              </w:rPr>
              <w:t>2</w:t>
            </w:r>
            <w:r>
              <w:rPr>
                <w:rFonts w:hint="eastAsia"/>
                <w:color w:val="000000" w:themeColor="text1"/>
                <w:sz w:val="24"/>
                <w14:textFill>
                  <w14:solidFill>
                    <w14:schemeClr w14:val="tx1"/>
                  </w14:solidFill>
                </w14:textFill>
              </w:rPr>
              <w:t>，实际扩大</w:t>
            </w:r>
            <w:r>
              <w:rPr>
                <w:color w:val="000000" w:themeColor="text1"/>
                <w:sz w:val="24"/>
                <w14:textFill>
                  <w14:solidFill>
                    <w14:schemeClr w14:val="tx1"/>
                  </w14:solidFill>
                </w14:textFill>
              </w:rPr>
              <w:t>1463.19hm</w:t>
            </w:r>
            <w:r>
              <w:rPr>
                <w:color w:val="000000" w:themeColor="text1"/>
                <w:sz w:val="24"/>
                <w:vertAlign w:val="superscript"/>
                <w14:textFill>
                  <w14:solidFill>
                    <w14:schemeClr w14:val="tx1"/>
                  </w14:solidFill>
                </w14:textFill>
              </w:rPr>
              <w:t>2</w:t>
            </w:r>
            <w:r>
              <w:rPr>
                <w:rFonts w:hint="eastAsia"/>
                <w:color w:val="000000" w:themeColor="text1"/>
                <w:sz w:val="24"/>
                <w14:textFill>
                  <w14:solidFill>
                    <w14:schemeClr w14:val="tx1"/>
                  </w14:solidFill>
                </w14:textFill>
              </w:rPr>
              <w:t>，形成“一区三园”的格局。</w:t>
            </w:r>
          </w:p>
          <w:p w14:paraId="7937B8CC">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塔山工业园位于乐平市南面的塔山街道，园区北面与乐平市主城区相距约</w:t>
            </w:r>
            <w:r>
              <w:rPr>
                <w:color w:val="000000" w:themeColor="text1"/>
                <w:sz w:val="24"/>
                <w14:textFill>
                  <w14:solidFill>
                    <w14:schemeClr w14:val="tx1"/>
                  </w14:solidFill>
                </w14:textFill>
              </w:rPr>
              <w:t>3.2km</w:t>
            </w:r>
            <w:r>
              <w:rPr>
                <w:rFonts w:hint="eastAsia"/>
                <w:color w:val="000000" w:themeColor="text1"/>
                <w:sz w:val="24"/>
                <w14:textFill>
                  <w14:solidFill>
                    <w14:schemeClr w14:val="tx1"/>
                  </w14:solidFill>
                </w14:textFill>
              </w:rPr>
              <w:t>，园区西、北面紧邻乐安河，最近距离分别为</w:t>
            </w:r>
            <w:r>
              <w:rPr>
                <w:color w:val="000000" w:themeColor="text1"/>
                <w:sz w:val="24"/>
                <w14:textFill>
                  <w14:solidFill>
                    <w14:schemeClr w14:val="tx1"/>
                  </w14:solidFill>
                </w14:textFill>
              </w:rPr>
              <w:t>0.45km</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0.5km</w:t>
            </w:r>
            <w:r>
              <w:rPr>
                <w:rFonts w:hint="eastAsia"/>
                <w:color w:val="000000" w:themeColor="text1"/>
                <w:sz w:val="24"/>
                <w14:textFill>
                  <w14:solidFill>
                    <w14:schemeClr w14:val="tx1"/>
                  </w14:solidFill>
                </w14:textFill>
              </w:rPr>
              <w:t>，东面与乐安河一级支流珠溪河（安殷水）相距约</w:t>
            </w:r>
            <w:r>
              <w:rPr>
                <w:color w:val="000000" w:themeColor="text1"/>
                <w:sz w:val="24"/>
                <w14:textFill>
                  <w14:solidFill>
                    <w14:schemeClr w14:val="tx1"/>
                  </w14:solidFill>
                </w14:textFill>
              </w:rPr>
              <w:t>1.0km</w:t>
            </w:r>
            <w:r>
              <w:rPr>
                <w:rFonts w:hint="eastAsia"/>
                <w:color w:val="000000" w:themeColor="text1"/>
                <w:sz w:val="24"/>
                <w14:textFill>
                  <w14:solidFill>
                    <w14:schemeClr w14:val="tx1"/>
                  </w14:solidFill>
                </w14:textFill>
              </w:rPr>
              <w:t>。本次扩区，塔山园区在原</w:t>
            </w:r>
            <w:r>
              <w:rPr>
                <w:color w:val="000000" w:themeColor="text1"/>
                <w:sz w:val="24"/>
                <w14:textFill>
                  <w14:solidFill>
                    <w14:schemeClr w14:val="tx1"/>
                  </w14:solidFill>
                </w14:textFill>
              </w:rPr>
              <w:t>321.37</w:t>
            </w:r>
            <w:r>
              <w:rPr>
                <w:rFonts w:hint="eastAsia"/>
                <w:color w:val="000000" w:themeColor="text1"/>
                <w:sz w:val="24"/>
                <w14:textFill>
                  <w14:solidFill>
                    <w14:schemeClr w14:val="tx1"/>
                  </w14:solidFill>
                </w14:textFill>
              </w:rPr>
              <w:t>公顷基础上扩大</w:t>
            </w:r>
            <w:r>
              <w:rPr>
                <w:color w:val="000000" w:themeColor="text1"/>
                <w:sz w:val="24"/>
                <w14:textFill>
                  <w14:solidFill>
                    <w14:schemeClr w14:val="tx1"/>
                  </w14:solidFill>
                </w14:textFill>
              </w:rPr>
              <w:t>753.64</w:t>
            </w:r>
            <w:r>
              <w:rPr>
                <w:rFonts w:hint="eastAsia"/>
                <w:color w:val="000000" w:themeColor="text1"/>
                <w:sz w:val="24"/>
                <w14:textFill>
                  <w14:solidFill>
                    <w14:schemeClr w14:val="tx1"/>
                  </w14:solidFill>
                </w14:textFill>
              </w:rPr>
              <w:t>公顷（其中等量置换</w:t>
            </w:r>
            <w:r>
              <w:rPr>
                <w:color w:val="000000" w:themeColor="text1"/>
                <w:sz w:val="24"/>
                <w14:textFill>
                  <w14:solidFill>
                    <w14:schemeClr w14:val="tx1"/>
                  </w14:solidFill>
                </w14:textFill>
              </w:rPr>
              <w:t>5.5</w:t>
            </w:r>
            <w:r>
              <w:rPr>
                <w:rFonts w:hint="eastAsia"/>
                <w:color w:val="000000" w:themeColor="text1"/>
                <w:sz w:val="24"/>
                <w14:textFill>
                  <w14:solidFill>
                    <w14:schemeClr w14:val="tx1"/>
                  </w14:solidFill>
                </w14:textFill>
              </w:rPr>
              <w:t>公顷），总面积增加到</w:t>
            </w:r>
            <w:r>
              <w:rPr>
                <w:color w:val="000000" w:themeColor="text1"/>
                <w:sz w:val="24"/>
                <w14:textFill>
                  <w14:solidFill>
                    <w14:schemeClr w14:val="tx1"/>
                  </w14:solidFill>
                </w14:textFill>
              </w:rPr>
              <w:t>1069.52</w:t>
            </w:r>
            <w:r>
              <w:rPr>
                <w:rFonts w:hint="eastAsia"/>
                <w:color w:val="000000" w:themeColor="text1"/>
                <w:sz w:val="24"/>
                <w14:textFill>
                  <w14:solidFill>
                    <w14:schemeClr w14:val="tx1"/>
                  </w14:solidFill>
                </w14:textFill>
              </w:rPr>
              <w:t>公顷，涉及塔山街道、礼林镇辖区。塔山片区扩区后包络线范围为</w:t>
            </w:r>
            <w:r>
              <w:rPr>
                <w:color w:val="000000" w:themeColor="text1"/>
                <w:sz w:val="24"/>
                <w14:textFill>
                  <w14:solidFill>
                    <w14:schemeClr w14:val="tx1"/>
                  </w14:solidFill>
                </w14:textFill>
              </w:rPr>
              <w:t>1240.62</w:t>
            </w:r>
            <w:r>
              <w:rPr>
                <w:rFonts w:hint="eastAsia"/>
                <w:color w:val="000000" w:themeColor="text1"/>
                <w:sz w:val="24"/>
                <w14:textFill>
                  <w14:solidFill>
                    <w14:schemeClr w14:val="tx1"/>
                  </w14:solidFill>
                </w14:textFill>
              </w:rPr>
              <w:t>公顷，因其内包含有</w:t>
            </w:r>
            <w:r>
              <w:rPr>
                <w:color w:val="000000" w:themeColor="text1"/>
                <w:sz w:val="24"/>
                <w14:textFill>
                  <w14:solidFill>
                    <w14:schemeClr w14:val="tx1"/>
                  </w14:solidFill>
                </w14:textFill>
              </w:rPr>
              <w:t>171.1</w:t>
            </w:r>
            <w:r>
              <w:rPr>
                <w:rFonts w:hint="eastAsia"/>
                <w:color w:val="000000" w:themeColor="text1"/>
                <w:sz w:val="24"/>
                <w14:textFill>
                  <w14:solidFill>
                    <w14:schemeClr w14:val="tx1"/>
                  </w14:solidFill>
                </w14:textFill>
              </w:rPr>
              <w:t>公顷国家级生态公益林，不具备开发条件，本次规划将其扣除。扣除后，塔山工业园实际规划面积为</w:t>
            </w:r>
            <w:r>
              <w:rPr>
                <w:color w:val="000000" w:themeColor="text1"/>
                <w:sz w:val="24"/>
                <w14:textFill>
                  <w14:solidFill>
                    <w14:schemeClr w14:val="tx1"/>
                  </w14:solidFill>
                </w14:textFill>
              </w:rPr>
              <w:t>1069.52</w:t>
            </w:r>
            <w:r>
              <w:rPr>
                <w:rFonts w:hint="eastAsia"/>
                <w:color w:val="000000" w:themeColor="text1"/>
                <w:sz w:val="24"/>
                <w14:textFill>
                  <w14:solidFill>
                    <w14:schemeClr w14:val="tx1"/>
                  </w14:solidFill>
                </w14:textFill>
              </w:rPr>
              <w:t>公顷。扩区后四至范围为：东临塔山十四路、塔山十五路及自然山体阻隔，南至</w:t>
            </w:r>
            <w:r>
              <w:rPr>
                <w:color w:val="000000" w:themeColor="text1"/>
                <w:sz w:val="24"/>
                <w14:textFill>
                  <w14:solidFill>
                    <w14:schemeClr w14:val="tx1"/>
                  </w14:solidFill>
                </w14:textFill>
              </w:rPr>
              <w:t>S411</w:t>
            </w:r>
            <w:r>
              <w:rPr>
                <w:rFonts w:hint="eastAsia"/>
                <w:color w:val="000000" w:themeColor="text1"/>
                <w:sz w:val="24"/>
                <w14:textFill>
                  <w14:solidFill>
                    <w14:schemeClr w14:val="tx1"/>
                  </w14:solidFill>
                </w14:textFill>
              </w:rPr>
              <w:t>（老屋村、洪家），西接塔山九路、塔山八路和塔山西路</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塔山村，临近乐安河</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，北至工业五路和工业一路（沈家岭、上畈村）。</w:t>
            </w:r>
          </w:p>
          <w:p w14:paraId="69B96657">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金山工业园（金山工业基地）位于乐平市东面的浯口镇，园区西面距离主城区约</w:t>
            </w:r>
            <w:r>
              <w:rPr>
                <w:color w:val="000000" w:themeColor="text1"/>
                <w:sz w:val="24"/>
                <w14:textFill>
                  <w14:solidFill>
                    <w14:schemeClr w14:val="tx1"/>
                  </w14:solidFill>
                </w14:textFill>
              </w:rPr>
              <w:t>1.7km</w:t>
            </w:r>
            <w:r>
              <w:rPr>
                <w:rFonts w:hint="eastAsia"/>
                <w:color w:val="000000" w:themeColor="text1"/>
                <w:sz w:val="24"/>
                <w14:textFill>
                  <w14:solidFill>
                    <w14:schemeClr w14:val="tx1"/>
                  </w14:solidFill>
                </w14:textFill>
              </w:rPr>
              <w:t>、南面距离乐安河约</w:t>
            </w:r>
            <w:r>
              <w:rPr>
                <w:color w:val="000000" w:themeColor="text1"/>
                <w:sz w:val="24"/>
                <w14:textFill>
                  <w14:solidFill>
                    <w14:schemeClr w14:val="tx1"/>
                  </w14:solidFill>
                </w14:textFill>
              </w:rPr>
              <w:t>3.4km</w:t>
            </w:r>
            <w:r>
              <w:rPr>
                <w:rFonts w:hint="eastAsia"/>
                <w:color w:val="000000" w:themeColor="text1"/>
                <w:sz w:val="24"/>
                <w14:textFill>
                  <w14:solidFill>
                    <w14:schemeClr w14:val="tx1"/>
                  </w14:solidFill>
                </w14:textFill>
              </w:rPr>
              <w:t>，由乐平市政府于</w:t>
            </w:r>
            <w:r>
              <w:rPr>
                <w:color w:val="000000" w:themeColor="text1"/>
                <w:sz w:val="24"/>
                <w14:textFill>
                  <w14:solidFill>
                    <w14:schemeClr w14:val="tx1"/>
                  </w14:solidFill>
                </w14:textFill>
              </w:rPr>
              <w:t>2008</w:t>
            </w:r>
            <w:r>
              <w:rPr>
                <w:rFonts w:hint="eastAsia"/>
                <w:color w:val="000000" w:themeColor="text1"/>
                <w:sz w:val="24"/>
                <w14:textFill>
                  <w14:solidFill>
                    <w14:schemeClr w14:val="tx1"/>
                  </w14:solidFill>
                </w14:textFill>
              </w:rPr>
              <w:t>年设立，原名“乐平市陶瓷（机械）产业基地”，</w:t>
            </w:r>
            <w:r>
              <w:rPr>
                <w:color w:val="000000" w:themeColor="text1"/>
                <w:sz w:val="24"/>
                <w14:textFill>
                  <w14:solidFill>
                    <w14:schemeClr w14:val="tx1"/>
                  </w14:solidFill>
                </w14:textFill>
              </w:rPr>
              <w:t>2010</w:t>
            </w:r>
            <w:r>
              <w:rPr>
                <w:rFonts w:hint="eastAsia"/>
                <w:color w:val="000000" w:themeColor="text1"/>
                <w:sz w:val="24"/>
                <w14:textFill>
                  <w14:solidFill>
                    <w14:schemeClr w14:val="tx1"/>
                  </w14:solidFill>
                </w14:textFill>
              </w:rPr>
              <w:t>年更名为“乐平市金山工业基地”。本次规划，将金山工业园纳入规划范围，规划面积</w:t>
            </w:r>
            <w:r>
              <w:rPr>
                <w:color w:val="000000" w:themeColor="text1"/>
                <w:sz w:val="24"/>
                <w14:textFill>
                  <w14:solidFill>
                    <w14:schemeClr w14:val="tx1"/>
                  </w14:solidFill>
                </w14:textFill>
              </w:rPr>
              <w:t>642.55</w:t>
            </w:r>
            <w:r>
              <w:rPr>
                <w:rFonts w:hint="eastAsia"/>
                <w:color w:val="000000" w:themeColor="text1"/>
                <w:sz w:val="24"/>
                <w14:textFill>
                  <w14:solidFill>
                    <w14:schemeClr w14:val="tx1"/>
                  </w14:solidFill>
                </w14:textFill>
              </w:rPr>
              <w:t>公顷，四至范围为：东临规划</w:t>
            </w:r>
            <w:r>
              <w:rPr>
                <w:color w:val="000000" w:themeColor="text1"/>
                <w:sz w:val="24"/>
                <w14:textFill>
                  <w14:solidFill>
                    <w14:schemeClr w14:val="tx1"/>
                  </w14:solidFill>
                </w14:textFill>
              </w:rPr>
              <w:t>S205</w:t>
            </w:r>
            <w:r>
              <w:rPr>
                <w:rFonts w:hint="eastAsia"/>
                <w:color w:val="000000" w:themeColor="text1"/>
                <w:sz w:val="24"/>
                <w14:textFill>
                  <w14:solidFill>
                    <w14:schemeClr w14:val="tx1"/>
                  </w14:solidFill>
                </w14:textFill>
              </w:rPr>
              <w:t>，南至吴乐线，西接</w:t>
            </w:r>
            <w:r>
              <w:rPr>
                <w:color w:val="000000" w:themeColor="text1"/>
                <w:sz w:val="24"/>
                <w14:textFill>
                  <w14:solidFill>
                    <w14:schemeClr w14:val="tx1"/>
                  </w14:solidFill>
                </w14:textFill>
              </w:rPr>
              <w:t>G206</w:t>
            </w:r>
            <w:r>
              <w:rPr>
                <w:rFonts w:hint="eastAsia"/>
                <w:color w:val="000000" w:themeColor="text1"/>
                <w:sz w:val="24"/>
                <w14:textFill>
                  <w14:solidFill>
                    <w14:schemeClr w14:val="tx1"/>
                  </w14:solidFill>
                </w14:textFill>
              </w:rPr>
              <w:t>，北至规划新建</w:t>
            </w:r>
            <w:r>
              <w:rPr>
                <w:color w:val="000000" w:themeColor="text1"/>
                <w:sz w:val="24"/>
                <w14:textFill>
                  <w14:solidFill>
                    <w14:schemeClr w14:val="tx1"/>
                  </w14:solidFill>
                </w14:textFill>
              </w:rPr>
              <w:t>S306</w:t>
            </w:r>
            <w:r>
              <w:rPr>
                <w:rFonts w:hint="eastAsia"/>
                <w:color w:val="000000" w:themeColor="text1"/>
                <w:sz w:val="24"/>
                <w14:textFill>
                  <w14:solidFill>
                    <w14:schemeClr w14:val="tx1"/>
                  </w14:solidFill>
                </w14:textFill>
              </w:rPr>
              <w:t>。</w:t>
            </w:r>
          </w:p>
          <w:p w14:paraId="0897F7BE">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鸣山工业园位于乐平市西面、乐平市</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鄱阳县交界处的乐港镇鸣山村杨范自然村新开发“鸣山工业园”。鸣山工业园东距乐平市主城城区约</w:t>
            </w:r>
            <w:r>
              <w:rPr>
                <w:color w:val="000000" w:themeColor="text1"/>
                <w:sz w:val="24"/>
                <w14:textFill>
                  <w14:solidFill>
                    <w14:schemeClr w14:val="tx1"/>
                  </w14:solidFill>
                </w14:textFill>
              </w:rPr>
              <w:t>9.5km</w:t>
            </w:r>
            <w:r>
              <w:rPr>
                <w:rFonts w:hint="eastAsia"/>
                <w:color w:val="000000" w:themeColor="text1"/>
                <w:sz w:val="24"/>
                <w14:textFill>
                  <w14:solidFill>
                    <w14:schemeClr w14:val="tx1"/>
                  </w14:solidFill>
                </w14:textFill>
              </w:rPr>
              <w:t>、西面及南面边界紧邻乐平市</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鄱阳县县界、南面距离乐安河约</w:t>
            </w:r>
            <w:r>
              <w:rPr>
                <w:color w:val="000000" w:themeColor="text1"/>
                <w:sz w:val="24"/>
                <w14:textFill>
                  <w14:solidFill>
                    <w14:schemeClr w14:val="tx1"/>
                  </w14:solidFill>
                </w14:textFill>
              </w:rPr>
              <w:t>5.5km</w:t>
            </w:r>
            <w:r>
              <w:rPr>
                <w:rFonts w:hint="eastAsia"/>
                <w:color w:val="000000" w:themeColor="text1"/>
                <w:sz w:val="24"/>
                <w14:textFill>
                  <w14:solidFill>
                    <w14:schemeClr w14:val="tx1"/>
                  </w14:solidFill>
                </w14:textFill>
              </w:rPr>
              <w:t>、东南面距离潘溪河约</w:t>
            </w:r>
            <w:r>
              <w:rPr>
                <w:color w:val="000000" w:themeColor="text1"/>
                <w:sz w:val="24"/>
                <w14:textFill>
                  <w14:solidFill>
                    <w14:schemeClr w14:val="tx1"/>
                  </w14:solidFill>
                </w14:textFill>
              </w:rPr>
              <w:t>6.0km</w:t>
            </w:r>
            <w:r>
              <w:rPr>
                <w:rFonts w:hint="eastAsia"/>
                <w:color w:val="000000" w:themeColor="text1"/>
                <w:sz w:val="24"/>
                <w14:textFill>
                  <w14:solidFill>
                    <w14:schemeClr w14:val="tx1"/>
                  </w14:solidFill>
                </w14:textFill>
              </w:rPr>
              <w:t>。鸣山工业园南面紧邻鄱阳县境内的石岭水库，水库尾水经大吉水（河）在鄱阳县境内汇入乐安河。鸣山工业园规划面积</w:t>
            </w:r>
            <w:r>
              <w:rPr>
                <w:color w:val="000000" w:themeColor="text1"/>
                <w:sz w:val="24"/>
                <w14:textFill>
                  <w14:solidFill>
                    <w14:schemeClr w14:val="tx1"/>
                  </w14:solidFill>
                </w14:textFill>
              </w:rPr>
              <w:t>66.99</w:t>
            </w:r>
            <w:r>
              <w:rPr>
                <w:rFonts w:hint="eastAsia"/>
                <w:color w:val="000000" w:themeColor="text1"/>
                <w:sz w:val="24"/>
                <w14:textFill>
                  <w14:solidFill>
                    <w14:schemeClr w14:val="tx1"/>
                  </w14:solidFill>
                </w14:textFill>
              </w:rPr>
              <w:t>公顷，四至范围为：东至经三路，南至纬二路，西至支一路，北至</w:t>
            </w:r>
            <w:r>
              <w:rPr>
                <w:color w:val="000000" w:themeColor="text1"/>
                <w:sz w:val="24"/>
                <w14:textFill>
                  <w14:solidFill>
                    <w14:schemeClr w14:val="tx1"/>
                  </w14:solidFill>
                </w14:textFill>
              </w:rPr>
              <w:t>S306</w:t>
            </w:r>
            <w:r>
              <w:rPr>
                <w:rFonts w:hint="eastAsia"/>
                <w:color w:val="000000" w:themeColor="text1"/>
                <w:sz w:val="24"/>
                <w14:textFill>
                  <w14:solidFill>
                    <w14:schemeClr w14:val="tx1"/>
                  </w14:solidFill>
                </w14:textFill>
              </w:rPr>
              <w:t>。</w:t>
            </w:r>
          </w:p>
          <w:p w14:paraId="4907E939">
            <w:pPr>
              <w:tabs>
                <w:tab w:val="left" w:pos="0"/>
              </w:tabs>
              <w:spacing w:line="360" w:lineRule="auto"/>
              <w:ind w:firstLine="482" w:firstLineChars="200"/>
              <w:jc w:val="left"/>
              <w:rPr>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规划主要内容：</w:t>
            </w:r>
            <w:r>
              <w:rPr>
                <w:rFonts w:hint="eastAsia"/>
                <w:color w:val="000000" w:themeColor="text1"/>
                <w:sz w:val="24"/>
                <w14:textFill>
                  <w14:solidFill>
                    <w14:schemeClr w14:val="tx1"/>
                  </w14:solidFill>
                </w14:textFill>
              </w:rPr>
              <w:t>本次规划期限为</w:t>
            </w:r>
            <w:r>
              <w:rPr>
                <w:color w:val="000000" w:themeColor="text1"/>
                <w:sz w:val="24"/>
                <w14:textFill>
                  <w14:solidFill>
                    <w14:schemeClr w14:val="tx1"/>
                  </w14:solidFill>
                </w14:textFill>
              </w:rPr>
              <w:t>2022-2030</w:t>
            </w:r>
            <w:r>
              <w:rPr>
                <w:rFonts w:hint="eastAsia"/>
                <w:color w:val="000000" w:themeColor="text1"/>
                <w:sz w:val="24"/>
                <w14:textFill>
                  <w14:solidFill>
                    <w14:schemeClr w14:val="tx1"/>
                  </w14:solidFill>
                </w14:textFill>
              </w:rPr>
              <w:t>年，基准年为</w:t>
            </w:r>
            <w:r>
              <w:rPr>
                <w:color w:val="000000" w:themeColor="text1"/>
                <w:sz w:val="24"/>
                <w14:textFill>
                  <w14:solidFill>
                    <w14:schemeClr w14:val="tx1"/>
                  </w14:solidFill>
                </w14:textFill>
              </w:rPr>
              <w:t>2021</w:t>
            </w:r>
            <w:r>
              <w:rPr>
                <w:rFonts w:hint="eastAsia"/>
                <w:color w:val="000000" w:themeColor="text1"/>
                <w:sz w:val="24"/>
                <w14:textFill>
                  <w14:solidFill>
                    <w14:schemeClr w14:val="tx1"/>
                  </w14:solidFill>
                </w14:textFill>
              </w:rPr>
              <w:t>年，分为近期和中长期两个阶段。其中，近期为</w:t>
            </w:r>
            <w:r>
              <w:rPr>
                <w:color w:val="000000" w:themeColor="text1"/>
                <w:sz w:val="24"/>
                <w14:textFill>
                  <w14:solidFill>
                    <w14:schemeClr w14:val="tx1"/>
                  </w14:solidFill>
                </w14:textFill>
              </w:rPr>
              <w:t>2022-2025</w:t>
            </w:r>
            <w:r>
              <w:rPr>
                <w:rFonts w:hint="eastAsia"/>
                <w:color w:val="000000" w:themeColor="text1"/>
                <w:sz w:val="24"/>
                <w14:textFill>
                  <w14:solidFill>
                    <w14:schemeClr w14:val="tx1"/>
                  </w14:solidFill>
                </w14:textFill>
              </w:rPr>
              <w:t>年，中长期为</w:t>
            </w:r>
            <w:r>
              <w:rPr>
                <w:color w:val="000000" w:themeColor="text1"/>
                <w:sz w:val="24"/>
                <w14:textFill>
                  <w14:solidFill>
                    <w14:schemeClr w14:val="tx1"/>
                  </w14:solidFill>
                </w14:textFill>
              </w:rPr>
              <w:t>2026-2030</w:t>
            </w:r>
            <w:r>
              <w:rPr>
                <w:rFonts w:hint="eastAsia"/>
                <w:color w:val="000000" w:themeColor="text1"/>
                <w:sz w:val="24"/>
                <w14:textFill>
                  <w14:solidFill>
                    <w14:schemeClr w14:val="tx1"/>
                  </w14:solidFill>
                </w14:textFill>
              </w:rPr>
              <w:t>年。塔山工业园：在现有化工产业基础上，继续做大做强精细化工、医药化工产业，努力发展新材料、有色金属冶炼（仅限于贵金属回收利用）等产业；近期规划燃煤热电联产项目，为园区集中供热；规划区污水经集中污水处理设施处理达标后排入乐安河。金山工业园：在现有黑色金属铸造、机械制造与加工、建材生产、废旧资源回收加工、五金制造等产业基础上，规划发展机械电子、新型建材、有色金属制品、绿色纺织化纤产业；规划区域以天然气、电力为主要能源；规划区在东南侧外新建污水处理厂，对园区污水进行收集处理，达标后排入乐安河。鸣山工业园：规划发展机械电子、新型建材产业；规划区域以天然气、电力为主要能源；规划区在东南侧外新建污水处理厂，对园区污水进行收集处理，达标后排入乐安河。据测算，规划期末塔山工业园规划总用水量为</w:t>
            </w:r>
            <w:r>
              <w:rPr>
                <w:color w:val="000000" w:themeColor="text1"/>
                <w:sz w:val="24"/>
                <w14:textFill>
                  <w14:solidFill>
                    <w14:schemeClr w14:val="tx1"/>
                  </w14:solidFill>
                </w14:textFill>
              </w:rPr>
              <w:t>5.4</w:t>
            </w:r>
            <w:r>
              <w:rPr>
                <w:rFonts w:hint="eastAsia"/>
                <w:color w:val="000000" w:themeColor="text1"/>
                <w:sz w:val="24"/>
                <w14:textFill>
                  <w14:solidFill>
                    <w14:schemeClr w14:val="tx1"/>
                  </w14:solidFill>
                </w14:textFill>
              </w:rPr>
              <w:t>万</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，污水量为</w:t>
            </w:r>
            <w:r>
              <w:rPr>
                <w:color w:val="000000" w:themeColor="text1"/>
                <w:sz w:val="24"/>
                <w14:textFill>
                  <w14:solidFill>
                    <w14:schemeClr w14:val="tx1"/>
                  </w14:solidFill>
                </w14:textFill>
              </w:rPr>
              <w:t>4.5</w:t>
            </w:r>
            <w:r>
              <w:rPr>
                <w:rFonts w:hint="eastAsia"/>
                <w:color w:val="000000" w:themeColor="text1"/>
                <w:sz w:val="24"/>
                <w14:textFill>
                  <w14:solidFill>
                    <w14:schemeClr w14:val="tx1"/>
                  </w14:solidFill>
                </w14:textFill>
              </w:rPr>
              <w:t>万</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；金山工业园规划区总用水量为</w:t>
            </w:r>
            <w:r>
              <w:rPr>
                <w:color w:val="000000" w:themeColor="text1"/>
                <w:sz w:val="24"/>
                <w14:textFill>
                  <w14:solidFill>
                    <w14:schemeClr w14:val="tx1"/>
                  </w14:solidFill>
                </w14:textFill>
              </w:rPr>
              <w:t>1.83</w:t>
            </w:r>
            <w:r>
              <w:rPr>
                <w:rFonts w:hint="eastAsia"/>
                <w:color w:val="000000" w:themeColor="text1"/>
                <w:sz w:val="24"/>
                <w14:textFill>
                  <w14:solidFill>
                    <w14:schemeClr w14:val="tx1"/>
                  </w14:solidFill>
                </w14:textFill>
              </w:rPr>
              <w:t>万</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，日污水量为</w:t>
            </w:r>
            <w:r>
              <w:rPr>
                <w:color w:val="000000" w:themeColor="text1"/>
                <w:sz w:val="24"/>
                <w14:textFill>
                  <w14:solidFill>
                    <w14:schemeClr w14:val="tx1"/>
                  </w14:solidFill>
                </w14:textFill>
              </w:rPr>
              <w:t>1.06</w:t>
            </w:r>
            <w:r>
              <w:rPr>
                <w:rFonts w:hint="eastAsia"/>
                <w:color w:val="000000" w:themeColor="text1"/>
                <w:sz w:val="24"/>
                <w14:textFill>
                  <w14:solidFill>
                    <w14:schemeClr w14:val="tx1"/>
                  </w14:solidFill>
                </w14:textFill>
              </w:rPr>
              <w:t>万</w:t>
            </w:r>
            <w:r>
              <w:rPr>
                <w:color w:val="000000" w:themeColor="text1"/>
                <w:sz w:val="24"/>
                <w14:textFill>
                  <w14:solidFill>
                    <w14:schemeClr w14:val="tx1"/>
                  </w14:solidFill>
                </w14:textFill>
              </w:rPr>
              <w:t>m</w:t>
            </w:r>
            <w:r>
              <w:rPr>
                <w:rFonts w:hint="eastAsia"/>
                <w:color w:val="000000" w:themeColor="text1"/>
                <w:sz w:val="24"/>
                <w14:textFill>
                  <w14:solidFill>
                    <w14:schemeClr w14:val="tx1"/>
                  </w14:solidFill>
                </w14:textFill>
              </w:rPr>
              <w:t>³</w:t>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；鸣山工业园总用水量为</w:t>
            </w:r>
            <w:r>
              <w:rPr>
                <w:color w:val="000000" w:themeColor="text1"/>
                <w:sz w:val="24"/>
                <w14:textFill>
                  <w14:solidFill>
                    <w14:schemeClr w14:val="tx1"/>
                  </w14:solidFill>
                </w14:textFill>
              </w:rPr>
              <w:t>0.18</w:t>
            </w:r>
            <w:r>
              <w:rPr>
                <w:rFonts w:hint="eastAsia"/>
                <w:color w:val="000000" w:themeColor="text1"/>
                <w:sz w:val="24"/>
                <w14:textFill>
                  <w14:solidFill>
                    <w14:schemeClr w14:val="tx1"/>
                  </w14:solidFill>
                </w14:textFill>
              </w:rPr>
              <w:t>万</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，日污水量为</w:t>
            </w:r>
            <w:r>
              <w:rPr>
                <w:color w:val="000000" w:themeColor="text1"/>
                <w:sz w:val="24"/>
                <w14:textFill>
                  <w14:solidFill>
                    <w14:schemeClr w14:val="tx1"/>
                  </w14:solidFill>
                </w14:textFill>
              </w:rPr>
              <w:t>0.12</w:t>
            </w:r>
            <w:r>
              <w:rPr>
                <w:rFonts w:hint="eastAsia"/>
                <w:color w:val="000000" w:themeColor="text1"/>
                <w:sz w:val="24"/>
                <w14:textFill>
                  <w14:solidFill>
                    <w14:schemeClr w14:val="tx1"/>
                  </w14:solidFill>
                </w14:textFill>
              </w:rPr>
              <w:t>万</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。规划末期塔山工业园全年用气量约为</w:t>
            </w:r>
            <w:r>
              <w:rPr>
                <w:color w:val="000000" w:themeColor="text1"/>
                <w:sz w:val="24"/>
                <w14:textFill>
                  <w14:solidFill>
                    <w14:schemeClr w14:val="tx1"/>
                  </w14:solidFill>
                </w14:textFill>
              </w:rPr>
              <w:t>5840</w:t>
            </w:r>
            <w:r>
              <w:rPr>
                <w:rFonts w:hint="eastAsia"/>
                <w:color w:val="000000" w:themeColor="text1"/>
                <w:sz w:val="24"/>
                <w14:textFill>
                  <w14:solidFill>
                    <w14:schemeClr w14:val="tx1"/>
                  </w14:solidFill>
                </w14:textFill>
              </w:rPr>
              <w:t>万</w:t>
            </w:r>
            <w:r>
              <w:rPr>
                <w:color w:val="000000" w:themeColor="text1"/>
                <w:sz w:val="24"/>
                <w14:textFill>
                  <w14:solidFill>
                    <w14:schemeClr w14:val="tx1"/>
                  </w14:solidFill>
                </w14:textFill>
              </w:rPr>
              <w:t>Nm</w:t>
            </w:r>
            <w:r>
              <w:rPr>
                <w:rFonts w:hint="eastAsia"/>
                <w:color w:val="000000" w:themeColor="text1"/>
                <w:sz w:val="24"/>
                <w14:textFill>
                  <w14:solidFill>
                    <w14:schemeClr w14:val="tx1"/>
                  </w14:solidFill>
                </w14:textFill>
              </w:rPr>
              <w:t>³，金山工业园用气量约</w:t>
            </w:r>
            <w:r>
              <w:rPr>
                <w:color w:val="000000" w:themeColor="text1"/>
                <w:sz w:val="24"/>
                <w14:textFill>
                  <w14:solidFill>
                    <w14:schemeClr w14:val="tx1"/>
                  </w14:solidFill>
                </w14:textFill>
              </w:rPr>
              <w:t>948</w:t>
            </w:r>
            <w:r>
              <w:rPr>
                <w:rFonts w:hint="eastAsia"/>
                <w:color w:val="000000" w:themeColor="text1"/>
                <w:sz w:val="24"/>
                <w14:textFill>
                  <w14:solidFill>
                    <w14:schemeClr w14:val="tx1"/>
                  </w14:solidFill>
                </w14:textFill>
              </w:rPr>
              <w:t>万</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/a</w:t>
            </w:r>
            <w:r>
              <w:rPr>
                <w:rFonts w:hint="eastAsia"/>
                <w:color w:val="000000" w:themeColor="text1"/>
                <w:sz w:val="24"/>
                <w14:textFill>
                  <w14:solidFill>
                    <w14:schemeClr w14:val="tx1"/>
                  </w14:solidFill>
                </w14:textFill>
              </w:rPr>
              <w:t>，鸣山工业园全年用气量约为</w:t>
            </w:r>
            <w:r>
              <w:rPr>
                <w:color w:val="000000" w:themeColor="text1"/>
                <w:sz w:val="24"/>
                <w14:textFill>
                  <w14:solidFill>
                    <w14:schemeClr w14:val="tx1"/>
                  </w14:solidFill>
                </w14:textFill>
              </w:rPr>
              <w:t>132</w:t>
            </w:r>
            <w:r>
              <w:rPr>
                <w:rFonts w:hint="eastAsia"/>
                <w:color w:val="000000" w:themeColor="text1"/>
                <w:sz w:val="24"/>
                <w14:textFill>
                  <w14:solidFill>
                    <w14:schemeClr w14:val="tx1"/>
                  </w14:solidFill>
                </w14:textFill>
              </w:rPr>
              <w:t>万</w:t>
            </w:r>
            <w:r>
              <w:rPr>
                <w:color w:val="000000" w:themeColor="text1"/>
                <w:sz w:val="24"/>
                <w14:textFill>
                  <w14:solidFill>
                    <w14:schemeClr w14:val="tx1"/>
                  </w14:solidFill>
                </w14:textFill>
              </w:rPr>
              <w:t>Nm</w:t>
            </w:r>
            <w:r>
              <w:rPr>
                <w:rFonts w:hint="eastAsia"/>
                <w:color w:val="000000" w:themeColor="text1"/>
                <w:sz w:val="24"/>
                <w14:textFill>
                  <w14:solidFill>
                    <w14:schemeClr w14:val="tx1"/>
                  </w14:solidFill>
                </w14:textFill>
              </w:rPr>
              <w:t>³。</w:t>
            </w:r>
          </w:p>
          <w:p w14:paraId="4F8B0832">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环境准入清单见表</w:t>
            </w:r>
            <w:r>
              <w:rPr>
                <w:color w:val="000000" w:themeColor="text1"/>
                <w:sz w:val="24"/>
                <w14:textFill>
                  <w14:solidFill>
                    <w14:schemeClr w14:val="tx1"/>
                  </w14:solidFill>
                </w14:textFill>
              </w:rPr>
              <w:t>1-2</w:t>
            </w:r>
            <w:r>
              <w:rPr>
                <w:rFonts w:hint="eastAsia"/>
                <w:color w:val="000000" w:themeColor="text1"/>
                <w:sz w:val="24"/>
                <w14:textFill>
                  <w14:solidFill>
                    <w14:schemeClr w14:val="tx1"/>
                  </w14:solidFill>
                </w14:textFill>
              </w:rPr>
              <w:t>，园区生态准入清单见表</w:t>
            </w:r>
            <w:r>
              <w:rPr>
                <w:color w:val="000000" w:themeColor="text1"/>
                <w:sz w:val="24"/>
                <w14:textFill>
                  <w14:solidFill>
                    <w14:schemeClr w14:val="tx1"/>
                  </w14:solidFill>
                </w14:textFill>
              </w:rPr>
              <w:t>1-3</w:t>
            </w:r>
            <w:r>
              <w:rPr>
                <w:rFonts w:hint="eastAsia"/>
                <w:color w:val="000000" w:themeColor="text1"/>
                <w:sz w:val="24"/>
                <w14:textFill>
                  <w14:solidFill>
                    <w14:schemeClr w14:val="tx1"/>
                  </w14:solidFill>
                </w14:textFill>
              </w:rPr>
              <w:t>。</w:t>
            </w:r>
          </w:p>
          <w:p w14:paraId="23C653DC">
            <w:pPr>
              <w:tabs>
                <w:tab w:val="left" w:pos="0"/>
              </w:tabs>
              <w:jc w:val="center"/>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表</w:t>
            </w:r>
            <w:r>
              <w:rPr>
                <w:b/>
                <w:bCs/>
                <w:color w:val="000000" w:themeColor="text1"/>
                <w:sz w:val="24"/>
                <w14:textFill>
                  <w14:solidFill>
                    <w14:schemeClr w14:val="tx1"/>
                  </w14:solidFill>
                </w14:textFill>
              </w:rPr>
              <w:t xml:space="preserve">1-2 </w:t>
            </w:r>
            <w:r>
              <w:rPr>
                <w:rFonts w:hint="eastAsia"/>
                <w:b/>
                <w:bCs/>
                <w:color w:val="000000" w:themeColor="text1"/>
                <w:sz w:val="24"/>
                <w14:textFill>
                  <w14:solidFill>
                    <w14:schemeClr w14:val="tx1"/>
                  </w14:solidFill>
                </w14:textFill>
              </w:rPr>
              <w:t>环境准入清单</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835"/>
              <w:gridCol w:w="1474"/>
              <w:gridCol w:w="3015"/>
              <w:gridCol w:w="2529"/>
            </w:tblGrid>
            <w:tr w14:paraId="466F342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32" w:type="pct"/>
                  <w:vAlign w:val="center"/>
                </w:tcPr>
                <w:p w14:paraId="0A8BF5C4">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维度</w:t>
                  </w:r>
                </w:p>
              </w:tc>
              <w:tc>
                <w:tcPr>
                  <w:tcW w:w="938" w:type="pct"/>
                  <w:vAlign w:val="center"/>
                </w:tcPr>
                <w:p w14:paraId="366027B0">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清单编制要求</w:t>
                  </w:r>
                </w:p>
              </w:tc>
              <w:tc>
                <w:tcPr>
                  <w:tcW w:w="1919" w:type="pct"/>
                  <w:vAlign w:val="center"/>
                </w:tcPr>
                <w:p w14:paraId="21DF495B">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准入清单</w:t>
                  </w:r>
                </w:p>
              </w:tc>
              <w:tc>
                <w:tcPr>
                  <w:tcW w:w="1610" w:type="pct"/>
                  <w:vAlign w:val="center"/>
                </w:tcPr>
                <w:p w14:paraId="0E0DE74D">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本项目</w:t>
                  </w:r>
                </w:p>
              </w:tc>
            </w:tr>
            <w:tr w14:paraId="0373A0E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32" w:type="pct"/>
                  <w:vMerge w:val="restart"/>
                  <w:vAlign w:val="center"/>
                </w:tcPr>
                <w:p w14:paraId="33300147">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空间布局约束</w:t>
                  </w:r>
                </w:p>
              </w:tc>
              <w:tc>
                <w:tcPr>
                  <w:tcW w:w="938" w:type="pct"/>
                  <w:vAlign w:val="center"/>
                </w:tcPr>
                <w:p w14:paraId="53ADBD1C">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允许开发建设活动的要求</w:t>
                  </w:r>
                </w:p>
              </w:tc>
              <w:tc>
                <w:tcPr>
                  <w:tcW w:w="1919" w:type="pct"/>
                  <w:vAlign w:val="center"/>
                </w:tcPr>
                <w:p w14:paraId="4B3CBD7A">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允许符合城镇总体规划、国土空间规划、土地利用规划、产业发展规划的开发建设活动。</w:t>
                  </w:r>
                </w:p>
              </w:tc>
              <w:tc>
                <w:tcPr>
                  <w:tcW w:w="1610" w:type="pct"/>
                  <w:vAlign w:val="center"/>
                </w:tcPr>
                <w:p w14:paraId="743DD725">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本项目属于其他水泥类似制品制造项目，符合城镇总体规划、国土空间规划、土地利用规划、产业发展规划。</w:t>
                  </w:r>
                </w:p>
              </w:tc>
            </w:tr>
            <w:tr w14:paraId="4070574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32" w:type="pct"/>
                  <w:vMerge w:val="continue"/>
                  <w:vAlign w:val="center"/>
                </w:tcPr>
                <w:p w14:paraId="05EF83BA">
                  <w:pPr>
                    <w:tabs>
                      <w:tab w:val="left" w:pos="0"/>
                    </w:tabs>
                    <w:jc w:val="center"/>
                    <w:rPr>
                      <w:color w:val="000000" w:themeColor="text1"/>
                      <w:sz w:val="18"/>
                      <w:szCs w:val="18"/>
                      <w14:textFill>
                        <w14:solidFill>
                          <w14:schemeClr w14:val="tx1"/>
                        </w14:solidFill>
                      </w14:textFill>
                    </w:rPr>
                  </w:pPr>
                </w:p>
              </w:tc>
              <w:tc>
                <w:tcPr>
                  <w:tcW w:w="938" w:type="pct"/>
                  <w:vAlign w:val="center"/>
                </w:tcPr>
                <w:p w14:paraId="509D1B96">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禁止开发建设活动的要求</w:t>
                  </w:r>
                </w:p>
              </w:tc>
              <w:tc>
                <w:tcPr>
                  <w:tcW w:w="1919" w:type="pct"/>
                  <w:vAlign w:val="center"/>
                </w:tcPr>
                <w:p w14:paraId="363818FE">
                  <w:pPr>
                    <w:tabs>
                      <w:tab w:val="left" w:pos="0"/>
                    </w:tabs>
                    <w:jc w:val="center"/>
                    <w:rPr>
                      <w:color w:val="000000" w:themeColor="text1"/>
                      <w:sz w:val="18"/>
                      <w:szCs w:val="18"/>
                      <w14:textFill>
                        <w14:solidFill>
                          <w14:schemeClr w14:val="tx1"/>
                        </w14:solidFill>
                      </w14:textFill>
                    </w:rPr>
                  </w:pPr>
                  <w:r>
                    <w:rPr>
                      <w:rFonts w:ascii="Cambria Math" w:hAnsi="Cambria Math" w:cs="Cambria Math"/>
                      <w:color w:val="000000" w:themeColor="text1"/>
                      <w:sz w:val="18"/>
                      <w:szCs w:val="18"/>
                      <w14:textFill>
                        <w14:solidFill>
                          <w14:schemeClr w14:val="tx1"/>
                        </w14:solidFill>
                      </w14:textFill>
                    </w:rPr>
                    <w:t>①</w:t>
                  </w:r>
                  <w:r>
                    <w:rPr>
                      <w:rFonts w:hint="eastAsia"/>
                      <w:color w:val="000000" w:themeColor="text1"/>
                      <w:sz w:val="18"/>
                      <w:szCs w:val="18"/>
                      <w14:textFill>
                        <w14:solidFill>
                          <w14:schemeClr w14:val="tx1"/>
                        </w14:solidFill>
                      </w14:textFill>
                    </w:rPr>
                    <w:t>禁止引入列入《产业结构调整指导目录（</w:t>
                  </w:r>
                  <w:r>
                    <w:rPr>
                      <w:color w:val="000000" w:themeColor="text1"/>
                      <w:sz w:val="18"/>
                      <w:szCs w:val="18"/>
                      <w14:textFill>
                        <w14:solidFill>
                          <w14:schemeClr w14:val="tx1"/>
                        </w14:solidFill>
                      </w14:textFill>
                    </w:rPr>
                    <w:t>2019</w:t>
                  </w:r>
                  <w:r>
                    <w:rPr>
                      <w:rFonts w:hint="eastAsia"/>
                      <w:color w:val="000000" w:themeColor="text1"/>
                      <w:sz w:val="18"/>
                      <w:szCs w:val="18"/>
                      <w14:textFill>
                        <w14:solidFill>
                          <w14:schemeClr w14:val="tx1"/>
                        </w14:solidFill>
                      </w14:textFill>
                    </w:rPr>
                    <w:t>年本）》、《市场准入负面清单（</w:t>
                  </w:r>
                  <w:r>
                    <w:rPr>
                      <w:color w:val="000000" w:themeColor="text1"/>
                      <w:sz w:val="18"/>
                      <w:szCs w:val="18"/>
                      <w14:textFill>
                        <w14:solidFill>
                          <w14:schemeClr w14:val="tx1"/>
                        </w14:solidFill>
                      </w14:textFill>
                    </w:rPr>
                    <w:t>2022</w:t>
                  </w:r>
                  <w:r>
                    <w:rPr>
                      <w:rFonts w:hint="eastAsia"/>
                      <w:color w:val="000000" w:themeColor="text1"/>
                      <w:sz w:val="18"/>
                      <w:szCs w:val="18"/>
                      <w14:textFill>
                        <w14:solidFill>
                          <w14:schemeClr w14:val="tx1"/>
                        </w14:solidFill>
                      </w14:textFill>
                    </w:rPr>
                    <w:t>年版）》、《外商投资准入特别管理措施（负面清单）（</w:t>
                  </w:r>
                  <w:r>
                    <w:rPr>
                      <w:color w:val="000000" w:themeColor="text1"/>
                      <w:sz w:val="18"/>
                      <w:szCs w:val="18"/>
                      <w14:textFill>
                        <w14:solidFill>
                          <w14:schemeClr w14:val="tx1"/>
                        </w14:solidFill>
                      </w14:textFill>
                    </w:rPr>
                    <w:t xml:space="preserve">2020 </w:t>
                  </w:r>
                  <w:r>
                    <w:rPr>
                      <w:rFonts w:hint="eastAsia"/>
                      <w:color w:val="000000" w:themeColor="text1"/>
                      <w:sz w:val="18"/>
                      <w:szCs w:val="18"/>
                      <w14:textFill>
                        <w14:solidFill>
                          <w14:schemeClr w14:val="tx1"/>
                        </w14:solidFill>
                      </w14:textFill>
                    </w:rPr>
                    <w:t>年版）》、《长江经济带发展负面清单指南（试行，</w:t>
                  </w:r>
                  <w:r>
                    <w:rPr>
                      <w:color w:val="000000" w:themeColor="text1"/>
                      <w:sz w:val="18"/>
                      <w:szCs w:val="18"/>
                      <w14:textFill>
                        <w14:solidFill>
                          <w14:schemeClr w14:val="tx1"/>
                        </w14:solidFill>
                      </w14:textFill>
                    </w:rPr>
                    <w:t>2022</w:t>
                  </w:r>
                  <w:r>
                    <w:rPr>
                      <w:rFonts w:hint="eastAsia"/>
                      <w:color w:val="000000" w:themeColor="text1"/>
                      <w:sz w:val="18"/>
                      <w:szCs w:val="18"/>
                      <w14:textFill>
                        <w14:solidFill>
                          <w14:schemeClr w14:val="tx1"/>
                        </w14:solidFill>
                      </w14:textFill>
                    </w:rPr>
                    <w:t>年版）》等相关产业政策中禁止或淘汰类项目、产品、工艺、设备。</w:t>
                  </w:r>
                </w:p>
                <w:p w14:paraId="21239766">
                  <w:pPr>
                    <w:tabs>
                      <w:tab w:val="left" w:pos="0"/>
                    </w:tabs>
                    <w:jc w:val="center"/>
                    <w:rPr>
                      <w:color w:val="000000" w:themeColor="text1"/>
                      <w:sz w:val="18"/>
                      <w:szCs w:val="18"/>
                      <w14:textFill>
                        <w14:solidFill>
                          <w14:schemeClr w14:val="tx1"/>
                        </w14:solidFill>
                      </w14:textFill>
                    </w:rPr>
                  </w:pPr>
                  <w:r>
                    <w:rPr>
                      <w:rFonts w:ascii="Cambria Math" w:hAnsi="Cambria Math" w:cs="Cambria Math"/>
                      <w:color w:val="000000" w:themeColor="text1"/>
                      <w:sz w:val="18"/>
                      <w:szCs w:val="18"/>
                      <w14:textFill>
                        <w14:solidFill>
                          <w14:schemeClr w14:val="tx1"/>
                        </w14:solidFill>
                      </w14:textFill>
                    </w:rPr>
                    <w:t>②</w:t>
                  </w:r>
                  <w:r>
                    <w:rPr>
                      <w:rFonts w:hint="eastAsia"/>
                      <w:color w:val="000000" w:themeColor="text1"/>
                      <w:sz w:val="18"/>
                      <w:szCs w:val="18"/>
                      <w14:textFill>
                        <w14:solidFill>
                          <w14:schemeClr w14:val="tx1"/>
                        </w14:solidFill>
                      </w14:textFill>
                    </w:rPr>
                    <w:t>禁止新建、扩建不符合国家产能置换要求的严重过剩产能行业的项目。</w:t>
                  </w:r>
                </w:p>
                <w:p w14:paraId="6D73F6B3">
                  <w:pPr>
                    <w:tabs>
                      <w:tab w:val="left" w:pos="0"/>
                    </w:tabs>
                    <w:jc w:val="center"/>
                    <w:rPr>
                      <w:color w:val="000000" w:themeColor="text1"/>
                      <w:sz w:val="18"/>
                      <w:szCs w:val="18"/>
                      <w14:textFill>
                        <w14:solidFill>
                          <w14:schemeClr w14:val="tx1"/>
                        </w14:solidFill>
                      </w14:textFill>
                    </w:rPr>
                  </w:pPr>
                  <w:r>
                    <w:rPr>
                      <w:rFonts w:ascii="Cambria Math" w:hAnsi="Cambria Math" w:cs="Cambria Math"/>
                      <w:color w:val="000000" w:themeColor="text1"/>
                      <w:sz w:val="18"/>
                      <w:szCs w:val="18"/>
                      <w14:textFill>
                        <w14:solidFill>
                          <w14:schemeClr w14:val="tx1"/>
                        </w14:solidFill>
                      </w14:textFill>
                    </w:rPr>
                    <w:t>③</w:t>
                  </w:r>
                  <w:r>
                    <w:rPr>
                      <w:rFonts w:hint="eastAsia"/>
                      <w:color w:val="000000" w:themeColor="text1"/>
                      <w:sz w:val="18"/>
                      <w:szCs w:val="18"/>
                      <w14:textFill>
                        <w14:solidFill>
                          <w14:schemeClr w14:val="tx1"/>
                        </w14:solidFill>
                      </w14:textFill>
                    </w:rPr>
                    <w:t>禁止新建环境影响大的项目，包括钢铁、焦化、水泥（熟料）、印染（漂染）、废纸制浆造纸、陶瓷等项目。</w:t>
                  </w:r>
                </w:p>
                <w:p w14:paraId="14CC1848">
                  <w:pPr>
                    <w:tabs>
                      <w:tab w:val="left" w:pos="0"/>
                    </w:tabs>
                    <w:jc w:val="center"/>
                    <w:rPr>
                      <w:color w:val="000000" w:themeColor="text1"/>
                      <w:sz w:val="18"/>
                      <w:szCs w:val="18"/>
                      <w14:textFill>
                        <w14:solidFill>
                          <w14:schemeClr w14:val="tx1"/>
                        </w14:solidFill>
                      </w14:textFill>
                    </w:rPr>
                  </w:pPr>
                  <w:r>
                    <w:rPr>
                      <w:rFonts w:ascii="Cambria Math" w:hAnsi="Cambria Math" w:cs="Cambria Math"/>
                      <w:color w:val="000000" w:themeColor="text1"/>
                      <w:sz w:val="18"/>
                      <w:szCs w:val="18"/>
                      <w14:textFill>
                        <w14:solidFill>
                          <w14:schemeClr w14:val="tx1"/>
                        </w14:solidFill>
                      </w14:textFill>
                    </w:rPr>
                    <w:t>④</w:t>
                  </w:r>
                  <w:r>
                    <w:rPr>
                      <w:rFonts w:hint="eastAsia"/>
                      <w:color w:val="000000" w:themeColor="text1"/>
                      <w:sz w:val="18"/>
                      <w:szCs w:val="18"/>
                      <w14:textFill>
                        <w14:solidFill>
                          <w14:schemeClr w14:val="tx1"/>
                        </w14:solidFill>
                      </w14:textFill>
                    </w:rPr>
                    <w:t>不符合园区主导产业，且生产工艺、设备、污染治理技术等达不到清洁生产国内先进水平的、不符合环保相关要求的</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两高</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项目。</w:t>
                  </w:r>
                </w:p>
              </w:tc>
              <w:tc>
                <w:tcPr>
                  <w:tcW w:w="1610" w:type="pct"/>
                  <w:vAlign w:val="center"/>
                </w:tcPr>
                <w:p w14:paraId="74CC4151">
                  <w:pPr>
                    <w:tabs>
                      <w:tab w:val="left" w:pos="0"/>
                    </w:tabs>
                    <w:jc w:val="center"/>
                    <w:rPr>
                      <w:color w:val="000000" w:themeColor="text1"/>
                      <w:sz w:val="18"/>
                      <w:szCs w:val="18"/>
                      <w14:textFill>
                        <w14:solidFill>
                          <w14:schemeClr w14:val="tx1"/>
                        </w14:solidFill>
                      </w14:textFill>
                    </w:rPr>
                  </w:pPr>
                  <w:r>
                    <w:rPr>
                      <w:rFonts w:ascii="Cambria Math" w:hAnsi="Cambria Math" w:cs="Cambria Math"/>
                      <w:color w:val="000000" w:themeColor="text1"/>
                      <w:sz w:val="18"/>
                      <w:szCs w:val="18"/>
                      <w14:textFill>
                        <w14:solidFill>
                          <w14:schemeClr w14:val="tx1"/>
                        </w14:solidFill>
                      </w14:textFill>
                    </w:rPr>
                    <w:t>①</w:t>
                  </w:r>
                  <w:r>
                    <w:rPr>
                      <w:rFonts w:hint="eastAsia"/>
                      <w:color w:val="000000" w:themeColor="text1"/>
                      <w:sz w:val="18"/>
                      <w:szCs w:val="18"/>
                      <w14:textFill>
                        <w14:solidFill>
                          <w14:schemeClr w14:val="tx1"/>
                        </w14:solidFill>
                      </w14:textFill>
                    </w:rPr>
                    <w:t>本项目为允许类项目，不涉及《产业结构调整指导目录（</w:t>
                  </w:r>
                  <w:r>
                    <w:rPr>
                      <w:color w:val="000000" w:themeColor="text1"/>
                      <w:sz w:val="18"/>
                      <w:szCs w:val="18"/>
                      <w14:textFill>
                        <w14:solidFill>
                          <w14:schemeClr w14:val="tx1"/>
                        </w14:solidFill>
                      </w14:textFill>
                    </w:rPr>
                    <w:t>2024</w:t>
                  </w:r>
                  <w:r>
                    <w:rPr>
                      <w:rFonts w:hint="eastAsia"/>
                      <w:color w:val="000000" w:themeColor="text1"/>
                      <w:sz w:val="18"/>
                      <w:szCs w:val="18"/>
                      <w14:textFill>
                        <w14:solidFill>
                          <w14:schemeClr w14:val="tx1"/>
                        </w14:solidFill>
                      </w14:textFill>
                    </w:rPr>
                    <w:t>年本）》、《市场准入负面清单（</w:t>
                  </w:r>
                  <w:r>
                    <w:rPr>
                      <w:color w:val="000000" w:themeColor="text1"/>
                      <w:sz w:val="18"/>
                      <w:szCs w:val="18"/>
                      <w14:textFill>
                        <w14:solidFill>
                          <w14:schemeClr w14:val="tx1"/>
                        </w14:solidFill>
                      </w14:textFill>
                    </w:rPr>
                    <w:t>2022</w:t>
                  </w:r>
                  <w:r>
                    <w:rPr>
                      <w:rFonts w:hint="eastAsia"/>
                      <w:color w:val="000000" w:themeColor="text1"/>
                      <w:sz w:val="18"/>
                      <w:szCs w:val="18"/>
                      <w14:textFill>
                        <w14:solidFill>
                          <w14:schemeClr w14:val="tx1"/>
                        </w14:solidFill>
                      </w14:textFill>
                    </w:rPr>
                    <w:t>年版）》、《外商投资准入特别管理措施（负面清单）（</w:t>
                  </w:r>
                  <w:r>
                    <w:rPr>
                      <w:color w:val="000000" w:themeColor="text1"/>
                      <w:sz w:val="18"/>
                      <w:szCs w:val="18"/>
                      <w14:textFill>
                        <w14:solidFill>
                          <w14:schemeClr w14:val="tx1"/>
                        </w14:solidFill>
                      </w14:textFill>
                    </w:rPr>
                    <w:t>2020</w:t>
                  </w:r>
                  <w:r>
                    <w:rPr>
                      <w:rFonts w:hint="eastAsia"/>
                      <w:color w:val="000000" w:themeColor="text1"/>
                      <w:sz w:val="18"/>
                      <w:szCs w:val="18"/>
                      <w14:textFill>
                        <w14:solidFill>
                          <w14:schemeClr w14:val="tx1"/>
                        </w14:solidFill>
                      </w14:textFill>
                    </w:rPr>
                    <w:t>年版）》、《长江经济带发展负面清单指南（试行，</w:t>
                  </w:r>
                  <w:r>
                    <w:rPr>
                      <w:color w:val="000000" w:themeColor="text1"/>
                      <w:sz w:val="18"/>
                      <w:szCs w:val="18"/>
                      <w14:textFill>
                        <w14:solidFill>
                          <w14:schemeClr w14:val="tx1"/>
                        </w14:solidFill>
                      </w14:textFill>
                    </w:rPr>
                    <w:t>2022</w:t>
                  </w:r>
                  <w:r>
                    <w:rPr>
                      <w:rFonts w:hint="eastAsia"/>
                      <w:color w:val="000000" w:themeColor="text1"/>
                      <w:sz w:val="18"/>
                      <w:szCs w:val="18"/>
                      <w14:textFill>
                        <w14:solidFill>
                          <w14:schemeClr w14:val="tx1"/>
                        </w14:solidFill>
                      </w14:textFill>
                    </w:rPr>
                    <w:t>年版）》等相关产业政策中禁止或淘汰类项目、产品、工艺、设备；</w:t>
                  </w:r>
                </w:p>
                <w:p w14:paraId="5AF2C559">
                  <w:pPr>
                    <w:tabs>
                      <w:tab w:val="left" w:pos="0"/>
                    </w:tabs>
                    <w:jc w:val="center"/>
                    <w:rPr>
                      <w:color w:val="000000" w:themeColor="text1"/>
                      <w:sz w:val="18"/>
                      <w:szCs w:val="18"/>
                      <w14:textFill>
                        <w14:solidFill>
                          <w14:schemeClr w14:val="tx1"/>
                        </w14:solidFill>
                      </w14:textFill>
                    </w:rPr>
                  </w:pPr>
                  <w:r>
                    <w:rPr>
                      <w:rFonts w:ascii="Cambria Math" w:hAnsi="Cambria Math" w:cs="Cambria Math"/>
                      <w:color w:val="000000" w:themeColor="text1"/>
                      <w:sz w:val="18"/>
                      <w:szCs w:val="18"/>
                      <w14:textFill>
                        <w14:solidFill>
                          <w14:schemeClr w14:val="tx1"/>
                        </w14:solidFill>
                      </w14:textFill>
                    </w:rPr>
                    <w:t>②</w:t>
                  </w:r>
                  <w:r>
                    <w:rPr>
                      <w:rFonts w:hint="eastAsia"/>
                      <w:color w:val="000000" w:themeColor="text1"/>
                      <w:sz w:val="18"/>
                      <w:szCs w:val="18"/>
                      <w14:textFill>
                        <w14:solidFill>
                          <w14:schemeClr w14:val="tx1"/>
                        </w14:solidFill>
                      </w14:textFill>
                    </w:rPr>
                    <w:t>本项目不属于国家产能置换要求的严重过剩产能行业的项目；</w:t>
                  </w:r>
                </w:p>
                <w:p w14:paraId="2E89CA2A">
                  <w:pPr>
                    <w:tabs>
                      <w:tab w:val="left" w:pos="0"/>
                    </w:tabs>
                    <w:jc w:val="center"/>
                    <w:rPr>
                      <w:color w:val="000000" w:themeColor="text1"/>
                      <w:sz w:val="18"/>
                      <w:szCs w:val="18"/>
                      <w14:textFill>
                        <w14:solidFill>
                          <w14:schemeClr w14:val="tx1"/>
                        </w14:solidFill>
                      </w14:textFill>
                    </w:rPr>
                  </w:pPr>
                  <w:r>
                    <w:rPr>
                      <w:rFonts w:ascii="Cambria Math" w:hAnsi="Cambria Math" w:cs="Cambria Math"/>
                      <w:color w:val="000000" w:themeColor="text1"/>
                      <w:sz w:val="18"/>
                      <w:szCs w:val="18"/>
                      <w14:textFill>
                        <w14:solidFill>
                          <w14:schemeClr w14:val="tx1"/>
                        </w14:solidFill>
                      </w14:textFill>
                    </w:rPr>
                    <w:t>③</w:t>
                  </w:r>
                  <w:r>
                    <w:rPr>
                      <w:rFonts w:hint="eastAsia"/>
                      <w:color w:val="000000" w:themeColor="text1"/>
                      <w:sz w:val="18"/>
                      <w:szCs w:val="18"/>
                      <w14:textFill>
                        <w14:solidFill>
                          <w14:schemeClr w14:val="tx1"/>
                        </w14:solidFill>
                      </w14:textFill>
                    </w:rPr>
                    <w:t>本项目不属于环境影响大的项目，不属于钢铁、焦化、水泥（熟料）、印染（漂染）、废纸制浆造纸、陶瓷等项目；</w:t>
                  </w:r>
                </w:p>
                <w:p w14:paraId="771D7722">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④本项目不属于“两高”项目。</w:t>
                  </w:r>
                </w:p>
              </w:tc>
            </w:tr>
            <w:tr w14:paraId="22CBC6B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32" w:type="pct"/>
                  <w:vMerge w:val="continue"/>
                  <w:vAlign w:val="center"/>
                </w:tcPr>
                <w:p w14:paraId="30D1F9DE">
                  <w:pPr>
                    <w:tabs>
                      <w:tab w:val="left" w:pos="0"/>
                    </w:tabs>
                    <w:jc w:val="center"/>
                    <w:rPr>
                      <w:color w:val="000000" w:themeColor="text1"/>
                      <w:sz w:val="18"/>
                      <w:szCs w:val="18"/>
                      <w14:textFill>
                        <w14:solidFill>
                          <w14:schemeClr w14:val="tx1"/>
                        </w14:solidFill>
                      </w14:textFill>
                    </w:rPr>
                  </w:pPr>
                </w:p>
              </w:tc>
              <w:tc>
                <w:tcPr>
                  <w:tcW w:w="938" w:type="pct"/>
                  <w:vAlign w:val="center"/>
                </w:tcPr>
                <w:p w14:paraId="026B8BC6">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限制开发建设活动的要求</w:t>
                  </w:r>
                </w:p>
              </w:tc>
              <w:tc>
                <w:tcPr>
                  <w:tcW w:w="1919" w:type="pct"/>
                  <w:vAlign w:val="center"/>
                </w:tcPr>
                <w:p w14:paraId="72DDE166">
                  <w:pPr>
                    <w:tabs>
                      <w:tab w:val="left" w:pos="0"/>
                    </w:tabs>
                    <w:jc w:val="center"/>
                    <w:rPr>
                      <w:color w:val="000000" w:themeColor="text1"/>
                      <w:sz w:val="18"/>
                      <w:szCs w:val="18"/>
                      <w14:textFill>
                        <w14:solidFill>
                          <w14:schemeClr w14:val="tx1"/>
                        </w14:solidFill>
                      </w14:textFill>
                    </w:rPr>
                  </w:pPr>
                  <w:r>
                    <w:rPr>
                      <w:rFonts w:ascii="Cambria Math" w:hAnsi="Cambria Math" w:cs="Cambria Math"/>
                      <w:color w:val="000000" w:themeColor="text1"/>
                      <w:sz w:val="18"/>
                      <w:szCs w:val="18"/>
                      <w14:textFill>
                        <w14:solidFill>
                          <w14:schemeClr w14:val="tx1"/>
                        </w14:solidFill>
                      </w14:textFill>
                    </w:rPr>
                    <w:t>①</w:t>
                  </w:r>
                  <w:r>
                    <w:rPr>
                      <w:rFonts w:hint="eastAsia"/>
                      <w:color w:val="000000" w:themeColor="text1"/>
                      <w:sz w:val="18"/>
                      <w:szCs w:val="18"/>
                      <w14:textFill>
                        <w14:solidFill>
                          <w14:schemeClr w14:val="tx1"/>
                        </w14:solidFill>
                      </w14:textFill>
                    </w:rPr>
                    <w:t>与主导产业相关的</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两高</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类项目需按照国家及江西省相关政策要求严格控制引入，并经过环境影响充分论证。</w:t>
                  </w:r>
                </w:p>
                <w:p w14:paraId="451D0848">
                  <w:pPr>
                    <w:tabs>
                      <w:tab w:val="left" w:pos="0"/>
                    </w:tabs>
                    <w:jc w:val="center"/>
                    <w:rPr>
                      <w:color w:val="000000" w:themeColor="text1"/>
                      <w:sz w:val="18"/>
                      <w:szCs w:val="18"/>
                      <w14:textFill>
                        <w14:solidFill>
                          <w14:schemeClr w14:val="tx1"/>
                        </w14:solidFill>
                      </w14:textFill>
                    </w:rPr>
                  </w:pPr>
                  <w:r>
                    <w:rPr>
                      <w:rFonts w:ascii="Cambria Math" w:hAnsi="Cambria Math" w:cs="Cambria Math"/>
                      <w:color w:val="000000" w:themeColor="text1"/>
                      <w:sz w:val="18"/>
                      <w:szCs w:val="18"/>
                      <w14:textFill>
                        <w14:solidFill>
                          <w14:schemeClr w14:val="tx1"/>
                        </w14:solidFill>
                      </w14:textFill>
                    </w:rPr>
                    <w:t>②</w:t>
                  </w:r>
                  <w:r>
                    <w:rPr>
                      <w:rFonts w:hint="eastAsia"/>
                      <w:color w:val="000000" w:themeColor="text1"/>
                      <w:sz w:val="18"/>
                      <w:szCs w:val="18"/>
                      <w14:textFill>
                        <w14:solidFill>
                          <w14:schemeClr w14:val="tx1"/>
                        </w14:solidFill>
                      </w14:textFill>
                    </w:rPr>
                    <w:t>严格限制新建剧毒化学品生产项目，严格控制引进涉及光气化、硝化等爆炸性化学品等高风险项目。</w:t>
                  </w:r>
                </w:p>
              </w:tc>
              <w:tc>
                <w:tcPr>
                  <w:tcW w:w="1610" w:type="pct"/>
                  <w:vAlign w:val="center"/>
                </w:tcPr>
                <w:p w14:paraId="05D3973D">
                  <w:pPr>
                    <w:tabs>
                      <w:tab w:val="left" w:pos="0"/>
                    </w:tabs>
                    <w:jc w:val="center"/>
                    <w:rPr>
                      <w:color w:val="000000" w:themeColor="text1"/>
                      <w:sz w:val="18"/>
                      <w:szCs w:val="18"/>
                      <w14:textFill>
                        <w14:solidFill>
                          <w14:schemeClr w14:val="tx1"/>
                        </w14:solidFill>
                      </w14:textFill>
                    </w:rPr>
                  </w:pPr>
                  <w:r>
                    <w:rPr>
                      <w:rFonts w:ascii="Cambria Math" w:hAnsi="Cambria Math" w:cs="Cambria Math"/>
                      <w:color w:val="000000" w:themeColor="text1"/>
                      <w:sz w:val="18"/>
                      <w:szCs w:val="18"/>
                      <w14:textFill>
                        <w14:solidFill>
                          <w14:schemeClr w14:val="tx1"/>
                        </w14:solidFill>
                      </w14:textFill>
                    </w:rPr>
                    <w:t>①</w:t>
                  </w:r>
                  <w:r>
                    <w:rPr>
                      <w:rFonts w:hint="eastAsia"/>
                      <w:color w:val="000000" w:themeColor="text1"/>
                      <w:sz w:val="18"/>
                      <w:szCs w:val="18"/>
                      <w14:textFill>
                        <w14:solidFill>
                          <w14:schemeClr w14:val="tx1"/>
                        </w14:solidFill>
                      </w14:textFill>
                    </w:rPr>
                    <w:t>本项目不属于</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两高</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类项目；</w:t>
                  </w:r>
                </w:p>
                <w:p w14:paraId="215DB3E9">
                  <w:pPr>
                    <w:tabs>
                      <w:tab w:val="left" w:pos="0"/>
                    </w:tabs>
                    <w:jc w:val="center"/>
                    <w:rPr>
                      <w:color w:val="000000" w:themeColor="text1"/>
                      <w:sz w:val="18"/>
                      <w:szCs w:val="18"/>
                      <w14:textFill>
                        <w14:solidFill>
                          <w14:schemeClr w14:val="tx1"/>
                        </w14:solidFill>
                      </w14:textFill>
                    </w:rPr>
                  </w:pPr>
                  <w:r>
                    <w:rPr>
                      <w:rFonts w:ascii="Cambria Math" w:hAnsi="Cambria Math" w:cs="Cambria Math"/>
                      <w:color w:val="000000" w:themeColor="text1"/>
                      <w:sz w:val="18"/>
                      <w:szCs w:val="18"/>
                      <w14:textFill>
                        <w14:solidFill>
                          <w14:schemeClr w14:val="tx1"/>
                        </w14:solidFill>
                      </w14:textFill>
                    </w:rPr>
                    <w:t>②</w:t>
                  </w:r>
                  <w:r>
                    <w:rPr>
                      <w:rFonts w:hint="eastAsia"/>
                      <w:color w:val="000000" w:themeColor="text1"/>
                      <w:sz w:val="18"/>
                      <w:szCs w:val="18"/>
                      <w14:textFill>
                        <w14:solidFill>
                          <w14:schemeClr w14:val="tx1"/>
                        </w14:solidFill>
                      </w14:textFill>
                    </w:rPr>
                    <w:t>本项目不属于新建剧毒化学品生产项目，不属于涉及光气化、硝化等爆炸性化学品等高风险项目。</w:t>
                  </w:r>
                </w:p>
              </w:tc>
            </w:tr>
            <w:tr w14:paraId="372F2D5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32" w:type="pct"/>
                  <w:vMerge w:val="restart"/>
                  <w:vAlign w:val="center"/>
                </w:tcPr>
                <w:p w14:paraId="7E922DFE">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污染</w:t>
                  </w:r>
                </w:p>
                <w:p w14:paraId="48FB643B">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物排</w:t>
                  </w:r>
                </w:p>
                <w:p w14:paraId="6F41081E">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放管</w:t>
                  </w:r>
                </w:p>
                <w:p w14:paraId="2CE15B30">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控</w:t>
                  </w:r>
                </w:p>
              </w:tc>
              <w:tc>
                <w:tcPr>
                  <w:tcW w:w="938" w:type="pct"/>
                  <w:vAlign w:val="center"/>
                </w:tcPr>
                <w:p w14:paraId="5C7416AE">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现有源提标升级改造</w:t>
                  </w:r>
                </w:p>
              </w:tc>
              <w:tc>
                <w:tcPr>
                  <w:tcW w:w="1919" w:type="pct"/>
                  <w:vAlign w:val="center"/>
                </w:tcPr>
                <w:p w14:paraId="6C96EDAC">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现有企业提标改造或转型升级，不断提高清洁生产水平。</w:t>
                  </w:r>
                </w:p>
              </w:tc>
              <w:tc>
                <w:tcPr>
                  <w:tcW w:w="1610" w:type="pct"/>
                  <w:vAlign w:val="center"/>
                </w:tcPr>
                <w:p w14:paraId="7528BEDD">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本项目为扩建项目，但扩建工程生产区域与现有项目无工程依托关系</w:t>
                  </w:r>
                </w:p>
              </w:tc>
            </w:tr>
            <w:tr w14:paraId="6041677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32" w:type="pct"/>
                  <w:vMerge w:val="continue"/>
                  <w:vAlign w:val="center"/>
                </w:tcPr>
                <w:p w14:paraId="27EAD1E6">
                  <w:pPr>
                    <w:tabs>
                      <w:tab w:val="left" w:pos="0"/>
                    </w:tabs>
                    <w:jc w:val="center"/>
                    <w:rPr>
                      <w:color w:val="000000" w:themeColor="text1"/>
                      <w:sz w:val="18"/>
                      <w:szCs w:val="18"/>
                      <w14:textFill>
                        <w14:solidFill>
                          <w14:schemeClr w14:val="tx1"/>
                        </w14:solidFill>
                      </w14:textFill>
                    </w:rPr>
                  </w:pPr>
                </w:p>
              </w:tc>
              <w:tc>
                <w:tcPr>
                  <w:tcW w:w="938" w:type="pct"/>
                  <w:vAlign w:val="center"/>
                </w:tcPr>
                <w:p w14:paraId="76832AFC">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新增源等量或倍量替</w:t>
                  </w:r>
                </w:p>
                <w:p w14:paraId="2114FBDC">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代</w:t>
                  </w:r>
                </w:p>
              </w:tc>
              <w:tc>
                <w:tcPr>
                  <w:tcW w:w="1919" w:type="pct"/>
                  <w:vAlign w:val="center"/>
                </w:tcPr>
                <w:p w14:paraId="3D0EF991">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新建、扩建、改建项目污染物排放量符合总量控制指标要求。</w:t>
                  </w:r>
                </w:p>
              </w:tc>
              <w:tc>
                <w:tcPr>
                  <w:tcW w:w="1610" w:type="pct"/>
                  <w:vAlign w:val="center"/>
                </w:tcPr>
                <w:p w14:paraId="028916EE">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本项目污染物排放量符合总量控制指标要求。</w:t>
                  </w:r>
                </w:p>
              </w:tc>
            </w:tr>
            <w:tr w14:paraId="2DF5E0C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32" w:type="pct"/>
                  <w:vMerge w:val="continue"/>
                  <w:vAlign w:val="center"/>
                </w:tcPr>
                <w:p w14:paraId="482B83F2">
                  <w:pPr>
                    <w:tabs>
                      <w:tab w:val="left" w:pos="0"/>
                    </w:tabs>
                    <w:jc w:val="center"/>
                    <w:rPr>
                      <w:color w:val="000000" w:themeColor="text1"/>
                      <w:sz w:val="18"/>
                      <w:szCs w:val="18"/>
                      <w14:textFill>
                        <w14:solidFill>
                          <w14:schemeClr w14:val="tx1"/>
                        </w14:solidFill>
                      </w14:textFill>
                    </w:rPr>
                  </w:pPr>
                </w:p>
              </w:tc>
              <w:tc>
                <w:tcPr>
                  <w:tcW w:w="938" w:type="pct"/>
                  <w:vAlign w:val="center"/>
                </w:tcPr>
                <w:p w14:paraId="4871B67A">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新增源排放标准限值</w:t>
                  </w:r>
                </w:p>
              </w:tc>
              <w:tc>
                <w:tcPr>
                  <w:tcW w:w="1919" w:type="pct"/>
                  <w:vAlign w:val="center"/>
                </w:tcPr>
                <w:p w14:paraId="4D723ECF">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新建、改建、扩建排放废水的项目，废水必须经预处理达到园区污水处理厂接管要求，其中一类污染物需在车间或污染治理设施排口处达标；新建、改建、扩建污水集中处理设施的出水水质应当达到《城镇污水处理厂污染物排放标准》一级</w:t>
                  </w:r>
                  <w:r>
                    <w:rPr>
                      <w:color w:val="000000" w:themeColor="text1"/>
                      <w:sz w:val="18"/>
                      <w:szCs w:val="18"/>
                      <w14:textFill>
                        <w14:solidFill>
                          <w14:schemeClr w14:val="tx1"/>
                        </w14:solidFill>
                      </w14:textFill>
                    </w:rPr>
                    <w:t>A</w:t>
                  </w:r>
                  <w:r>
                    <w:rPr>
                      <w:rFonts w:hint="eastAsia"/>
                      <w:color w:val="000000" w:themeColor="text1"/>
                      <w:sz w:val="18"/>
                      <w:szCs w:val="18"/>
                      <w14:textFill>
                        <w14:solidFill>
                          <w14:schemeClr w14:val="tx1"/>
                        </w14:solidFill>
                      </w14:textFill>
                    </w:rPr>
                    <w:t>标准。</w:t>
                  </w:r>
                </w:p>
                <w:p w14:paraId="32E078E5">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严格控制五类重金属外排。</w:t>
                  </w:r>
                </w:p>
              </w:tc>
              <w:tc>
                <w:tcPr>
                  <w:tcW w:w="1610" w:type="pct"/>
                  <w:vAlign w:val="center"/>
                </w:tcPr>
                <w:p w14:paraId="688AC008">
                  <w:pPr>
                    <w:tabs>
                      <w:tab w:val="left" w:pos="0"/>
                    </w:tabs>
                    <w:jc w:val="center"/>
                    <w:rPr>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生活污水近期经“隔油池+化粪池”预处理后</w:t>
                  </w:r>
                  <w:r>
                    <w:rPr>
                      <w:rFonts w:hint="eastAsia"/>
                      <w:bCs/>
                      <w:color w:val="000000" w:themeColor="text1"/>
                      <w:sz w:val="18"/>
                      <w:szCs w:val="18"/>
                      <w14:textFill>
                        <w14:solidFill>
                          <w14:schemeClr w14:val="tx1"/>
                        </w14:solidFill>
                      </w14:textFill>
                    </w:rPr>
                    <w:t>达到</w:t>
                  </w:r>
                  <w:r>
                    <w:rPr>
                      <w:bCs/>
                      <w:color w:val="000000" w:themeColor="text1"/>
                      <w:sz w:val="18"/>
                      <w:szCs w:val="18"/>
                      <w14:textFill>
                        <w14:solidFill>
                          <w14:schemeClr w14:val="tx1"/>
                        </w14:solidFill>
                      </w14:textFill>
                    </w:rPr>
                    <w:t>《污水综合排放标准》（GB8978-1996）表4中三级标准</w:t>
                  </w:r>
                  <w:r>
                    <w:rPr>
                      <w:rFonts w:hint="eastAsia"/>
                      <w:bCs/>
                      <w:color w:val="000000" w:themeColor="text1"/>
                      <w:sz w:val="18"/>
                      <w:szCs w:val="18"/>
                      <w14:textFill>
                        <w14:solidFill>
                          <w14:schemeClr w14:val="tx1"/>
                        </w14:solidFill>
                      </w14:textFill>
                    </w:rPr>
                    <w:t>后</w:t>
                  </w:r>
                  <w:r>
                    <w:rPr>
                      <w:bCs/>
                      <w:color w:val="000000" w:themeColor="text1"/>
                      <w:sz w:val="18"/>
                      <w:szCs w:val="18"/>
                      <w14:textFill>
                        <w14:solidFill>
                          <w14:schemeClr w14:val="tx1"/>
                        </w14:solidFill>
                      </w14:textFill>
                    </w:rPr>
                    <w:t>通过管网进入乐平市金山</w:t>
                  </w:r>
                  <w:r>
                    <w:rPr>
                      <w:rFonts w:hint="eastAsia"/>
                      <w:bCs/>
                      <w:color w:val="000000" w:themeColor="text1"/>
                      <w:sz w:val="18"/>
                      <w:szCs w:val="18"/>
                      <w14:textFill>
                        <w14:solidFill>
                          <w14:schemeClr w14:val="tx1"/>
                        </w14:solidFill>
                      </w14:textFill>
                    </w:rPr>
                    <w:t>工业园</w:t>
                  </w:r>
                  <w:r>
                    <w:rPr>
                      <w:bCs/>
                      <w:color w:val="000000" w:themeColor="text1"/>
                      <w:sz w:val="18"/>
                      <w:szCs w:val="18"/>
                      <w14:textFill>
                        <w14:solidFill>
                          <w14:schemeClr w14:val="tx1"/>
                        </w14:solidFill>
                      </w14:textFill>
                    </w:rPr>
                    <w:t>区一期一体化污水处理站进一步处理达到《城镇污水处理厂污染物排放标准》（GB18918-2002）中一级A标准后，尾水</w:t>
                  </w:r>
                  <w:r>
                    <w:rPr>
                      <w:rFonts w:hint="eastAsia"/>
                      <w:bCs/>
                      <w:color w:val="000000" w:themeColor="text1"/>
                      <w:sz w:val="18"/>
                      <w:szCs w:val="18"/>
                      <w14:textFill>
                        <w14:solidFill>
                          <w14:schemeClr w14:val="tx1"/>
                        </w14:solidFill>
                      </w14:textFill>
                    </w:rPr>
                    <w:t>排</w:t>
                  </w:r>
                  <w:r>
                    <w:rPr>
                      <w:bCs/>
                      <w:color w:val="000000" w:themeColor="text1"/>
                      <w:sz w:val="18"/>
                      <w:szCs w:val="18"/>
                      <w14:textFill>
                        <w14:solidFill>
                          <w14:schemeClr w14:val="tx1"/>
                        </w14:solidFill>
                      </w14:textFill>
                    </w:rPr>
                    <w:t>入乐安河；远期待金山工业园污水处理厂正式投运后，排入金山工业园污水处理厂，处理达到《城镇污水处理厂污染物排放标准》（GB18918-2002）一级A标准后外排至乐安河</w:t>
                  </w:r>
                  <w:r>
                    <w:rPr>
                      <w:rFonts w:hint="eastAsia"/>
                      <w:color w:val="000000" w:themeColor="text1"/>
                      <w:sz w:val="18"/>
                      <w:szCs w:val="18"/>
                      <w14:textFill>
                        <w14:solidFill>
                          <w14:schemeClr w14:val="tx1"/>
                        </w14:solidFill>
                      </w14:textFill>
                    </w:rPr>
                    <w:t>。</w:t>
                  </w:r>
                </w:p>
              </w:tc>
            </w:tr>
            <w:tr w14:paraId="17C08DD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32" w:type="pct"/>
                  <w:vMerge w:val="continue"/>
                  <w:vAlign w:val="center"/>
                </w:tcPr>
                <w:p w14:paraId="4CBC0A87">
                  <w:pPr>
                    <w:tabs>
                      <w:tab w:val="left" w:pos="0"/>
                    </w:tabs>
                    <w:jc w:val="center"/>
                    <w:rPr>
                      <w:color w:val="000000" w:themeColor="text1"/>
                      <w:sz w:val="18"/>
                      <w:szCs w:val="18"/>
                      <w14:textFill>
                        <w14:solidFill>
                          <w14:schemeClr w14:val="tx1"/>
                        </w14:solidFill>
                      </w14:textFill>
                    </w:rPr>
                  </w:pPr>
                </w:p>
              </w:tc>
              <w:tc>
                <w:tcPr>
                  <w:tcW w:w="938" w:type="pct"/>
                  <w:vAlign w:val="center"/>
                </w:tcPr>
                <w:p w14:paraId="64ECC2A5">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污染物排放绩效水平准入要求</w:t>
                  </w:r>
                </w:p>
              </w:tc>
              <w:tc>
                <w:tcPr>
                  <w:tcW w:w="1919" w:type="pct"/>
                  <w:vAlign w:val="center"/>
                </w:tcPr>
                <w:p w14:paraId="69F41978">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保留现有的医药化工、精细化工企业等达到相应行业准入要求和清洁生产二级及以上水平。园区现有化工企业能效水平在规划末期达到</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发改产业〔</w:t>
                  </w:r>
                  <w:r>
                    <w:rPr>
                      <w:color w:val="000000" w:themeColor="text1"/>
                      <w:sz w:val="18"/>
                      <w:szCs w:val="18"/>
                      <w14:textFill>
                        <w14:solidFill>
                          <w14:schemeClr w14:val="tx1"/>
                        </w14:solidFill>
                      </w14:textFill>
                    </w:rPr>
                    <w:t>2021</w:t>
                  </w:r>
                  <w:r>
                    <w:rPr>
                      <w:rFonts w:hint="eastAsia"/>
                      <w:color w:val="000000" w:themeColor="text1"/>
                      <w:sz w:val="18"/>
                      <w:szCs w:val="18"/>
                      <w14:textFill>
                        <w14:solidFill>
                          <w14:schemeClr w14:val="tx1"/>
                        </w14:solidFill>
                      </w14:textFill>
                    </w:rPr>
                    <w:t>〕</w:t>
                  </w:r>
                  <w:r>
                    <w:rPr>
                      <w:color w:val="000000" w:themeColor="text1"/>
                      <w:sz w:val="18"/>
                      <w:szCs w:val="18"/>
                      <w14:textFill>
                        <w14:solidFill>
                          <w14:schemeClr w14:val="tx1"/>
                        </w14:solidFill>
                      </w14:textFill>
                    </w:rPr>
                    <w:t>1609</w:t>
                  </w:r>
                  <w:r>
                    <w:rPr>
                      <w:rFonts w:hint="eastAsia"/>
                      <w:color w:val="000000" w:themeColor="text1"/>
                      <w:sz w:val="18"/>
                      <w:szCs w:val="18"/>
                      <w14:textFill>
                        <w14:solidFill>
                          <w14:schemeClr w14:val="tx1"/>
                        </w14:solidFill>
                      </w14:textFill>
                    </w:rPr>
                    <w:t>号</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中标杆水平。</w:t>
                  </w:r>
                </w:p>
              </w:tc>
              <w:tc>
                <w:tcPr>
                  <w:tcW w:w="1610" w:type="pct"/>
                  <w:vAlign w:val="center"/>
                </w:tcPr>
                <w:p w14:paraId="5481EF27">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本项目不涉及</w:t>
                  </w:r>
                </w:p>
              </w:tc>
            </w:tr>
            <w:tr w14:paraId="04C366E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32" w:type="pct"/>
                  <w:vMerge w:val="restart"/>
                  <w:vAlign w:val="center"/>
                </w:tcPr>
                <w:p w14:paraId="510EA023">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环境风险防控</w:t>
                  </w:r>
                </w:p>
              </w:tc>
              <w:tc>
                <w:tcPr>
                  <w:tcW w:w="938" w:type="pct"/>
                  <w:vAlign w:val="center"/>
                </w:tcPr>
                <w:p w14:paraId="3922448B">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用地环境风险防控要求</w:t>
                  </w:r>
                </w:p>
              </w:tc>
              <w:tc>
                <w:tcPr>
                  <w:tcW w:w="1919" w:type="pct"/>
                  <w:vAlign w:val="center"/>
                </w:tcPr>
                <w:p w14:paraId="72AC5C90">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区内部分紧邻规划居住用地等环境敏感目标的工业用地，严格限制涉及使用剧毒化学品的企业进入。</w:t>
                  </w:r>
                </w:p>
              </w:tc>
              <w:tc>
                <w:tcPr>
                  <w:tcW w:w="1610" w:type="pct"/>
                  <w:vAlign w:val="center"/>
                </w:tcPr>
                <w:p w14:paraId="5967F8DF">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本项目不属于紧邻规划居住用地等环境敏感目标的工业用地，且不使用剧毒化学品</w:t>
                  </w:r>
                </w:p>
              </w:tc>
            </w:tr>
            <w:tr w14:paraId="1A1C084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32" w:type="pct"/>
                  <w:vMerge w:val="continue"/>
                  <w:vAlign w:val="center"/>
                </w:tcPr>
                <w:p w14:paraId="574F1789">
                  <w:pPr>
                    <w:tabs>
                      <w:tab w:val="left" w:pos="0"/>
                    </w:tabs>
                    <w:jc w:val="center"/>
                    <w:rPr>
                      <w:color w:val="000000" w:themeColor="text1"/>
                      <w:sz w:val="18"/>
                      <w:szCs w:val="18"/>
                      <w14:textFill>
                        <w14:solidFill>
                          <w14:schemeClr w14:val="tx1"/>
                        </w14:solidFill>
                      </w14:textFill>
                    </w:rPr>
                  </w:pPr>
                </w:p>
              </w:tc>
              <w:tc>
                <w:tcPr>
                  <w:tcW w:w="938" w:type="pct"/>
                  <w:vAlign w:val="center"/>
                </w:tcPr>
                <w:p w14:paraId="1046D364">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园区环境风险防控要求</w:t>
                  </w:r>
                </w:p>
              </w:tc>
              <w:tc>
                <w:tcPr>
                  <w:tcW w:w="1919" w:type="pct"/>
                  <w:vAlign w:val="center"/>
                </w:tcPr>
                <w:p w14:paraId="08285708">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紧邻居住、行政等环境敏感点的工业用地，禁止新建环境风险等级高的建设项目。园区应建立三级环境风险防控体系。</w:t>
                  </w:r>
                </w:p>
              </w:tc>
              <w:tc>
                <w:tcPr>
                  <w:tcW w:w="1610" w:type="pct"/>
                  <w:vAlign w:val="center"/>
                </w:tcPr>
                <w:p w14:paraId="0E9F8E20">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本项目不属于紧邻规划居住用地等环境敏感目标的工业用地。园区后期将建立三级环境风险防控体系</w:t>
                  </w:r>
                </w:p>
              </w:tc>
            </w:tr>
            <w:tr w14:paraId="3E37E51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32" w:type="pct"/>
                  <w:vMerge w:val="continue"/>
                  <w:vAlign w:val="center"/>
                </w:tcPr>
                <w:p w14:paraId="4076CE3B">
                  <w:pPr>
                    <w:tabs>
                      <w:tab w:val="left" w:pos="0"/>
                    </w:tabs>
                    <w:jc w:val="center"/>
                    <w:rPr>
                      <w:color w:val="000000" w:themeColor="text1"/>
                      <w:sz w:val="18"/>
                      <w:szCs w:val="18"/>
                      <w14:textFill>
                        <w14:solidFill>
                          <w14:schemeClr w14:val="tx1"/>
                        </w14:solidFill>
                      </w14:textFill>
                    </w:rPr>
                  </w:pPr>
                </w:p>
              </w:tc>
              <w:tc>
                <w:tcPr>
                  <w:tcW w:w="938" w:type="pct"/>
                  <w:vAlign w:val="center"/>
                </w:tcPr>
                <w:p w14:paraId="28D294FC">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企业环境风险防控要求</w:t>
                  </w:r>
                </w:p>
              </w:tc>
              <w:tc>
                <w:tcPr>
                  <w:tcW w:w="1919" w:type="pct"/>
                  <w:vAlign w:val="center"/>
                </w:tcPr>
                <w:p w14:paraId="31AA6270">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新增或改扩建存在环境风险的项目，在建设项目环评阶段须重点开展环境风险评价，与项目周边环境敏感目标之前控制合理的风险控制距离，提出并落实风险防范措施及应急联动要求，编制应急预案，并与园区应急预案联动。</w:t>
                  </w:r>
                </w:p>
              </w:tc>
              <w:tc>
                <w:tcPr>
                  <w:tcW w:w="1610" w:type="pct"/>
                  <w:vAlign w:val="center"/>
                </w:tcPr>
                <w:p w14:paraId="708F22D3">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本项目已开展环境风险评价，与项目周边环境敏感目标之前控制合理的风险控制距离，提出并落实风险防范措施及应急联动要求，本次环评要求企业后期按照要求编制应急预案，并与园区应急预案联动。</w:t>
                  </w:r>
                </w:p>
              </w:tc>
            </w:tr>
            <w:tr w14:paraId="30ABD00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32" w:type="pct"/>
                  <w:vMerge w:val="restart"/>
                  <w:vAlign w:val="center"/>
                </w:tcPr>
                <w:p w14:paraId="015BDD74">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资源开发利用要求</w:t>
                  </w:r>
                </w:p>
              </w:tc>
              <w:tc>
                <w:tcPr>
                  <w:tcW w:w="938" w:type="pct"/>
                  <w:vAlign w:val="center"/>
                </w:tcPr>
                <w:p w14:paraId="3C4B4C8F">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水资源利用效率要求</w:t>
                  </w:r>
                </w:p>
              </w:tc>
              <w:tc>
                <w:tcPr>
                  <w:tcW w:w="1919" w:type="pct"/>
                  <w:vAlign w:val="center"/>
                </w:tcPr>
                <w:p w14:paraId="2FC4E43E">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单位工业增加值新鲜水耗</w:t>
                  </w:r>
                  <w:r>
                    <w:rPr>
                      <w:color w:val="000000" w:themeColor="text1"/>
                      <w:sz w:val="18"/>
                      <w:szCs w:val="18"/>
                      <w14:textFill>
                        <w14:solidFill>
                          <w14:schemeClr w14:val="tx1"/>
                        </w14:solidFill>
                      </w14:textFill>
                    </w:rPr>
                    <w:t>≤8(m</w:t>
                  </w:r>
                  <w:r>
                    <w:rPr>
                      <w:color w:val="000000" w:themeColor="text1"/>
                      <w:sz w:val="18"/>
                      <w:szCs w:val="18"/>
                      <w:vertAlign w:val="superscript"/>
                      <w14:textFill>
                        <w14:solidFill>
                          <w14:schemeClr w14:val="tx1"/>
                        </w14:solidFill>
                      </w14:textFill>
                    </w:rPr>
                    <w:t>3</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万元</w:t>
                  </w:r>
                  <w:r>
                    <w:rPr>
                      <w:color w:val="000000" w:themeColor="text1"/>
                      <w:sz w:val="18"/>
                      <w:szCs w:val="18"/>
                      <w14:textFill>
                        <w14:solidFill>
                          <w14:schemeClr w14:val="tx1"/>
                        </w14:solidFill>
                      </w14:textFill>
                    </w:rPr>
                    <w:t>)</w:t>
                  </w:r>
                </w:p>
              </w:tc>
              <w:tc>
                <w:tcPr>
                  <w:tcW w:w="1610" w:type="pct"/>
                  <w:vAlign w:val="center"/>
                </w:tcPr>
                <w:p w14:paraId="2F74D8BE">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本项目单位工业增加值新鲜水耗</w:t>
                  </w:r>
                  <w:r>
                    <w:rPr>
                      <w:color w:val="000000" w:themeColor="text1"/>
                      <w:sz w:val="18"/>
                      <w:szCs w:val="18"/>
                      <w14:textFill>
                        <w14:solidFill>
                          <w14:schemeClr w14:val="tx1"/>
                        </w14:solidFill>
                      </w14:textFill>
                    </w:rPr>
                    <w:t>≤8(m</w:t>
                  </w:r>
                  <w:r>
                    <w:rPr>
                      <w:color w:val="000000" w:themeColor="text1"/>
                      <w:sz w:val="18"/>
                      <w:szCs w:val="18"/>
                      <w:vertAlign w:val="superscript"/>
                      <w14:textFill>
                        <w14:solidFill>
                          <w14:schemeClr w14:val="tx1"/>
                        </w14:solidFill>
                      </w14:textFill>
                    </w:rPr>
                    <w:t>3</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万元</w:t>
                  </w:r>
                  <w:r>
                    <w:rPr>
                      <w:color w:val="000000" w:themeColor="text1"/>
                      <w:sz w:val="18"/>
                      <w:szCs w:val="18"/>
                      <w14:textFill>
                        <w14:solidFill>
                          <w14:schemeClr w14:val="tx1"/>
                        </w14:solidFill>
                      </w14:textFill>
                    </w:rPr>
                    <w:t>)</w:t>
                  </w:r>
                </w:p>
              </w:tc>
            </w:tr>
            <w:tr w14:paraId="1827182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32" w:type="pct"/>
                  <w:vMerge w:val="continue"/>
                  <w:vAlign w:val="center"/>
                </w:tcPr>
                <w:p w14:paraId="4A58A909">
                  <w:pPr>
                    <w:tabs>
                      <w:tab w:val="left" w:pos="0"/>
                    </w:tabs>
                    <w:jc w:val="center"/>
                    <w:rPr>
                      <w:color w:val="000000" w:themeColor="text1"/>
                      <w:sz w:val="18"/>
                      <w:szCs w:val="18"/>
                      <w14:textFill>
                        <w14:solidFill>
                          <w14:schemeClr w14:val="tx1"/>
                        </w14:solidFill>
                      </w14:textFill>
                    </w:rPr>
                  </w:pPr>
                </w:p>
              </w:tc>
              <w:tc>
                <w:tcPr>
                  <w:tcW w:w="938" w:type="pct"/>
                  <w:vAlign w:val="center"/>
                </w:tcPr>
                <w:p w14:paraId="465987D9">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土地资源利用要求</w:t>
                  </w:r>
                </w:p>
              </w:tc>
              <w:tc>
                <w:tcPr>
                  <w:tcW w:w="1919" w:type="pct"/>
                  <w:vAlign w:val="center"/>
                </w:tcPr>
                <w:p w14:paraId="73BD77E8">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满足《江西省建设用地控制指标》（</w:t>
                  </w:r>
                  <w:r>
                    <w:rPr>
                      <w:color w:val="000000" w:themeColor="text1"/>
                      <w:sz w:val="18"/>
                      <w:szCs w:val="18"/>
                      <w14:textFill>
                        <w14:solidFill>
                          <w14:schemeClr w14:val="tx1"/>
                        </w14:solidFill>
                      </w14:textFill>
                    </w:rPr>
                    <w:t>2018</w:t>
                  </w:r>
                  <w:r>
                    <w:rPr>
                      <w:rFonts w:hint="eastAsia"/>
                      <w:color w:val="000000" w:themeColor="text1"/>
                      <w:sz w:val="18"/>
                      <w:szCs w:val="18"/>
                      <w14:textFill>
                        <w14:solidFill>
                          <w14:schemeClr w14:val="tx1"/>
                        </w14:solidFill>
                      </w14:textFill>
                    </w:rPr>
                    <w:t>年）中的相关要求</w:t>
                  </w:r>
                </w:p>
              </w:tc>
              <w:tc>
                <w:tcPr>
                  <w:tcW w:w="1610" w:type="pct"/>
                  <w:vAlign w:val="center"/>
                </w:tcPr>
                <w:p w14:paraId="46ADE496">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本项目满足《江西省建设用地控制指标》（</w:t>
                  </w:r>
                  <w:r>
                    <w:rPr>
                      <w:color w:val="000000" w:themeColor="text1"/>
                      <w:sz w:val="18"/>
                      <w:szCs w:val="18"/>
                      <w14:textFill>
                        <w14:solidFill>
                          <w14:schemeClr w14:val="tx1"/>
                        </w14:solidFill>
                      </w14:textFill>
                    </w:rPr>
                    <w:t>2018</w:t>
                  </w:r>
                  <w:r>
                    <w:rPr>
                      <w:rFonts w:hint="eastAsia"/>
                      <w:color w:val="000000" w:themeColor="text1"/>
                      <w:sz w:val="18"/>
                      <w:szCs w:val="18"/>
                      <w14:textFill>
                        <w14:solidFill>
                          <w14:schemeClr w14:val="tx1"/>
                        </w14:solidFill>
                      </w14:textFill>
                    </w:rPr>
                    <w:t>年）中的相关要求。</w:t>
                  </w:r>
                </w:p>
              </w:tc>
            </w:tr>
            <w:tr w14:paraId="63B843E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32" w:type="pct"/>
                  <w:vMerge w:val="continue"/>
                  <w:vAlign w:val="center"/>
                </w:tcPr>
                <w:p w14:paraId="2ED6327D">
                  <w:pPr>
                    <w:tabs>
                      <w:tab w:val="left" w:pos="0"/>
                    </w:tabs>
                    <w:jc w:val="center"/>
                    <w:rPr>
                      <w:color w:val="000000" w:themeColor="text1"/>
                      <w:sz w:val="18"/>
                      <w:szCs w:val="18"/>
                      <w14:textFill>
                        <w14:solidFill>
                          <w14:schemeClr w14:val="tx1"/>
                        </w14:solidFill>
                      </w14:textFill>
                    </w:rPr>
                  </w:pPr>
                </w:p>
              </w:tc>
              <w:tc>
                <w:tcPr>
                  <w:tcW w:w="938" w:type="pct"/>
                  <w:vAlign w:val="center"/>
                </w:tcPr>
                <w:p w14:paraId="6A5BA03A">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能源利用效率要求</w:t>
                  </w:r>
                </w:p>
              </w:tc>
              <w:tc>
                <w:tcPr>
                  <w:tcW w:w="1919" w:type="pct"/>
                  <w:vAlign w:val="center"/>
                </w:tcPr>
                <w:p w14:paraId="581EC176">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单位工业增加值能耗</w:t>
                  </w:r>
                  <w:r>
                    <w:rPr>
                      <w:color w:val="000000" w:themeColor="text1"/>
                      <w:sz w:val="18"/>
                      <w:szCs w:val="18"/>
                      <w14:textFill>
                        <w14:solidFill>
                          <w14:schemeClr w14:val="tx1"/>
                        </w14:solidFill>
                      </w14:textFill>
                    </w:rPr>
                    <w:t>≤0.50(t</w:t>
                  </w:r>
                  <w:r>
                    <w:rPr>
                      <w:rFonts w:hint="eastAsia"/>
                      <w:color w:val="000000" w:themeColor="text1"/>
                      <w:sz w:val="18"/>
                      <w:szCs w:val="18"/>
                      <w14:textFill>
                        <w14:solidFill>
                          <w14:schemeClr w14:val="tx1"/>
                        </w14:solidFill>
                      </w14:textFill>
                    </w:rPr>
                    <w:t>标煤</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万元</w:t>
                  </w:r>
                  <w:r>
                    <w:rPr>
                      <w:color w:val="000000" w:themeColor="text1"/>
                      <w:sz w:val="18"/>
                      <w:szCs w:val="18"/>
                      <w14:textFill>
                        <w14:solidFill>
                          <w14:schemeClr w14:val="tx1"/>
                        </w14:solidFill>
                      </w14:textFill>
                    </w:rPr>
                    <w:t>)</w:t>
                  </w:r>
                </w:p>
              </w:tc>
              <w:tc>
                <w:tcPr>
                  <w:tcW w:w="1610" w:type="pct"/>
                  <w:vAlign w:val="center"/>
                </w:tcPr>
                <w:p w14:paraId="2EF0B764">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本项目单位工业增加值能耗</w:t>
                  </w:r>
                  <w:r>
                    <w:rPr>
                      <w:color w:val="000000" w:themeColor="text1"/>
                      <w:sz w:val="18"/>
                      <w:szCs w:val="18"/>
                      <w14:textFill>
                        <w14:solidFill>
                          <w14:schemeClr w14:val="tx1"/>
                        </w14:solidFill>
                      </w14:textFill>
                    </w:rPr>
                    <w:t>≤0.50(t</w:t>
                  </w:r>
                  <w:r>
                    <w:rPr>
                      <w:rFonts w:hint="eastAsia"/>
                      <w:color w:val="000000" w:themeColor="text1"/>
                      <w:sz w:val="18"/>
                      <w:szCs w:val="18"/>
                      <w14:textFill>
                        <w14:solidFill>
                          <w14:schemeClr w14:val="tx1"/>
                        </w14:solidFill>
                      </w14:textFill>
                    </w:rPr>
                    <w:t>标煤</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万元</w:t>
                  </w:r>
                  <w:r>
                    <w:rPr>
                      <w:color w:val="000000" w:themeColor="text1"/>
                      <w:sz w:val="18"/>
                      <w:szCs w:val="18"/>
                      <w14:textFill>
                        <w14:solidFill>
                          <w14:schemeClr w14:val="tx1"/>
                        </w14:solidFill>
                      </w14:textFill>
                    </w:rPr>
                    <w:t>)</w:t>
                  </w:r>
                </w:p>
              </w:tc>
            </w:tr>
            <w:tr w14:paraId="12206B8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32" w:type="pct"/>
                  <w:vMerge w:val="continue"/>
                  <w:vAlign w:val="center"/>
                </w:tcPr>
                <w:p w14:paraId="2F11E72F">
                  <w:pPr>
                    <w:tabs>
                      <w:tab w:val="left" w:pos="0"/>
                    </w:tabs>
                    <w:jc w:val="center"/>
                    <w:rPr>
                      <w:color w:val="000000" w:themeColor="text1"/>
                      <w:sz w:val="18"/>
                      <w:szCs w:val="18"/>
                      <w14:textFill>
                        <w14:solidFill>
                          <w14:schemeClr w14:val="tx1"/>
                        </w14:solidFill>
                      </w14:textFill>
                    </w:rPr>
                  </w:pPr>
                </w:p>
              </w:tc>
              <w:tc>
                <w:tcPr>
                  <w:tcW w:w="938" w:type="pct"/>
                  <w:vAlign w:val="center"/>
                </w:tcPr>
                <w:p w14:paraId="5CDECFFD">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禁止使用燃料</w:t>
                  </w:r>
                </w:p>
              </w:tc>
              <w:tc>
                <w:tcPr>
                  <w:tcW w:w="1919" w:type="pct"/>
                  <w:vAlign w:val="center"/>
                </w:tcPr>
                <w:p w14:paraId="6ADDF58C">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禁止使用燃煤等高污染燃料</w:t>
                  </w:r>
                </w:p>
              </w:tc>
              <w:tc>
                <w:tcPr>
                  <w:tcW w:w="1610" w:type="pct"/>
                  <w:vAlign w:val="center"/>
                </w:tcPr>
                <w:p w14:paraId="6021F77D">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本项目不使用燃料。</w:t>
                  </w:r>
                </w:p>
              </w:tc>
            </w:tr>
          </w:tbl>
          <w:p w14:paraId="00C9C9DA">
            <w:pPr>
              <w:tabs>
                <w:tab w:val="left" w:pos="0"/>
              </w:tabs>
              <w:jc w:val="center"/>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表</w:t>
            </w:r>
            <w:r>
              <w:rPr>
                <w:b/>
                <w:bCs/>
                <w:color w:val="000000" w:themeColor="text1"/>
                <w:sz w:val="24"/>
                <w14:textFill>
                  <w14:solidFill>
                    <w14:schemeClr w14:val="tx1"/>
                  </w14:solidFill>
                </w14:textFill>
              </w:rPr>
              <w:t xml:space="preserve">1-3 </w:t>
            </w:r>
            <w:r>
              <w:rPr>
                <w:rFonts w:hint="eastAsia"/>
                <w:b/>
                <w:bCs/>
                <w:color w:val="000000" w:themeColor="text1"/>
                <w:sz w:val="24"/>
                <w14:textFill>
                  <w14:solidFill>
                    <w14:schemeClr w14:val="tx1"/>
                  </w14:solidFill>
                </w14:textFill>
              </w:rPr>
              <w:t>园区生态准入清单</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510"/>
              <w:gridCol w:w="727"/>
              <w:gridCol w:w="2054"/>
              <w:gridCol w:w="1291"/>
              <w:gridCol w:w="1517"/>
              <w:gridCol w:w="1754"/>
            </w:tblGrid>
            <w:tr w14:paraId="5BFD2AD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325" w:type="pct"/>
                  <w:vAlign w:val="center"/>
                </w:tcPr>
                <w:p w14:paraId="58515F53">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片区</w:t>
                  </w:r>
                </w:p>
              </w:tc>
              <w:tc>
                <w:tcPr>
                  <w:tcW w:w="463" w:type="pct"/>
                  <w:vAlign w:val="center"/>
                </w:tcPr>
                <w:p w14:paraId="44C2D6A9">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规划产业</w:t>
                  </w:r>
                </w:p>
              </w:tc>
              <w:tc>
                <w:tcPr>
                  <w:tcW w:w="1308" w:type="pct"/>
                  <w:vAlign w:val="center"/>
                </w:tcPr>
                <w:p w14:paraId="01B1D8BB">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限制发展项目</w:t>
                  </w:r>
                </w:p>
              </w:tc>
              <w:tc>
                <w:tcPr>
                  <w:tcW w:w="822" w:type="pct"/>
                  <w:vAlign w:val="center"/>
                </w:tcPr>
                <w:p w14:paraId="1ED42E6A">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禁止准入项目</w:t>
                  </w:r>
                </w:p>
              </w:tc>
              <w:tc>
                <w:tcPr>
                  <w:tcW w:w="966" w:type="pct"/>
                  <w:vAlign w:val="center"/>
                </w:tcPr>
                <w:p w14:paraId="4D055FFE">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允许准入项目的环境管理要求</w:t>
                  </w:r>
                </w:p>
              </w:tc>
              <w:tc>
                <w:tcPr>
                  <w:tcW w:w="1116" w:type="pct"/>
                  <w:vAlign w:val="center"/>
                </w:tcPr>
                <w:p w14:paraId="624068B1">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本项目</w:t>
                  </w:r>
                </w:p>
              </w:tc>
            </w:tr>
            <w:tr w14:paraId="40C5FAD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325" w:type="pct"/>
                  <w:vAlign w:val="center"/>
                </w:tcPr>
                <w:p w14:paraId="1A613A19">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金山工业园</w:t>
                  </w:r>
                </w:p>
              </w:tc>
              <w:tc>
                <w:tcPr>
                  <w:tcW w:w="463" w:type="pct"/>
                  <w:vAlign w:val="center"/>
                </w:tcPr>
                <w:p w14:paraId="1EFE8935">
                  <w:pPr>
                    <w:tabs>
                      <w:tab w:val="left" w:pos="0"/>
                    </w:tabs>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新型建材、机械电子、有色金属制品</w:t>
                  </w:r>
                </w:p>
              </w:tc>
              <w:tc>
                <w:tcPr>
                  <w:tcW w:w="1308" w:type="pct"/>
                  <w:vAlign w:val="center"/>
                </w:tcPr>
                <w:p w14:paraId="25E26B9B">
                  <w:pPr>
                    <w:tabs>
                      <w:tab w:val="left" w:pos="0"/>
                    </w:tabs>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r>
                    <w:rPr>
                      <w:rFonts w:hint="eastAsia"/>
                      <w:color w:val="000000" w:themeColor="text1"/>
                      <w:sz w:val="18"/>
                      <w:szCs w:val="18"/>
                      <w14:textFill>
                        <w14:solidFill>
                          <w14:schemeClr w14:val="tx1"/>
                        </w14:solidFill>
                      </w14:textFill>
                    </w:rPr>
                    <w:t>、因区域现状颗粒物（</w:t>
                  </w:r>
                  <w:r>
                    <w:rPr>
                      <w:color w:val="000000" w:themeColor="text1"/>
                      <w:sz w:val="18"/>
                      <w:szCs w:val="18"/>
                      <w14:textFill>
                        <w14:solidFill>
                          <w14:schemeClr w14:val="tx1"/>
                        </w14:solidFill>
                      </w14:textFill>
                    </w:rPr>
                    <w:t>PM</w:t>
                  </w:r>
                  <w:r>
                    <w:rPr>
                      <w:color w:val="000000" w:themeColor="text1"/>
                      <w:sz w:val="18"/>
                      <w:szCs w:val="18"/>
                      <w:vertAlign w:val="subscript"/>
                      <w14:textFill>
                        <w14:solidFill>
                          <w14:schemeClr w14:val="tx1"/>
                        </w14:solidFill>
                      </w14:textFill>
                    </w:rPr>
                    <w:t>10</w:t>
                  </w:r>
                  <w:r>
                    <w:rPr>
                      <w:rFonts w:hint="eastAsia"/>
                      <w:color w:val="000000" w:themeColor="text1"/>
                      <w:sz w:val="18"/>
                      <w:szCs w:val="18"/>
                      <w14:textFill>
                        <w14:solidFill>
                          <w14:schemeClr w14:val="tx1"/>
                        </w14:solidFill>
                      </w14:textFill>
                    </w:rPr>
                    <w:t>、</w:t>
                  </w:r>
                  <w:r>
                    <w:rPr>
                      <w:color w:val="000000" w:themeColor="text1"/>
                      <w:sz w:val="18"/>
                      <w:szCs w:val="18"/>
                      <w14:textFill>
                        <w14:solidFill>
                          <w14:schemeClr w14:val="tx1"/>
                        </w14:solidFill>
                      </w14:textFill>
                    </w:rPr>
                    <w:t>PM</w:t>
                  </w:r>
                  <w:r>
                    <w:rPr>
                      <w:color w:val="000000" w:themeColor="text1"/>
                      <w:sz w:val="18"/>
                      <w:szCs w:val="18"/>
                      <w:vertAlign w:val="subscript"/>
                      <w14:textFill>
                        <w14:solidFill>
                          <w14:schemeClr w14:val="tx1"/>
                        </w14:solidFill>
                      </w14:textFill>
                    </w:rPr>
                    <w:t>2.5</w:t>
                  </w:r>
                  <w:r>
                    <w:rPr>
                      <w:rFonts w:hint="eastAsia"/>
                      <w:color w:val="000000" w:themeColor="text1"/>
                      <w:sz w:val="18"/>
                      <w:szCs w:val="18"/>
                      <w14:textFill>
                        <w14:solidFill>
                          <w14:schemeClr w14:val="tx1"/>
                        </w14:solidFill>
                      </w14:textFill>
                    </w:rPr>
                    <w:t>）短期浓度占标率较高，园区应严控区域颗粒物排放，当企业排放的颗粒物（有组织和无组织）小时最大落地浓度占标率达到</w:t>
                  </w:r>
                  <w:r>
                    <w:rPr>
                      <w:color w:val="000000" w:themeColor="text1"/>
                      <w:sz w:val="18"/>
                      <w:szCs w:val="18"/>
                      <w14:textFill>
                        <w14:solidFill>
                          <w14:schemeClr w14:val="tx1"/>
                        </w14:solidFill>
                      </w14:textFill>
                    </w:rPr>
                    <w:t>10%</w:t>
                  </w:r>
                  <w:r>
                    <w:rPr>
                      <w:rFonts w:hint="eastAsia"/>
                      <w:color w:val="000000" w:themeColor="text1"/>
                      <w:sz w:val="18"/>
                      <w:szCs w:val="18"/>
                      <w14:textFill>
                        <w14:solidFill>
                          <w14:schemeClr w14:val="tx1"/>
                        </w14:solidFill>
                      </w14:textFill>
                    </w:rPr>
                    <w:t>时，应当提出进一步削减颗粒物排放量（排放速率、排放总量）的措施。</w:t>
                  </w:r>
                </w:p>
                <w:p w14:paraId="7A46D95E">
                  <w:pPr>
                    <w:tabs>
                      <w:tab w:val="left" w:pos="0"/>
                    </w:tabs>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r>
                    <w:rPr>
                      <w:rFonts w:hint="eastAsia"/>
                      <w:color w:val="000000" w:themeColor="text1"/>
                      <w:sz w:val="18"/>
                      <w:szCs w:val="18"/>
                      <w14:textFill>
                        <w14:solidFill>
                          <w14:schemeClr w14:val="tx1"/>
                        </w14:solidFill>
                      </w14:textFill>
                    </w:rPr>
                    <w:t>、鉴于金山工业园位于乐平市主城区常年主导风向上风向且距离较近，园区应严格管控大气环境风险，限制大气环境风险潜势大于等于</w:t>
                  </w:r>
                  <w:r>
                    <w:rPr>
                      <w:color w:val="000000" w:themeColor="text1"/>
                      <w:sz w:val="18"/>
                      <w:szCs w:val="18"/>
                      <w14:textFill>
                        <w14:solidFill>
                          <w14:schemeClr w14:val="tx1"/>
                        </w14:solidFill>
                      </w14:textFill>
                    </w:rPr>
                    <w:t>III</w:t>
                  </w:r>
                  <w:r>
                    <w:rPr>
                      <w:rFonts w:hint="eastAsia"/>
                      <w:color w:val="000000" w:themeColor="text1"/>
                      <w:sz w:val="18"/>
                      <w:szCs w:val="18"/>
                      <w14:textFill>
                        <w14:solidFill>
                          <w14:schemeClr w14:val="tx1"/>
                        </w14:solidFill>
                      </w14:textFill>
                    </w:rPr>
                    <w:t>级的项目入驻。</w:t>
                  </w:r>
                </w:p>
              </w:tc>
              <w:tc>
                <w:tcPr>
                  <w:tcW w:w="822" w:type="pct"/>
                  <w:vAlign w:val="center"/>
                </w:tcPr>
                <w:p w14:paraId="0B0DF6F8">
                  <w:pPr>
                    <w:tabs>
                      <w:tab w:val="left" w:pos="0"/>
                    </w:tabs>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r>
                    <w:rPr>
                      <w:rFonts w:hint="eastAsia"/>
                      <w:color w:val="000000" w:themeColor="text1"/>
                      <w:sz w:val="18"/>
                      <w:szCs w:val="18"/>
                      <w14:textFill>
                        <w14:solidFill>
                          <w14:schemeClr w14:val="tx1"/>
                        </w14:solidFill>
                      </w14:textFill>
                    </w:rPr>
                    <w:t>、不得引入化工等高能耗、高排放项目；</w:t>
                  </w:r>
                </w:p>
                <w:p w14:paraId="31C83979">
                  <w:pPr>
                    <w:tabs>
                      <w:tab w:val="left" w:pos="0"/>
                    </w:tabs>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r>
                    <w:rPr>
                      <w:rFonts w:hint="eastAsia"/>
                      <w:color w:val="000000" w:themeColor="text1"/>
                      <w:sz w:val="18"/>
                      <w:szCs w:val="18"/>
                      <w14:textFill>
                        <w14:solidFill>
                          <w14:schemeClr w14:val="tx1"/>
                        </w14:solidFill>
                      </w14:textFill>
                    </w:rPr>
                    <w:t>、不得引入燃用煤炭、原油、重油、渣油的项目。</w:t>
                  </w:r>
                </w:p>
                <w:p w14:paraId="6951A554">
                  <w:pPr>
                    <w:tabs>
                      <w:tab w:val="left" w:pos="0"/>
                    </w:tabs>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w:t>
                  </w:r>
                  <w:r>
                    <w:rPr>
                      <w:rFonts w:hint="eastAsia"/>
                      <w:color w:val="000000" w:themeColor="text1"/>
                      <w:sz w:val="18"/>
                      <w:szCs w:val="18"/>
                      <w14:textFill>
                        <w14:solidFill>
                          <w14:schemeClr w14:val="tx1"/>
                        </w14:solidFill>
                      </w14:textFill>
                    </w:rPr>
                    <w:t>、不得引入废气、废水中排放五类重金属、二噁英类污染因子的项目</w:t>
                  </w:r>
                </w:p>
              </w:tc>
              <w:tc>
                <w:tcPr>
                  <w:tcW w:w="966" w:type="pct"/>
                  <w:vAlign w:val="center"/>
                </w:tcPr>
                <w:p w14:paraId="7C408791">
                  <w:pPr>
                    <w:tabs>
                      <w:tab w:val="left" w:pos="0"/>
                    </w:tabs>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r>
                    <w:rPr>
                      <w:rFonts w:hint="eastAsia"/>
                      <w:color w:val="000000" w:themeColor="text1"/>
                      <w:sz w:val="18"/>
                      <w:szCs w:val="18"/>
                      <w14:textFill>
                        <w14:solidFill>
                          <w14:schemeClr w14:val="tx1"/>
                        </w14:solidFill>
                      </w14:textFill>
                    </w:rPr>
                    <w:t>、工业项目应符合产业政策，清洁生产水平达到国内先进水平；</w:t>
                  </w:r>
                </w:p>
                <w:p w14:paraId="529DAFC6">
                  <w:pPr>
                    <w:tabs>
                      <w:tab w:val="left" w:pos="0"/>
                    </w:tabs>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r>
                    <w:rPr>
                      <w:rFonts w:hint="eastAsia"/>
                      <w:color w:val="000000" w:themeColor="text1"/>
                      <w:sz w:val="18"/>
                      <w:szCs w:val="18"/>
                      <w14:textFill>
                        <w14:solidFill>
                          <w14:schemeClr w14:val="tx1"/>
                        </w14:solidFill>
                      </w14:textFill>
                    </w:rPr>
                    <w:t>、新增主要污染物排放量的工业项目必须取得排污指标，且需按证排污；</w:t>
                  </w:r>
                </w:p>
                <w:p w14:paraId="066D2091">
                  <w:pPr>
                    <w:tabs>
                      <w:tab w:val="left" w:pos="0"/>
                    </w:tabs>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w:t>
                  </w:r>
                  <w:r>
                    <w:rPr>
                      <w:rFonts w:hint="eastAsia"/>
                      <w:color w:val="000000" w:themeColor="text1"/>
                      <w:sz w:val="18"/>
                      <w:szCs w:val="18"/>
                      <w14:textFill>
                        <w14:solidFill>
                          <w14:schemeClr w14:val="tx1"/>
                        </w14:solidFill>
                      </w14:textFill>
                    </w:rPr>
                    <w:t>、工业项目排放污染物必须达到国家和地方规定的污染物排放标准</w:t>
                  </w:r>
                </w:p>
              </w:tc>
              <w:tc>
                <w:tcPr>
                  <w:tcW w:w="1116" w:type="pct"/>
                  <w:vAlign w:val="center"/>
                </w:tcPr>
                <w:p w14:paraId="238701CA">
                  <w:pPr>
                    <w:tabs>
                      <w:tab w:val="left" w:pos="0"/>
                    </w:tabs>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一、限制</w:t>
                  </w:r>
                </w:p>
                <w:p w14:paraId="0D5C752F">
                  <w:pPr>
                    <w:tabs>
                      <w:tab w:val="left" w:pos="0"/>
                    </w:tabs>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r>
                    <w:rPr>
                      <w:rFonts w:hint="eastAsia"/>
                      <w:color w:val="000000" w:themeColor="text1"/>
                      <w:sz w:val="18"/>
                      <w:szCs w:val="18"/>
                      <w14:textFill>
                        <w14:solidFill>
                          <w14:schemeClr w14:val="tx1"/>
                        </w14:solidFill>
                      </w14:textFill>
                    </w:rPr>
                    <w:t>、经预测，本项目</w:t>
                  </w:r>
                  <w:r>
                    <w:rPr>
                      <w:rFonts w:hint="eastAsia"/>
                      <w:bCs/>
                      <w:color w:val="000000" w:themeColor="text1"/>
                      <w:sz w:val="18"/>
                      <w:szCs w:val="18"/>
                      <w14:textFill>
                        <w14:solidFill>
                          <w14:schemeClr w14:val="tx1"/>
                        </w14:solidFill>
                      </w14:textFill>
                    </w:rPr>
                    <w:t>PM</w:t>
                  </w:r>
                  <w:r>
                    <w:rPr>
                      <w:rFonts w:hint="eastAsia"/>
                      <w:bCs/>
                      <w:color w:val="000000" w:themeColor="text1"/>
                      <w:sz w:val="18"/>
                      <w:szCs w:val="18"/>
                      <w:vertAlign w:val="subscript"/>
                      <w14:textFill>
                        <w14:solidFill>
                          <w14:schemeClr w14:val="tx1"/>
                        </w14:solidFill>
                      </w14:textFill>
                    </w:rPr>
                    <w:t>10</w:t>
                  </w:r>
                  <w:r>
                    <w:rPr>
                      <w:bCs/>
                      <w:color w:val="000000" w:themeColor="text1"/>
                      <w:sz w:val="18"/>
                      <w:szCs w:val="18"/>
                      <w14:textFill>
                        <w14:solidFill>
                          <w14:schemeClr w14:val="tx1"/>
                        </w14:solidFill>
                      </w14:textFill>
                    </w:rPr>
                    <w:t>和</w:t>
                  </w:r>
                  <w:r>
                    <w:rPr>
                      <w:rFonts w:hint="eastAsia"/>
                      <w:bCs/>
                      <w:color w:val="000000" w:themeColor="text1"/>
                      <w:sz w:val="18"/>
                      <w:szCs w:val="18"/>
                      <w14:textFill>
                        <w14:solidFill>
                          <w14:schemeClr w14:val="tx1"/>
                        </w14:solidFill>
                      </w14:textFill>
                    </w:rPr>
                    <w:t>PM</w:t>
                  </w:r>
                  <w:r>
                    <w:rPr>
                      <w:rFonts w:hint="eastAsia"/>
                      <w:bCs/>
                      <w:color w:val="000000" w:themeColor="text1"/>
                      <w:sz w:val="18"/>
                      <w:szCs w:val="18"/>
                      <w:vertAlign w:val="subscript"/>
                      <w14:textFill>
                        <w14:solidFill>
                          <w14:schemeClr w14:val="tx1"/>
                        </w14:solidFill>
                      </w14:textFill>
                    </w:rPr>
                    <w:t>2.5</w:t>
                  </w:r>
                  <w:r>
                    <w:rPr>
                      <w:rFonts w:hint="eastAsia"/>
                      <w:color w:val="000000" w:themeColor="text1"/>
                      <w:sz w:val="18"/>
                      <w:szCs w:val="18"/>
                      <w14:textFill>
                        <w14:solidFill>
                          <w14:schemeClr w14:val="tx1"/>
                        </w14:solidFill>
                      </w14:textFill>
                    </w:rPr>
                    <w:t>最大浓度占标率均小于</w:t>
                  </w:r>
                  <w:r>
                    <w:rPr>
                      <w:color w:val="000000" w:themeColor="text1"/>
                      <w:sz w:val="18"/>
                      <w:szCs w:val="18"/>
                      <w14:textFill>
                        <w14:solidFill>
                          <w14:schemeClr w14:val="tx1"/>
                        </w14:solidFill>
                      </w14:textFill>
                    </w:rPr>
                    <w:t>10%</w:t>
                  </w:r>
                  <w:r>
                    <w:rPr>
                      <w:rFonts w:hint="eastAsia"/>
                      <w:color w:val="000000" w:themeColor="text1"/>
                      <w:sz w:val="18"/>
                      <w:szCs w:val="18"/>
                      <w14:textFill>
                        <w14:solidFill>
                          <w14:schemeClr w14:val="tx1"/>
                        </w14:solidFill>
                      </w14:textFill>
                    </w:rPr>
                    <w:t>。</w:t>
                  </w:r>
                </w:p>
                <w:p w14:paraId="2F083489">
                  <w:pPr>
                    <w:tabs>
                      <w:tab w:val="left" w:pos="0"/>
                    </w:tabs>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r>
                    <w:rPr>
                      <w:rFonts w:hint="eastAsia"/>
                      <w:color w:val="000000" w:themeColor="text1"/>
                      <w:sz w:val="18"/>
                      <w:szCs w:val="18"/>
                      <w14:textFill>
                        <w14:solidFill>
                          <w14:schemeClr w14:val="tx1"/>
                        </w14:solidFill>
                      </w14:textFill>
                    </w:rPr>
                    <w:t>、环境风险潜势为</w:t>
                  </w:r>
                  <w:r>
                    <w:rPr>
                      <w:color w:val="000000" w:themeColor="text1"/>
                      <w:sz w:val="18"/>
                      <w:szCs w:val="18"/>
                      <w14:textFill>
                        <w14:solidFill>
                          <w14:schemeClr w14:val="tx1"/>
                        </w14:solidFill>
                      </w14:textFill>
                    </w:rPr>
                    <w:t>Ⅰ</w:t>
                  </w:r>
                  <w:r>
                    <w:rPr>
                      <w:rFonts w:hint="eastAsia"/>
                      <w:color w:val="000000" w:themeColor="text1"/>
                      <w:sz w:val="18"/>
                      <w:szCs w:val="18"/>
                      <w14:textFill>
                        <w14:solidFill>
                          <w14:schemeClr w14:val="tx1"/>
                        </w14:solidFill>
                      </w14:textFill>
                    </w:rPr>
                    <w:t>。</w:t>
                  </w:r>
                </w:p>
                <w:p w14:paraId="68D448E7">
                  <w:pPr>
                    <w:tabs>
                      <w:tab w:val="left" w:pos="0"/>
                    </w:tabs>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二、禁止</w:t>
                  </w:r>
                </w:p>
                <w:p w14:paraId="32FDBDA8">
                  <w:pPr>
                    <w:tabs>
                      <w:tab w:val="left" w:pos="0"/>
                    </w:tabs>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r>
                    <w:rPr>
                      <w:rFonts w:hint="eastAsia"/>
                      <w:color w:val="000000" w:themeColor="text1"/>
                      <w:sz w:val="18"/>
                      <w:szCs w:val="18"/>
                      <w14:textFill>
                        <w14:solidFill>
                          <w14:schemeClr w14:val="tx1"/>
                        </w14:solidFill>
                      </w14:textFill>
                    </w:rPr>
                    <w:t>、不属于两高项目；</w:t>
                  </w:r>
                </w:p>
                <w:p w14:paraId="4B61938C">
                  <w:pPr>
                    <w:tabs>
                      <w:tab w:val="left" w:pos="0"/>
                    </w:tabs>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r>
                    <w:rPr>
                      <w:rFonts w:hint="eastAsia"/>
                      <w:color w:val="000000" w:themeColor="text1"/>
                      <w:sz w:val="18"/>
                      <w:szCs w:val="18"/>
                      <w14:textFill>
                        <w14:solidFill>
                          <w14:schemeClr w14:val="tx1"/>
                        </w14:solidFill>
                      </w14:textFill>
                    </w:rPr>
                    <w:t>、不使用煤炭、原油、重油、渣油；</w:t>
                  </w:r>
                </w:p>
                <w:p w14:paraId="79664091">
                  <w:pPr>
                    <w:tabs>
                      <w:tab w:val="left" w:pos="0"/>
                    </w:tabs>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w:t>
                  </w:r>
                  <w:r>
                    <w:rPr>
                      <w:rFonts w:hint="eastAsia"/>
                      <w:color w:val="000000" w:themeColor="text1"/>
                      <w:sz w:val="18"/>
                      <w:szCs w:val="18"/>
                      <w14:textFill>
                        <w14:solidFill>
                          <w14:schemeClr w14:val="tx1"/>
                        </w14:solidFill>
                      </w14:textFill>
                    </w:rPr>
                    <w:t>、废气、废水不涉及五类重金属、二噁英排放。</w:t>
                  </w:r>
                </w:p>
                <w:p w14:paraId="62C7EB4B">
                  <w:pPr>
                    <w:tabs>
                      <w:tab w:val="left" w:pos="0"/>
                    </w:tabs>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三、允许</w:t>
                  </w:r>
                </w:p>
                <w:p w14:paraId="2A9A7663">
                  <w:pPr>
                    <w:tabs>
                      <w:tab w:val="left" w:pos="0"/>
                    </w:tabs>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r>
                    <w:rPr>
                      <w:rFonts w:hint="eastAsia"/>
                      <w:color w:val="000000" w:themeColor="text1"/>
                      <w:sz w:val="18"/>
                      <w:szCs w:val="18"/>
                      <w14:textFill>
                        <w14:solidFill>
                          <w14:schemeClr w14:val="tx1"/>
                        </w14:solidFill>
                      </w14:textFill>
                    </w:rPr>
                    <w:t>、符合产生政策要求，满足清洁生产水平；</w:t>
                  </w:r>
                </w:p>
                <w:p w14:paraId="02BC7B27">
                  <w:pPr>
                    <w:tabs>
                      <w:tab w:val="left" w:pos="0"/>
                    </w:tabs>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r>
                    <w:rPr>
                      <w:rFonts w:hint="eastAsia"/>
                      <w:color w:val="000000" w:themeColor="text1"/>
                      <w:sz w:val="18"/>
                      <w:szCs w:val="18"/>
                      <w14:textFill>
                        <w14:solidFill>
                          <w14:schemeClr w14:val="tx1"/>
                        </w14:solidFill>
                      </w14:textFill>
                    </w:rPr>
                    <w:t>、本项目正申请总量控制指标文件，后续按照要求持证排污；</w:t>
                  </w:r>
                </w:p>
                <w:p w14:paraId="13CD29B7">
                  <w:pPr>
                    <w:tabs>
                      <w:tab w:val="left" w:pos="0"/>
                    </w:tabs>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w:t>
                  </w:r>
                  <w:r>
                    <w:rPr>
                      <w:rFonts w:hint="eastAsia"/>
                      <w:color w:val="000000" w:themeColor="text1"/>
                      <w:sz w:val="18"/>
                      <w:szCs w:val="18"/>
                      <w14:textFill>
                        <w14:solidFill>
                          <w14:schemeClr w14:val="tx1"/>
                        </w14:solidFill>
                      </w14:textFill>
                    </w:rPr>
                    <w:t>、污染物经处理后均可达标排放。</w:t>
                  </w:r>
                </w:p>
              </w:tc>
            </w:tr>
          </w:tbl>
          <w:p w14:paraId="06350524">
            <w:pPr>
              <w:tabs>
                <w:tab w:val="left" w:pos="0"/>
              </w:tabs>
              <w:spacing w:line="360" w:lineRule="auto"/>
              <w:ind w:firstLine="48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综上，本项目符合规划环评及准入清单要求。</w:t>
            </w:r>
          </w:p>
          <w:p w14:paraId="3B12F34C">
            <w:pPr>
              <w:spacing w:line="360" w:lineRule="auto"/>
              <w:ind w:firstLine="482" w:firstLineChars="200"/>
              <w:jc w:val="left"/>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三、与规划环评审查意见的相符性</w:t>
            </w:r>
          </w:p>
          <w:p w14:paraId="610C6D72">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根据《江西省环境保护厅关于江西乐平工业园区扩区调区规划环境影响报告书审查意见的函》（赣环评函〔</w:t>
            </w:r>
            <w:r>
              <w:rPr>
                <w:color w:val="000000" w:themeColor="text1"/>
                <w:sz w:val="24"/>
                <w14:textFill>
                  <w14:solidFill>
                    <w14:schemeClr w14:val="tx1"/>
                  </w14:solidFill>
                </w14:textFill>
              </w:rPr>
              <w:t>2023</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267</w:t>
            </w:r>
            <w:r>
              <w:rPr>
                <w:rFonts w:hint="eastAsia"/>
                <w:color w:val="000000" w:themeColor="text1"/>
                <w:sz w:val="24"/>
                <w14:textFill>
                  <w14:solidFill>
                    <w14:schemeClr w14:val="tx1"/>
                  </w14:solidFill>
                </w14:textFill>
              </w:rPr>
              <w:t>号），规划优化调整和实施建议如下：</w:t>
            </w:r>
          </w:p>
          <w:p w14:paraId="34CF8927">
            <w:pPr>
              <w:tabs>
                <w:tab w:val="left" w:pos="0"/>
              </w:tabs>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审查认为，江西乐平工业园区管理委员会在扩区调区规划中应充分考虑各环境要素敏感目标、环保基础设施、大气和水环境风险等环境因素，认真落实《报告书》提出的各项环境风险防范、预防或减缓不良环境影响的对策与措施，进一步优化产业定位及产业布局，有效落实本审查意见，确保江西乐平工业园区扩区调区规划实施的环境可行性。</w:t>
            </w:r>
          </w:p>
          <w:p w14:paraId="18CD75BC">
            <w:pPr>
              <w:tabs>
                <w:tab w:val="left" w:pos="0"/>
              </w:tabs>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一）在乐安河岸线外延1.0km范围内的塔山工业园规划用地应符合《长江保护法》及《江西省长江经济带发展负面清单实施细则》要求。金山工业园位于乐平市中心城区上风向、鸣山工业园位于乐平市和鄱阳县交界处，废气排放对园区周边敏感点容易造成影响，不宜引进废气量大的产业，限制火法冶炼等高污染、高能耗产业入驻。</w:t>
            </w:r>
          </w:p>
          <w:p w14:paraId="1D2A7B99">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相符性分析：本项目废气主要为破碎、筛分粉尘、投料粉尘、堆场扬尘、车辆运输动力起尘、传送带输送粉尘、筒仓呼吸粉尘、搅拌粉尘和食堂油烟等废均配套可行的环保治理措施，废气污染物均可达标排放，不属于废气排放量大的企业，且不属于火法冶炼等高污染、高能耗产业。</w:t>
            </w:r>
          </w:p>
          <w:p w14:paraId="01D46F4F">
            <w:pPr>
              <w:tabs>
                <w:tab w:val="left" w:pos="0"/>
              </w:tabs>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二）综合考虑产业之间的相容性，企业布局充分考虑相应的行业规范条件和环境防护距离要求，避免对规划区内及周边居住区的影响。金山园区现状各类工业、商用、居住、学校用地混杂，应合理布局各类规划用地，减少对环境敏感点的影响。规划实施过程中，对与规划产业不相容的现有企业，建议引导其适时搬迁、技改。</w:t>
            </w:r>
          </w:p>
          <w:p w14:paraId="4DBECB31">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相符性分析：本项目为其他水泥类似制品制造项目，属于园区潜力产业发展项目。</w:t>
            </w:r>
          </w:p>
          <w:p w14:paraId="2B85F810">
            <w:pPr>
              <w:tabs>
                <w:tab w:val="left" w:pos="0"/>
              </w:tabs>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三）为进一步减小废水排放对乐安河水质的影响，规划近期应对塔山污水处理厂提标改造。塔山工业园应完善雨水管网规划，对雨水排口加强监控，并加强园区企业初期雨水收集。金山、鸣山园区应当在规划近期完成区域的集中污水处理厂及其配套管网建设，完善排污口论证相关手续。</w:t>
            </w:r>
          </w:p>
          <w:p w14:paraId="4D8A3F73">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相符性分析：本项目外排废水仅生活污水，</w:t>
            </w:r>
            <w:r>
              <w:rPr>
                <w:bCs/>
                <w:color w:val="000000" w:themeColor="text1"/>
                <w:sz w:val="24"/>
                <w14:textFill>
                  <w14:solidFill>
                    <w14:schemeClr w14:val="tx1"/>
                  </w14:solidFill>
                </w14:textFill>
              </w:rPr>
              <w:t>生活污水近期经“隔油池+化粪池”预处理后</w:t>
            </w:r>
            <w:r>
              <w:rPr>
                <w:rFonts w:hint="eastAsia"/>
                <w:bCs/>
                <w:color w:val="000000" w:themeColor="text1"/>
                <w:sz w:val="24"/>
                <w14:textFill>
                  <w14:solidFill>
                    <w14:schemeClr w14:val="tx1"/>
                  </w14:solidFill>
                </w14:textFill>
              </w:rPr>
              <w:t>达到</w:t>
            </w:r>
            <w:r>
              <w:rPr>
                <w:bCs/>
                <w:color w:val="000000" w:themeColor="text1"/>
                <w:sz w:val="24"/>
                <w14:textFill>
                  <w14:solidFill>
                    <w14:schemeClr w14:val="tx1"/>
                  </w14:solidFill>
                </w14:textFill>
              </w:rPr>
              <w:t>《污水综合排放标准》（GB8978-1996）表4中三级标准</w:t>
            </w:r>
            <w:r>
              <w:rPr>
                <w:rFonts w:hint="eastAsia"/>
                <w:bCs/>
                <w:color w:val="000000" w:themeColor="text1"/>
                <w:sz w:val="24"/>
                <w14:textFill>
                  <w14:solidFill>
                    <w14:schemeClr w14:val="tx1"/>
                  </w14:solidFill>
                </w14:textFill>
              </w:rPr>
              <w:t>后</w:t>
            </w:r>
            <w:r>
              <w:rPr>
                <w:bCs/>
                <w:color w:val="000000" w:themeColor="text1"/>
                <w:sz w:val="24"/>
                <w14:textFill>
                  <w14:solidFill>
                    <w14:schemeClr w14:val="tx1"/>
                  </w14:solidFill>
                </w14:textFill>
              </w:rPr>
              <w:t>通过管网进入乐平市金山</w:t>
            </w:r>
            <w:r>
              <w:rPr>
                <w:rFonts w:hint="eastAsia"/>
                <w:bCs/>
                <w:color w:val="000000" w:themeColor="text1"/>
                <w:sz w:val="24"/>
                <w14:textFill>
                  <w14:solidFill>
                    <w14:schemeClr w14:val="tx1"/>
                  </w14:solidFill>
                </w14:textFill>
              </w:rPr>
              <w:t>工业园</w:t>
            </w:r>
            <w:r>
              <w:rPr>
                <w:bCs/>
                <w:color w:val="000000" w:themeColor="text1"/>
                <w:sz w:val="24"/>
                <w14:textFill>
                  <w14:solidFill>
                    <w14:schemeClr w14:val="tx1"/>
                  </w14:solidFill>
                </w14:textFill>
              </w:rPr>
              <w:t>区一期一体化污水处理站进一步处理达到《城镇污水处理厂污染物排放标准》（GB18918-2002）中一级A标准后，尾水</w:t>
            </w:r>
            <w:r>
              <w:rPr>
                <w:rFonts w:hint="eastAsia"/>
                <w:bCs/>
                <w:color w:val="000000" w:themeColor="text1"/>
                <w:sz w:val="24"/>
                <w14:textFill>
                  <w14:solidFill>
                    <w14:schemeClr w14:val="tx1"/>
                  </w14:solidFill>
                </w14:textFill>
              </w:rPr>
              <w:t>排</w:t>
            </w:r>
            <w:r>
              <w:rPr>
                <w:bCs/>
                <w:color w:val="000000" w:themeColor="text1"/>
                <w:sz w:val="24"/>
                <w14:textFill>
                  <w14:solidFill>
                    <w14:schemeClr w14:val="tx1"/>
                  </w14:solidFill>
                </w14:textFill>
              </w:rPr>
              <w:t>入乐安河；远期待金山工业园污水处理厂正式投运后，排入金山工业园污水处理厂，处理达到《城镇污水处理厂污染物排放标准》（GB18918-2002）一级A标准后外排至乐安河</w:t>
            </w:r>
            <w:r>
              <w:rPr>
                <w:rFonts w:hint="eastAsia"/>
                <w:color w:val="000000" w:themeColor="text1"/>
                <w:sz w:val="24"/>
                <w14:textFill>
                  <w14:solidFill>
                    <w14:schemeClr w14:val="tx1"/>
                  </w14:solidFill>
                </w14:textFill>
              </w:rPr>
              <w:t>，对乐安河水质影响较小。</w:t>
            </w:r>
          </w:p>
          <w:p w14:paraId="4BB0FD1D">
            <w:pPr>
              <w:tabs>
                <w:tab w:val="left" w:pos="0"/>
              </w:tabs>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（四）塔山工业园应当在规划近期按照相关要求完成园区环境风险三级防范设施建设，确保园区环境风险可防可控。调查塔山工业园地下水污染情况，制定风险管控或修复方案等。</w:t>
            </w:r>
          </w:p>
          <w:p w14:paraId="5FEB0F4F">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相符性分析：本项目不在塔山工业园内。</w:t>
            </w:r>
          </w:p>
          <w:p w14:paraId="57B7385E">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（五）建议将塔山工业园周边且位于城镇开发边界内已开发成熟的企业纳入园区，并加强管理。积极发展低碳高效产业，推进能源消费结构转型，加快构建清洁低碳安全高效的能源体系。</w:t>
            </w:r>
          </w:p>
          <w:p w14:paraId="2AFA52DB">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相符性分析：本项目不在塔山工业园内。</w:t>
            </w:r>
          </w:p>
          <w:p w14:paraId="7821D5A9">
            <w:pPr>
              <w:tabs>
                <w:tab w:val="left" w:pos="0"/>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综上所述，本项目建设符合《江西省环境保护厅关于江西乐平工业园区扩区调区规划环境影响报告书审查意见的函》（赣环评函〔</w:t>
            </w:r>
            <w:r>
              <w:rPr>
                <w:color w:val="000000" w:themeColor="text1"/>
                <w:sz w:val="24"/>
                <w14:textFill>
                  <w14:solidFill>
                    <w14:schemeClr w14:val="tx1"/>
                  </w14:solidFill>
                </w14:textFill>
              </w:rPr>
              <w:t>2023</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267</w:t>
            </w:r>
            <w:r>
              <w:rPr>
                <w:rFonts w:hint="eastAsia"/>
                <w:color w:val="000000" w:themeColor="text1"/>
                <w:sz w:val="24"/>
                <w14:textFill>
                  <w14:solidFill>
                    <w14:schemeClr w14:val="tx1"/>
                  </w14:solidFill>
                </w14:textFill>
              </w:rPr>
              <w:t>号）的相关要求。</w:t>
            </w:r>
          </w:p>
        </w:tc>
      </w:tr>
      <w:tr w14:paraId="711838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615" w:type="dxa"/>
            <w:vAlign w:val="center"/>
          </w:tcPr>
          <w:p w14:paraId="60D9DBD4">
            <w:pPr>
              <w:autoSpaceDE w:val="0"/>
              <w:autoSpaceDN w:val="0"/>
              <w:adjustRightInd w:val="0"/>
              <w:snapToGrid w:val="0"/>
              <w:jc w:val="center"/>
              <w:rPr>
                <w:b/>
                <w:bCs/>
                <w:color w:val="000000" w:themeColor="text1"/>
                <w:kern w:val="0"/>
                <w:sz w:val="24"/>
                <w14:textFill>
                  <w14:solidFill>
                    <w14:schemeClr w14:val="tx1"/>
                  </w14:solidFill>
                </w14:textFill>
              </w:rPr>
            </w:pPr>
            <w:r>
              <w:rPr>
                <w:b/>
                <w:bCs/>
                <w:color w:val="000000" w:themeColor="text1"/>
                <w:kern w:val="0"/>
                <w:sz w:val="24"/>
                <w14:textFill>
                  <w14:solidFill>
                    <w14:schemeClr w14:val="tx1"/>
                  </w14:solidFill>
                </w14:textFill>
              </w:rPr>
              <w:t>其他符合性分析</w:t>
            </w:r>
          </w:p>
        </w:tc>
        <w:tc>
          <w:tcPr>
            <w:tcW w:w="8340" w:type="dxa"/>
            <w:gridSpan w:val="3"/>
            <w:vAlign w:val="center"/>
          </w:tcPr>
          <w:p w14:paraId="20D32B89">
            <w:pPr>
              <w:spacing w:line="360" w:lineRule="auto"/>
              <w:ind w:firstLine="480"/>
              <w:jc w:val="left"/>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一、产业政策分析</w:t>
            </w:r>
          </w:p>
          <w:p w14:paraId="6039E03D">
            <w:pPr>
              <w:spacing w:line="360" w:lineRule="auto"/>
              <w:ind w:firstLine="480"/>
              <w:jc w:val="left"/>
              <w:rPr>
                <w:color w:val="000000" w:themeColor="text1"/>
                <w:sz w:val="24"/>
                <w:szCs w:val="52"/>
                <w14:textFill>
                  <w14:solidFill>
                    <w14:schemeClr w14:val="tx1"/>
                  </w14:solidFill>
                </w14:textFill>
              </w:rPr>
            </w:pPr>
            <w:r>
              <w:rPr>
                <w:rFonts w:hint="eastAsia"/>
                <w:color w:val="000000" w:themeColor="text1"/>
                <w:sz w:val="24"/>
                <w:szCs w:val="52"/>
                <w14:textFill>
                  <w14:solidFill>
                    <w14:schemeClr w14:val="tx1"/>
                  </w14:solidFill>
                </w14:textFill>
              </w:rPr>
              <w:t>本项目</w:t>
            </w:r>
            <w:r>
              <w:rPr>
                <w:color w:val="000000" w:themeColor="text1"/>
                <w:sz w:val="24"/>
                <w:szCs w:val="52"/>
                <w14:textFill>
                  <w14:solidFill>
                    <w14:schemeClr w14:val="tx1"/>
                  </w14:solidFill>
                </w14:textFill>
              </w:rPr>
              <w:t>为其他水泥类似制品制造项目，</w:t>
            </w:r>
            <w:r>
              <w:rPr>
                <w:rFonts w:hint="eastAsia"/>
                <w:color w:val="000000" w:themeColor="text1"/>
                <w:sz w:val="24"/>
                <w:szCs w:val="52"/>
                <w14:textFill>
                  <w14:solidFill>
                    <w14:schemeClr w14:val="tx1"/>
                  </w14:solidFill>
                </w14:textFill>
              </w:rPr>
              <w:t>项目采用绿色生产工艺，配备全封闭生产设施、废水循环利用系统，属于鼓励类技术应用，符合产业政策鼓励类要求</w:t>
            </w:r>
            <w:r>
              <w:rPr>
                <w:rFonts w:hint="eastAsia"/>
                <w:color w:val="000000" w:themeColor="text1"/>
                <w:sz w:val="24"/>
                <w:szCs w:val="52"/>
                <w:lang w:eastAsia="zh-CN"/>
                <w14:textFill>
                  <w14:solidFill>
                    <w14:schemeClr w14:val="tx1"/>
                  </w14:solidFill>
                </w14:textFill>
              </w:rPr>
              <w:t>，项目采用先进的搅拌机，能耗低、污染小，不属于淘汰类设备，项目为全封闭预拌混凝土搅拌站，不属于淘汰类露天式搅拌站，</w:t>
            </w:r>
            <w:r>
              <w:rPr>
                <w:rFonts w:hint="eastAsia"/>
                <w:color w:val="000000" w:themeColor="text1"/>
                <w:sz w:val="24"/>
                <w:szCs w:val="52"/>
                <w:lang w:val="en-US" w:eastAsia="zh-CN"/>
                <w14:textFill>
                  <w14:solidFill>
                    <w14:schemeClr w14:val="tx1"/>
                  </w14:solidFill>
                </w14:textFill>
              </w:rPr>
              <w:t>因此项目</w:t>
            </w:r>
            <w:r>
              <w:rPr>
                <w:rFonts w:hint="eastAsia"/>
                <w:color w:val="000000" w:themeColor="text1"/>
                <w:sz w:val="24"/>
                <w:szCs w:val="52"/>
                <w14:textFill>
                  <w14:solidFill>
                    <w14:schemeClr w14:val="tx1"/>
                  </w14:solidFill>
                </w14:textFill>
              </w:rPr>
              <w:t>不</w:t>
            </w:r>
            <w:r>
              <w:rPr>
                <w:color w:val="000000" w:themeColor="text1"/>
                <w:sz w:val="24"/>
                <w:szCs w:val="52"/>
                <w14:textFill>
                  <w14:solidFill>
                    <w14:schemeClr w14:val="tx1"/>
                  </w14:solidFill>
                </w14:textFill>
              </w:rPr>
              <w:t>属于《产业结构调整指导目录》</w:t>
            </w:r>
            <w:r>
              <w:rPr>
                <w:rFonts w:hint="eastAsia"/>
                <w:color w:val="000000" w:themeColor="text1"/>
                <w:sz w:val="24"/>
                <w:szCs w:val="52"/>
                <w14:textFill>
                  <w14:solidFill>
                    <w14:schemeClr w14:val="tx1"/>
                  </w14:solidFill>
                </w14:textFill>
              </w:rPr>
              <w:t>（2024年本）中</w:t>
            </w:r>
            <w:r>
              <w:rPr>
                <w:color w:val="000000" w:themeColor="text1"/>
                <w:sz w:val="24"/>
                <w:szCs w:val="52"/>
                <w14:textFill>
                  <w14:solidFill>
                    <w14:schemeClr w14:val="tx1"/>
                  </w14:solidFill>
                </w14:textFill>
              </w:rPr>
              <w:t>限制类和淘汰类，</w:t>
            </w:r>
            <w:r>
              <w:rPr>
                <w:rFonts w:hint="eastAsia"/>
                <w:color w:val="000000" w:themeColor="text1"/>
                <w:sz w:val="24"/>
                <w:szCs w:val="52"/>
                <w:lang w:val="en-US" w:eastAsia="zh-CN"/>
                <w14:textFill>
                  <w14:solidFill>
                    <w14:schemeClr w14:val="tx1"/>
                  </w14:solidFill>
                </w14:textFill>
              </w:rPr>
              <w:t>为鼓励类</w:t>
            </w:r>
            <w:r>
              <w:rPr>
                <w:color w:val="000000" w:themeColor="text1"/>
                <w:sz w:val="24"/>
                <w:szCs w:val="52"/>
                <w14:textFill>
                  <w14:solidFill>
                    <w14:schemeClr w14:val="tx1"/>
                  </w14:solidFill>
                </w14:textFill>
              </w:rPr>
              <w:t>。</w:t>
            </w:r>
            <w:r>
              <w:rPr>
                <w:rFonts w:hint="eastAsia"/>
                <w:color w:val="000000" w:themeColor="text1"/>
                <w:sz w:val="24"/>
                <w:szCs w:val="52"/>
                <w14:textFill>
                  <w14:solidFill>
                    <w14:schemeClr w14:val="tx1"/>
                  </w14:solidFill>
                </w14:textFill>
              </w:rPr>
              <w:t>项目已取得乐平市发展和改革委员会关于本项目备案的通知（项目统一代码为：</w:t>
            </w:r>
            <w:r>
              <w:rPr>
                <w:color w:val="000000" w:themeColor="text1"/>
                <w:sz w:val="24"/>
                <w:szCs w:val="52"/>
                <w14:textFill>
                  <w14:solidFill>
                    <w14:schemeClr w14:val="tx1"/>
                  </w14:solidFill>
                </w14:textFill>
              </w:rPr>
              <w:t>2509-360281-04-05-690046</w:t>
            </w:r>
            <w:r>
              <w:rPr>
                <w:rFonts w:hint="eastAsia"/>
                <w:color w:val="000000" w:themeColor="text1"/>
                <w:sz w:val="24"/>
                <w:szCs w:val="52"/>
                <w14:textFill>
                  <w14:solidFill>
                    <w14:schemeClr w14:val="tx1"/>
                  </w14:solidFill>
                </w14:textFill>
              </w:rPr>
              <w:t>），因此项目符合国家现行的有关产业政策。</w:t>
            </w:r>
          </w:p>
          <w:p w14:paraId="275C6A37">
            <w:pPr>
              <w:spacing w:line="360" w:lineRule="auto"/>
              <w:ind w:firstLine="480"/>
              <w:jc w:val="left"/>
              <w:rPr>
                <w:color w:val="000000" w:themeColor="text1"/>
                <w:sz w:val="24"/>
                <w:szCs w:val="52"/>
                <w14:textFill>
                  <w14:solidFill>
                    <w14:schemeClr w14:val="tx1"/>
                  </w14:solidFill>
                </w14:textFill>
              </w:rPr>
            </w:pPr>
            <w:r>
              <w:rPr>
                <w:color w:val="000000" w:themeColor="text1"/>
                <w:sz w:val="24"/>
                <w:szCs w:val="52"/>
                <w14:textFill>
                  <w14:solidFill>
                    <w14:schemeClr w14:val="tx1"/>
                  </w14:solidFill>
                </w14:textFill>
              </w:rPr>
              <w:t>综上</w:t>
            </w:r>
            <w:r>
              <w:rPr>
                <w:rFonts w:hint="eastAsia"/>
                <w:color w:val="000000" w:themeColor="text1"/>
                <w:sz w:val="24"/>
                <w:szCs w:val="52"/>
                <w14:textFill>
                  <w14:solidFill>
                    <w14:schemeClr w14:val="tx1"/>
                  </w14:solidFill>
                </w14:textFill>
              </w:rPr>
              <w:t>所述</w:t>
            </w:r>
            <w:r>
              <w:rPr>
                <w:color w:val="000000" w:themeColor="text1"/>
                <w:sz w:val="24"/>
                <w:szCs w:val="52"/>
                <w14:textFill>
                  <w14:solidFill>
                    <w14:schemeClr w14:val="tx1"/>
                  </w14:solidFill>
                </w14:textFill>
              </w:rPr>
              <w:t>，本项目符合国家产业政策和</w:t>
            </w:r>
            <w:r>
              <w:rPr>
                <w:rFonts w:hint="eastAsia"/>
                <w:color w:val="000000" w:themeColor="text1"/>
                <w:sz w:val="24"/>
                <w:szCs w:val="52"/>
                <w14:textFill>
                  <w14:solidFill>
                    <w14:schemeClr w14:val="tx1"/>
                  </w14:solidFill>
                </w14:textFill>
              </w:rPr>
              <w:t>江西</w:t>
            </w:r>
            <w:r>
              <w:rPr>
                <w:color w:val="000000" w:themeColor="text1"/>
                <w:sz w:val="24"/>
                <w:szCs w:val="52"/>
                <w14:textFill>
                  <w14:solidFill>
                    <w14:schemeClr w14:val="tx1"/>
                  </w14:solidFill>
                </w14:textFill>
              </w:rPr>
              <w:t>省地方产业政策要求。</w:t>
            </w:r>
          </w:p>
          <w:p w14:paraId="1F638298">
            <w:pPr>
              <w:pStyle w:val="17"/>
              <w:spacing w:before="0" w:after="0" w:line="360" w:lineRule="auto"/>
              <w:ind w:right="0" w:firstLine="482" w:firstLineChars="200"/>
              <w:jc w:val="left"/>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二、与周边企业相容性分析</w:t>
            </w:r>
          </w:p>
          <w:p w14:paraId="4795C70D">
            <w:pPr>
              <w:snapToGrid w:val="0"/>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本项目选址位于江西省景德镇市乐平市金山工业园金一路CH-1地块</w:t>
            </w:r>
            <w:r>
              <w:rPr>
                <w:rFonts w:hint="eastAsia"/>
                <w:color w:val="000000" w:themeColor="text1"/>
                <w:sz w:val="24"/>
                <w14:textFill>
                  <w14:solidFill>
                    <w14:schemeClr w14:val="tx1"/>
                  </w14:solidFill>
                </w14:textFill>
              </w:rPr>
              <w:t>，属于二期建设项目</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本项目西侧为江西承诚实业有限公司现有一期建设项目、江西庆嘉饰品有限公司、唯动体育器材厂、江西天美电气科技有限公司、铃兰商贸有限公司、景德镇洛维捷高分子科技有限公司、乐平市程家湾矿产品开发有限公司、乐平市欧迪门窗有限公司，项目南侧、北侧、东侧为空地，</w:t>
            </w:r>
            <w:r>
              <w:rPr>
                <w:color w:val="000000" w:themeColor="text1"/>
                <w:sz w:val="24"/>
                <w14:textFill>
                  <w14:solidFill>
                    <w14:schemeClr w14:val="tx1"/>
                  </w14:solidFill>
                </w14:textFill>
              </w:rPr>
              <w:t>与周边企业均无冲突。</w:t>
            </w:r>
          </w:p>
          <w:p w14:paraId="580222A6">
            <w:pPr>
              <w:pStyle w:val="17"/>
              <w:spacing w:before="0" w:after="0" w:line="360" w:lineRule="auto"/>
              <w:ind w:right="0" w:firstLine="482" w:firstLineChars="200"/>
              <w:jc w:val="left"/>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三、</w:t>
            </w:r>
            <w:r>
              <w:rPr>
                <w:rFonts w:hint="eastAsia"/>
                <w:b/>
                <w:bCs/>
                <w:color w:val="000000" w:themeColor="text1"/>
                <w:sz w:val="24"/>
                <w14:textFill>
                  <w14:solidFill>
                    <w14:schemeClr w14:val="tx1"/>
                  </w14:solidFill>
                </w14:textFill>
              </w:rPr>
              <w:t>与乐平市生态环境分区管控</w:t>
            </w:r>
            <w:r>
              <w:rPr>
                <w:b/>
                <w:bCs/>
                <w:color w:val="000000" w:themeColor="text1"/>
                <w:sz w:val="24"/>
                <w14:textFill>
                  <w14:solidFill>
                    <w14:schemeClr w14:val="tx1"/>
                  </w14:solidFill>
                </w14:textFill>
              </w:rPr>
              <w:t>要求</w:t>
            </w:r>
            <w:r>
              <w:rPr>
                <w:rFonts w:hint="eastAsia"/>
                <w:b/>
                <w:bCs/>
                <w:color w:val="000000" w:themeColor="text1"/>
                <w:sz w:val="24"/>
                <w14:textFill>
                  <w14:solidFill>
                    <w14:schemeClr w14:val="tx1"/>
                  </w14:solidFill>
                </w14:textFill>
              </w:rPr>
              <w:t>相符性</w:t>
            </w:r>
            <w:r>
              <w:rPr>
                <w:b/>
                <w:bCs/>
                <w:color w:val="000000" w:themeColor="text1"/>
                <w:sz w:val="24"/>
                <w14:textFill>
                  <w14:solidFill>
                    <w14:schemeClr w14:val="tx1"/>
                  </w14:solidFill>
                </w14:textFill>
              </w:rPr>
              <w:t>分析</w:t>
            </w:r>
          </w:p>
          <w:p w14:paraId="64F82DD8">
            <w:pPr>
              <w:pStyle w:val="222"/>
              <w:widowControl w:val="0"/>
              <w:autoSpaceDE/>
              <w:autoSpaceDN/>
              <w:snapToGrid w:val="0"/>
              <w:spacing w:line="360" w:lineRule="auto"/>
              <w:rPr>
                <w:color w:val="000000" w:themeColor="text1"/>
                <w14:textFill>
                  <w14:solidFill>
                    <w14:schemeClr w14:val="tx1"/>
                  </w14:solidFill>
                </w14:textFill>
              </w:rPr>
            </w:pPr>
            <w:r>
              <w:rPr>
                <w:color w:val="000000" w:themeColor="text1"/>
                <w14:textFill>
                  <w14:solidFill>
                    <w14:schemeClr w14:val="tx1"/>
                  </w14:solidFill>
                </w14:textFill>
              </w:rPr>
              <w:t>根据原环保部《关于以改善环境质量为核心加强环境影响评价管理的通知》（环环评〔2016〕150号）要求，切实加强环境影响评价管理，落实“生态保护红线、环境质量底线、资源利用上线和环境准入负面清单”约束，建立项目环评审批与规划环评、现有项目环境管理、区域环境质量联动机制，更好地发挥环评制度从源头防范环境污染和生态破坏的作用，加快推进改善环境质量。本项目“生态保护红线、环境质量底线、资源利用上线、生态环境准入负面清单”说明如下。</w:t>
            </w:r>
          </w:p>
          <w:p w14:paraId="200394C2">
            <w:pPr>
              <w:pStyle w:val="17"/>
              <w:spacing w:after="0" w:line="360" w:lineRule="auto"/>
              <w:ind w:firstLine="480" w:firstLineChars="20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1、生态保护红线</w:t>
            </w:r>
          </w:p>
          <w:p w14:paraId="446E8F6C">
            <w:pPr>
              <w:pStyle w:val="17"/>
              <w:spacing w:before="0" w:after="0" w:line="360" w:lineRule="auto"/>
              <w:ind w:right="0"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项目位于江西省景德镇市乐平市金山工业园金一路CH-1地块，评价范围内无名胜古迹、风景区、自然保护区、饮用水源保护区等生态保护目标，地下水评价范围内无地下饮用水源取水口。根据生态红线图，项目不在生态红线范围内，符合生态保护红线要求</w:t>
            </w:r>
            <w:r>
              <w:rPr>
                <w:color w:val="000000" w:themeColor="text1"/>
                <w:sz w:val="24"/>
                <w:szCs w:val="24"/>
                <w14:textFill>
                  <w14:solidFill>
                    <w14:schemeClr w14:val="tx1"/>
                  </w14:solidFill>
                </w14:textFill>
              </w:rPr>
              <w:t>。</w:t>
            </w:r>
          </w:p>
          <w:p w14:paraId="6080FDDF">
            <w:pPr>
              <w:pStyle w:val="17"/>
              <w:spacing w:before="0" w:after="0" w:line="360" w:lineRule="auto"/>
              <w:ind w:right="0" w:firstLine="480" w:firstLineChars="20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2、环境质量底线</w:t>
            </w:r>
          </w:p>
          <w:p w14:paraId="4F983378">
            <w:pPr>
              <w:pStyle w:val="17"/>
              <w:spacing w:before="0" w:after="0" w:line="360" w:lineRule="auto"/>
              <w:ind w:right="0" w:firstLine="480" w:firstLineChars="20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项目区域环境空气质量执行《环境空气质量标准》(GB3095-2012) 中二类区标准，地表水环境质量执行《地表水环境质量标准》(GB3838-2002)中Ⅳ类水域水质标准，</w:t>
            </w:r>
            <w:r>
              <w:rPr>
                <w:rFonts w:hint="eastAsia"/>
                <w:color w:val="000000" w:themeColor="text1"/>
                <w:sz w:val="24"/>
                <w:szCs w:val="24"/>
                <w14:textFill>
                  <w14:solidFill>
                    <w14:schemeClr w14:val="tx1"/>
                  </w14:solidFill>
                </w14:textFill>
              </w:rPr>
              <w:t>项目</w:t>
            </w:r>
            <w:r>
              <w:rPr>
                <w:color w:val="000000" w:themeColor="text1"/>
                <w:sz w:val="24"/>
                <w:szCs w:val="24"/>
                <w14:textFill>
                  <w14:solidFill>
                    <w14:schemeClr w14:val="tx1"/>
                  </w14:solidFill>
                </w14:textFill>
              </w:rPr>
              <w:t>声环境执行《声环境质量标准》(GB3095-2008)的</w:t>
            </w:r>
            <w:r>
              <w:rPr>
                <w:rFonts w:hint="eastAsia"/>
                <w:color w:val="000000" w:themeColor="text1"/>
                <w:sz w:val="24"/>
                <w:szCs w:val="24"/>
                <w14:textFill>
                  <w14:solidFill>
                    <w14:schemeClr w14:val="tx1"/>
                  </w14:solidFill>
                </w14:textFill>
              </w:rPr>
              <w:t>3</w:t>
            </w:r>
            <w:r>
              <w:rPr>
                <w:color w:val="000000" w:themeColor="text1"/>
                <w:sz w:val="24"/>
                <w:szCs w:val="24"/>
                <w14:textFill>
                  <w14:solidFill>
                    <w14:schemeClr w14:val="tx1"/>
                  </w14:solidFill>
                </w14:textFill>
              </w:rPr>
              <w:t>类区标准。本项目所在区域环境质量均能达到相应环境质量标准要求。本项目废水达标排放，对周围地表水体的影响较小；废气、固废均能达到合理处置，噪声对周边环境影响较小，不会突破项目所在地的环境质量底线。因此本项目的建设符合环境质量底线要求。</w:t>
            </w:r>
          </w:p>
          <w:p w14:paraId="1CFB6C2C">
            <w:pPr>
              <w:pStyle w:val="17"/>
              <w:spacing w:before="0" w:after="0" w:line="360" w:lineRule="auto"/>
              <w:ind w:right="0" w:firstLine="480" w:firstLineChars="20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3、资源利用上线</w:t>
            </w:r>
          </w:p>
          <w:p w14:paraId="747184D6">
            <w:pPr>
              <w:pStyle w:val="17"/>
              <w:spacing w:before="0" w:after="0" w:line="360" w:lineRule="auto"/>
              <w:ind w:right="0" w:firstLine="480" w:firstLineChars="20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自然资源利用上线是从促进资源能源节约、保障资源高效利用、确保必不可少的环境容量角度，不应突破资源利用最高限值。本项目营运过程中一定量的电源、水资源等资源消耗，项目资源消耗量相对区域资源利用总量较少，符合资源利用上线要求。</w:t>
            </w:r>
          </w:p>
          <w:p w14:paraId="4201F011">
            <w:pPr>
              <w:pStyle w:val="17"/>
              <w:spacing w:before="0" w:after="0" w:line="360" w:lineRule="auto"/>
              <w:ind w:firstLine="480" w:firstLineChars="20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4、生态环境准入负面清单</w:t>
            </w:r>
          </w:p>
          <w:p w14:paraId="5F638C6C">
            <w:pPr>
              <w:pStyle w:val="17"/>
              <w:spacing w:after="0"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根据《景德镇市人民政府办公室关于公布景德镇市生态环境分区管控成果（</w:t>
            </w:r>
            <w:r>
              <w:rPr>
                <w:color w:val="000000" w:themeColor="text1"/>
                <w:sz w:val="24"/>
                <w:szCs w:val="24"/>
                <w14:textFill>
                  <w14:solidFill>
                    <w14:schemeClr w14:val="tx1"/>
                  </w14:solidFill>
                </w14:textFill>
              </w:rPr>
              <w:t>2023</w:t>
            </w:r>
            <w:r>
              <w:rPr>
                <w:rFonts w:hint="eastAsia"/>
                <w:color w:val="000000" w:themeColor="text1"/>
                <w:sz w:val="24"/>
                <w:szCs w:val="24"/>
                <w14:textFill>
                  <w14:solidFill>
                    <w14:schemeClr w14:val="tx1"/>
                  </w14:solidFill>
                </w14:textFill>
              </w:rPr>
              <w:t>版）的通知》（景府办字〔</w:t>
            </w:r>
            <w:r>
              <w:rPr>
                <w:color w:val="000000" w:themeColor="text1"/>
                <w:sz w:val="24"/>
                <w:szCs w:val="24"/>
                <w14:textFill>
                  <w14:solidFill>
                    <w14:schemeClr w14:val="tx1"/>
                  </w14:solidFill>
                </w14:textFill>
              </w:rPr>
              <w:t>2024</w:t>
            </w:r>
            <w:r>
              <w:rPr>
                <w:rFonts w:hint="eastAsia"/>
                <w:color w:val="000000" w:themeColor="text1"/>
                <w:sz w:val="24"/>
                <w:szCs w:val="24"/>
                <w14:textFill>
                  <w14:solidFill>
                    <w14:schemeClr w14:val="tx1"/>
                  </w14:solidFill>
                </w14:textFill>
              </w:rPr>
              <w:t>〕</w:t>
            </w:r>
            <w:r>
              <w:rPr>
                <w:color w:val="000000" w:themeColor="text1"/>
                <w:sz w:val="24"/>
                <w:szCs w:val="24"/>
                <w14:textFill>
                  <w14:solidFill>
                    <w14:schemeClr w14:val="tx1"/>
                  </w14:solidFill>
                </w14:textFill>
              </w:rPr>
              <w:t>35</w:t>
            </w:r>
            <w:r>
              <w:rPr>
                <w:rFonts w:hint="eastAsia"/>
                <w:color w:val="000000" w:themeColor="text1"/>
                <w:sz w:val="24"/>
                <w:szCs w:val="24"/>
                <w14:textFill>
                  <w14:solidFill>
                    <w14:schemeClr w14:val="tx1"/>
                  </w14:solidFill>
                </w14:textFill>
              </w:rPr>
              <w:t>号）以及《景德镇市</w:t>
            </w:r>
            <w:r>
              <w:rPr>
                <w:color w:val="000000" w:themeColor="text1"/>
                <w:sz w:val="24"/>
                <w:szCs w:val="24"/>
                <w14:textFill>
                  <w14:solidFill>
                    <w14:schemeClr w14:val="tx1"/>
                  </w14:solidFill>
                </w14:textFill>
              </w:rPr>
              <w:t>“</w:t>
            </w:r>
            <w:r>
              <w:rPr>
                <w:rFonts w:hint="eastAsia"/>
                <w:color w:val="000000" w:themeColor="text1"/>
                <w:sz w:val="24"/>
                <w:szCs w:val="24"/>
                <w14:textFill>
                  <w14:solidFill>
                    <w14:schemeClr w14:val="tx1"/>
                  </w14:solidFill>
                </w14:textFill>
              </w:rPr>
              <w:t>三线一单</w:t>
            </w:r>
            <w:r>
              <w:rPr>
                <w:color w:val="000000" w:themeColor="text1"/>
                <w:sz w:val="24"/>
                <w:szCs w:val="24"/>
                <w14:textFill>
                  <w14:solidFill>
                    <w14:schemeClr w14:val="tx1"/>
                  </w14:solidFill>
                </w14:textFill>
              </w:rPr>
              <w:t>”</w:t>
            </w:r>
            <w:r>
              <w:rPr>
                <w:rFonts w:hint="eastAsia"/>
                <w:color w:val="000000" w:themeColor="text1"/>
                <w:sz w:val="24"/>
                <w:szCs w:val="24"/>
                <w14:textFill>
                  <w14:solidFill>
                    <w14:schemeClr w14:val="tx1"/>
                  </w14:solidFill>
                </w14:textFill>
              </w:rPr>
              <w:t>生态环境分区管控方案》中“各管控单元分类实施生态环境准入清单”。景德镇市生态环境局制定了环境管控单元生态环境准入清单，实施生态环境分区管控。</w:t>
            </w:r>
            <w:r>
              <w:rPr>
                <w:color w:val="000000" w:themeColor="text1"/>
                <w:sz w:val="24"/>
                <w:szCs w:val="24"/>
                <w14:textFill>
                  <w14:solidFill>
                    <w14:schemeClr w14:val="tx1"/>
                  </w14:solidFill>
                </w14:textFill>
              </w:rPr>
              <w:t>本项目位于</w:t>
            </w:r>
            <w:r>
              <w:rPr>
                <w:rFonts w:hint="eastAsia"/>
                <w:color w:val="000000" w:themeColor="text1"/>
                <w:sz w:val="24"/>
                <w14:textFill>
                  <w14:solidFill>
                    <w14:schemeClr w14:val="tx1"/>
                  </w14:solidFill>
                </w14:textFill>
              </w:rPr>
              <w:t>江西省景德镇市乐平市金山工业园金一路CH-1地块</w:t>
            </w:r>
            <w:r>
              <w:rPr>
                <w:color w:val="000000" w:themeColor="text1"/>
                <w:sz w:val="24"/>
                <w:szCs w:val="24"/>
                <w14:textFill>
                  <w14:solidFill>
                    <w14:schemeClr w14:val="tx1"/>
                  </w14:solidFill>
                </w14:textFill>
              </w:rPr>
              <w:t>，属于重点管控单元（环境管控单元名称：</w:t>
            </w:r>
            <w:r>
              <w:rPr>
                <w:rFonts w:hint="eastAsia"/>
                <w:color w:val="000000" w:themeColor="text1"/>
                <w:sz w:val="24"/>
                <w:szCs w:val="24"/>
                <w14:textFill>
                  <w14:solidFill>
                    <w14:schemeClr w14:val="tx1"/>
                  </w14:solidFill>
                </w14:textFill>
              </w:rPr>
              <w:t>乐平市</w:t>
            </w:r>
            <w:r>
              <w:rPr>
                <w:color w:val="000000" w:themeColor="text1"/>
                <w:sz w:val="24"/>
                <w:szCs w:val="24"/>
                <w14:textFill>
                  <w14:solidFill>
                    <w14:schemeClr w14:val="tx1"/>
                  </w14:solidFill>
                </w14:textFill>
              </w:rPr>
              <w:t>重点管控单元</w:t>
            </w:r>
            <w:r>
              <w:rPr>
                <w:rFonts w:hint="eastAsia"/>
                <w:color w:val="000000" w:themeColor="text1"/>
                <w:sz w:val="24"/>
                <w:szCs w:val="24"/>
                <w14:textFill>
                  <w14:solidFill>
                    <w14:schemeClr w14:val="tx1"/>
                  </w14:solidFill>
                </w14:textFill>
              </w:rPr>
              <w:t>1</w:t>
            </w:r>
            <w:r>
              <w:rPr>
                <w:color w:val="000000" w:themeColor="text1"/>
                <w:sz w:val="24"/>
                <w:szCs w:val="24"/>
                <w14:textFill>
                  <w14:solidFill>
                    <w14:schemeClr w14:val="tx1"/>
                  </w14:solidFill>
                </w14:textFill>
              </w:rPr>
              <w:t>；环境管控单元编码：ZH36028120001）。</w:t>
            </w:r>
            <w:r>
              <w:rPr>
                <w:rFonts w:hint="eastAsia"/>
                <w:color w:val="000000" w:themeColor="text1"/>
                <w:sz w:val="24"/>
                <w:szCs w:val="24"/>
                <w14:textFill>
                  <w14:solidFill>
                    <w14:schemeClr w14:val="tx1"/>
                  </w14:solidFill>
                </w14:textFill>
              </w:rPr>
              <w:t>本项目</w:t>
            </w:r>
            <w:r>
              <w:rPr>
                <w:rFonts w:hint="eastAsia"/>
                <w:color w:val="000000" w:themeColor="text1"/>
                <w:sz w:val="24"/>
                <w14:textFill>
                  <w14:solidFill>
                    <w14:schemeClr w14:val="tx1"/>
                  </w14:solidFill>
                </w14:textFill>
              </w:rPr>
              <w:t>与景德镇市环境管控单元生态环境准入清单相符性分析见</w:t>
            </w:r>
            <w:r>
              <w:rPr>
                <w:color w:val="000000" w:themeColor="text1"/>
                <w:sz w:val="24"/>
                <w:szCs w:val="24"/>
                <w14:textFill>
                  <w14:solidFill>
                    <w14:schemeClr w14:val="tx1"/>
                  </w14:solidFill>
                </w14:textFill>
              </w:rPr>
              <w:t>表1-</w:t>
            </w:r>
            <w:r>
              <w:rPr>
                <w:rFonts w:hint="eastAsia"/>
                <w:color w:val="000000" w:themeColor="text1"/>
                <w:sz w:val="24"/>
                <w:szCs w:val="24"/>
                <w14:textFill>
                  <w14:solidFill>
                    <w14:schemeClr w14:val="tx1"/>
                  </w14:solidFill>
                </w14:textFill>
              </w:rPr>
              <w:t>4、表1</w:t>
            </w:r>
            <w:r>
              <w:rPr>
                <w:color w:val="000000" w:themeColor="text1"/>
                <w:sz w:val="24"/>
                <w:szCs w:val="24"/>
                <w14:textFill>
                  <w14:solidFill>
                    <w14:schemeClr w14:val="tx1"/>
                  </w14:solidFill>
                </w14:textFill>
              </w:rPr>
              <w:t>-</w:t>
            </w:r>
            <w:r>
              <w:rPr>
                <w:rFonts w:hint="eastAsia"/>
                <w:color w:val="000000" w:themeColor="text1"/>
                <w:sz w:val="24"/>
                <w:szCs w:val="24"/>
                <w14:textFill>
                  <w14:solidFill>
                    <w14:schemeClr w14:val="tx1"/>
                  </w14:solidFill>
                </w14:textFill>
              </w:rPr>
              <w:t>5</w:t>
            </w:r>
            <w:r>
              <w:rPr>
                <w:color w:val="000000" w:themeColor="text1"/>
                <w:sz w:val="24"/>
                <w:szCs w:val="24"/>
                <w14:textFill>
                  <w14:solidFill>
                    <w14:schemeClr w14:val="tx1"/>
                  </w14:solidFill>
                </w14:textFill>
              </w:rPr>
              <w:t>。</w:t>
            </w:r>
          </w:p>
          <w:p w14:paraId="090EF9AF">
            <w:pPr>
              <w:pStyle w:val="17"/>
              <w:spacing w:before="0" w:after="0"/>
              <w:jc w:val="center"/>
              <w:rPr>
                <w:rFonts w:hint="eastAsia" w:ascii="宋体" w:hAnsi="宋体"/>
                <w:b/>
                <w:bCs/>
                <w:color w:val="000000" w:themeColor="text1"/>
                <w:sz w:val="24"/>
                <w:szCs w:val="24"/>
                <w14:textFill>
                  <w14:solidFill>
                    <w14:schemeClr w14:val="tx1"/>
                  </w14:solidFill>
                </w14:textFill>
              </w:rPr>
            </w:pPr>
            <w:r>
              <w:rPr>
                <w:rFonts w:hint="eastAsia" w:ascii="宋体" w:hAnsi="宋体"/>
                <w:b/>
                <w:bCs/>
                <w:color w:val="000000" w:themeColor="text1"/>
                <w:sz w:val="24"/>
                <w:szCs w:val="24"/>
                <w14:textFill>
                  <w14:solidFill>
                    <w14:schemeClr w14:val="tx1"/>
                  </w14:solidFill>
                </w14:textFill>
              </w:rPr>
              <w:t>表</w:t>
            </w:r>
            <w:r>
              <w:rPr>
                <w:rFonts w:hint="eastAsia"/>
                <w:b/>
                <w:bCs/>
                <w:color w:val="000000" w:themeColor="text1"/>
                <w:sz w:val="24"/>
                <w:szCs w:val="24"/>
                <w14:textFill>
                  <w14:solidFill>
                    <w14:schemeClr w14:val="tx1"/>
                  </w14:solidFill>
                </w14:textFill>
              </w:rPr>
              <w:t>1</w:t>
            </w:r>
            <w:r>
              <w:rPr>
                <w:b/>
                <w:bCs/>
                <w:color w:val="000000" w:themeColor="text1"/>
                <w:sz w:val="24"/>
                <w:szCs w:val="24"/>
                <w14:textFill>
                  <w14:solidFill>
                    <w14:schemeClr w14:val="tx1"/>
                  </w14:solidFill>
                </w14:textFill>
              </w:rPr>
              <w:t>-</w:t>
            </w:r>
            <w:r>
              <w:rPr>
                <w:rFonts w:hint="eastAsia"/>
                <w:b/>
                <w:bCs/>
                <w:color w:val="000000" w:themeColor="text1"/>
                <w:sz w:val="24"/>
                <w:szCs w:val="24"/>
                <w14:textFill>
                  <w14:solidFill>
                    <w14:schemeClr w14:val="tx1"/>
                  </w14:solidFill>
                </w14:textFill>
              </w:rPr>
              <w:t>4</w:t>
            </w:r>
            <w:r>
              <w:rPr>
                <w:b/>
                <w:bCs/>
                <w:color w:val="000000" w:themeColor="text1"/>
                <w:sz w:val="24"/>
                <w:szCs w:val="24"/>
                <w14:textFill>
                  <w14:solidFill>
                    <w14:schemeClr w14:val="tx1"/>
                  </w14:solidFill>
                </w14:textFill>
              </w:rPr>
              <w:t xml:space="preserve">  </w:t>
            </w:r>
            <w:r>
              <w:rPr>
                <w:rFonts w:hint="eastAsia" w:ascii="宋体" w:hAnsi="宋体"/>
                <w:b/>
                <w:bCs/>
                <w:color w:val="000000" w:themeColor="text1"/>
                <w:sz w:val="24"/>
                <w:szCs w:val="24"/>
                <w14:textFill>
                  <w14:solidFill>
                    <w14:schemeClr w14:val="tx1"/>
                  </w14:solidFill>
                </w14:textFill>
              </w:rPr>
              <w:t>与《景德镇市生态环境管控总体准入要求》相符性</w:t>
            </w:r>
          </w:p>
          <w:tbl>
            <w:tblPr>
              <w:tblStyle w:val="45"/>
              <w:tblW w:w="4996"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0" w:type="dxa"/>
                <w:bottom w:w="0" w:type="dxa"/>
                <w:right w:w="0" w:type="dxa"/>
              </w:tblCellMar>
            </w:tblPr>
            <w:tblGrid>
              <w:gridCol w:w="709"/>
              <w:gridCol w:w="1025"/>
              <w:gridCol w:w="757"/>
              <w:gridCol w:w="2939"/>
              <w:gridCol w:w="2417"/>
            </w:tblGrid>
            <w:tr w14:paraId="0690419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452" w:type="pct"/>
                  <w:tcMar>
                    <w:top w:w="75" w:type="dxa"/>
                    <w:left w:w="75" w:type="dxa"/>
                    <w:bottom w:w="75" w:type="dxa"/>
                    <w:right w:w="75" w:type="dxa"/>
                  </w:tcMar>
                  <w:vAlign w:val="center"/>
                </w:tcPr>
                <w:p w14:paraId="1E8D5803">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维度</w:t>
                  </w:r>
                </w:p>
              </w:tc>
              <w:tc>
                <w:tcPr>
                  <w:tcW w:w="653" w:type="pct"/>
                  <w:tcMar>
                    <w:top w:w="75" w:type="dxa"/>
                    <w:left w:w="75" w:type="dxa"/>
                    <w:bottom w:w="75" w:type="dxa"/>
                    <w:right w:w="75" w:type="dxa"/>
                  </w:tcMar>
                  <w:vAlign w:val="center"/>
                </w:tcPr>
                <w:p w14:paraId="2F762FBA">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清单编制要求</w:t>
                  </w:r>
                </w:p>
              </w:tc>
              <w:tc>
                <w:tcPr>
                  <w:tcW w:w="482" w:type="pct"/>
                  <w:tcMar>
                    <w:top w:w="75" w:type="dxa"/>
                    <w:left w:w="75" w:type="dxa"/>
                    <w:bottom w:w="75" w:type="dxa"/>
                    <w:right w:w="75" w:type="dxa"/>
                  </w:tcMar>
                  <w:vAlign w:val="center"/>
                </w:tcPr>
                <w:p w14:paraId="6411B4BB">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序号</w:t>
                  </w:r>
                </w:p>
              </w:tc>
              <w:tc>
                <w:tcPr>
                  <w:tcW w:w="1872" w:type="pct"/>
                  <w:tcMar>
                    <w:top w:w="75" w:type="dxa"/>
                    <w:left w:w="75" w:type="dxa"/>
                    <w:bottom w:w="75" w:type="dxa"/>
                    <w:right w:w="75" w:type="dxa"/>
                  </w:tcMar>
                  <w:vAlign w:val="center"/>
                </w:tcPr>
                <w:p w14:paraId="164F52B0">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准入要求</w:t>
                  </w:r>
                </w:p>
              </w:tc>
              <w:tc>
                <w:tcPr>
                  <w:tcW w:w="1540" w:type="pct"/>
                  <w:tcMar>
                    <w:top w:w="75" w:type="dxa"/>
                    <w:left w:w="75" w:type="dxa"/>
                    <w:bottom w:w="75" w:type="dxa"/>
                    <w:right w:w="75" w:type="dxa"/>
                  </w:tcMar>
                  <w:vAlign w:val="center"/>
                </w:tcPr>
                <w:p w14:paraId="7C23DADD">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符合性分析</w:t>
                  </w:r>
                </w:p>
              </w:tc>
            </w:tr>
            <w:tr w14:paraId="512015C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452" w:type="pct"/>
                  <w:vMerge w:val="restart"/>
                  <w:tcMar>
                    <w:top w:w="75" w:type="dxa"/>
                    <w:left w:w="75" w:type="dxa"/>
                    <w:bottom w:w="75" w:type="dxa"/>
                    <w:right w:w="75" w:type="dxa"/>
                  </w:tcMar>
                  <w:vAlign w:val="center"/>
                </w:tcPr>
                <w:p w14:paraId="673096D1">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空间布局约束</w:t>
                  </w:r>
                </w:p>
              </w:tc>
              <w:tc>
                <w:tcPr>
                  <w:tcW w:w="653" w:type="pct"/>
                  <w:vMerge w:val="restart"/>
                  <w:tcMar>
                    <w:top w:w="75" w:type="dxa"/>
                    <w:left w:w="75" w:type="dxa"/>
                    <w:bottom w:w="75" w:type="dxa"/>
                    <w:right w:w="75" w:type="dxa"/>
                  </w:tcMar>
                  <w:vAlign w:val="center"/>
                </w:tcPr>
                <w:p w14:paraId="4E16B7C7">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禁止开发建设活动的要求</w:t>
                  </w:r>
                </w:p>
              </w:tc>
              <w:tc>
                <w:tcPr>
                  <w:tcW w:w="482" w:type="pct"/>
                  <w:tcMar>
                    <w:top w:w="75" w:type="dxa"/>
                    <w:left w:w="75" w:type="dxa"/>
                    <w:bottom w:w="75" w:type="dxa"/>
                    <w:right w:w="75" w:type="dxa"/>
                  </w:tcMar>
                  <w:vAlign w:val="center"/>
                </w:tcPr>
                <w:p w14:paraId="58951DB1">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p>
              </w:tc>
              <w:tc>
                <w:tcPr>
                  <w:tcW w:w="1872" w:type="pct"/>
                  <w:tcMar>
                    <w:top w:w="75" w:type="dxa"/>
                    <w:left w:w="75" w:type="dxa"/>
                    <w:bottom w:w="75" w:type="dxa"/>
                    <w:right w:w="75" w:type="dxa"/>
                  </w:tcMar>
                  <w:vAlign w:val="center"/>
                </w:tcPr>
                <w:p w14:paraId="6BA0E551">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禁止商业性采伐生态公益林。</w:t>
                  </w:r>
                </w:p>
              </w:tc>
              <w:tc>
                <w:tcPr>
                  <w:tcW w:w="1540" w:type="pct"/>
                  <w:tcMar>
                    <w:top w:w="75" w:type="dxa"/>
                    <w:left w:w="75" w:type="dxa"/>
                    <w:bottom w:w="75" w:type="dxa"/>
                    <w:right w:w="75" w:type="dxa"/>
                  </w:tcMar>
                  <w:vAlign w:val="center"/>
                </w:tcPr>
                <w:p w14:paraId="168A4259">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项目为其他水泥类似制品制造项目，不涉及商业性采伐生态公益林</w:t>
                  </w:r>
                </w:p>
              </w:tc>
            </w:tr>
            <w:tr w14:paraId="6D0ABC8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56F0CED5">
                  <w:pPr>
                    <w:widowControl/>
                    <w:rPr>
                      <w:color w:val="000000" w:themeColor="text1"/>
                      <w:sz w:val="18"/>
                      <w:szCs w:val="18"/>
                      <w14:textFill>
                        <w14:solidFill>
                          <w14:schemeClr w14:val="tx1"/>
                        </w14:solidFill>
                      </w14:textFill>
                    </w:rPr>
                  </w:pPr>
                </w:p>
              </w:tc>
              <w:tc>
                <w:tcPr>
                  <w:tcW w:w="0" w:type="auto"/>
                  <w:vMerge w:val="continue"/>
                  <w:vAlign w:val="center"/>
                </w:tcPr>
                <w:p w14:paraId="6F3BA328">
                  <w:pPr>
                    <w:widowControl/>
                    <w:rPr>
                      <w:color w:val="000000" w:themeColor="text1"/>
                      <w:sz w:val="18"/>
                      <w:szCs w:val="18"/>
                      <w14:textFill>
                        <w14:solidFill>
                          <w14:schemeClr w14:val="tx1"/>
                        </w14:solidFill>
                      </w14:textFill>
                    </w:rPr>
                  </w:pPr>
                </w:p>
              </w:tc>
              <w:tc>
                <w:tcPr>
                  <w:tcW w:w="482" w:type="pct"/>
                  <w:tcMar>
                    <w:top w:w="75" w:type="dxa"/>
                    <w:left w:w="75" w:type="dxa"/>
                    <w:bottom w:w="75" w:type="dxa"/>
                    <w:right w:w="75" w:type="dxa"/>
                  </w:tcMar>
                  <w:vAlign w:val="center"/>
                </w:tcPr>
                <w:p w14:paraId="5DEF374E">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p>
              </w:tc>
              <w:tc>
                <w:tcPr>
                  <w:tcW w:w="1872" w:type="pct"/>
                  <w:tcMar>
                    <w:top w:w="75" w:type="dxa"/>
                    <w:left w:w="75" w:type="dxa"/>
                    <w:bottom w:w="75" w:type="dxa"/>
                    <w:right w:w="75" w:type="dxa"/>
                  </w:tcMar>
                  <w:vAlign w:val="center"/>
                </w:tcPr>
                <w:p w14:paraId="3D299C41">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全面取缔河湖水库网箱养殖，禁止湖泊水库投放无机肥、有机肥和生物复合肥养殖。</w:t>
                  </w:r>
                </w:p>
              </w:tc>
              <w:tc>
                <w:tcPr>
                  <w:tcW w:w="1540" w:type="pct"/>
                  <w:tcMar>
                    <w:top w:w="75" w:type="dxa"/>
                    <w:left w:w="75" w:type="dxa"/>
                    <w:bottom w:w="75" w:type="dxa"/>
                    <w:right w:w="75" w:type="dxa"/>
                  </w:tcMar>
                  <w:vAlign w:val="center"/>
                </w:tcPr>
                <w:p w14:paraId="005C3931">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项目为其他水泥类似制品制造项目，不涉及河湖水库网箱养殖</w:t>
                  </w:r>
                </w:p>
              </w:tc>
            </w:tr>
            <w:tr w14:paraId="75907E4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4FEF7BEF">
                  <w:pPr>
                    <w:widowControl/>
                    <w:rPr>
                      <w:color w:val="000000" w:themeColor="text1"/>
                      <w:sz w:val="18"/>
                      <w:szCs w:val="18"/>
                      <w14:textFill>
                        <w14:solidFill>
                          <w14:schemeClr w14:val="tx1"/>
                        </w14:solidFill>
                      </w14:textFill>
                    </w:rPr>
                  </w:pPr>
                </w:p>
              </w:tc>
              <w:tc>
                <w:tcPr>
                  <w:tcW w:w="0" w:type="auto"/>
                  <w:vMerge w:val="continue"/>
                  <w:vAlign w:val="center"/>
                </w:tcPr>
                <w:p w14:paraId="31724F79">
                  <w:pPr>
                    <w:widowControl/>
                    <w:rPr>
                      <w:color w:val="000000" w:themeColor="text1"/>
                      <w:sz w:val="18"/>
                      <w:szCs w:val="18"/>
                      <w14:textFill>
                        <w14:solidFill>
                          <w14:schemeClr w14:val="tx1"/>
                        </w14:solidFill>
                      </w14:textFill>
                    </w:rPr>
                  </w:pPr>
                </w:p>
              </w:tc>
              <w:tc>
                <w:tcPr>
                  <w:tcW w:w="482" w:type="pct"/>
                  <w:tcMar>
                    <w:top w:w="75" w:type="dxa"/>
                    <w:left w:w="75" w:type="dxa"/>
                    <w:bottom w:w="75" w:type="dxa"/>
                    <w:right w:w="75" w:type="dxa"/>
                  </w:tcMar>
                  <w:vAlign w:val="center"/>
                </w:tcPr>
                <w:p w14:paraId="095FB206">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w:t>
                  </w:r>
                </w:p>
              </w:tc>
              <w:tc>
                <w:tcPr>
                  <w:tcW w:w="1872" w:type="pct"/>
                  <w:tcMar>
                    <w:top w:w="75" w:type="dxa"/>
                    <w:left w:w="75" w:type="dxa"/>
                    <w:bottom w:w="75" w:type="dxa"/>
                    <w:right w:w="75" w:type="dxa"/>
                  </w:tcMar>
                  <w:vAlign w:val="center"/>
                </w:tcPr>
                <w:p w14:paraId="373D3439">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禁止在居民区、学校、医疗和养老机构等周边新建有色金属冶炼、焦化等行业企业。</w:t>
                  </w:r>
                </w:p>
              </w:tc>
              <w:tc>
                <w:tcPr>
                  <w:tcW w:w="1540" w:type="pct"/>
                  <w:tcMar>
                    <w:top w:w="75" w:type="dxa"/>
                    <w:left w:w="75" w:type="dxa"/>
                    <w:bottom w:w="75" w:type="dxa"/>
                    <w:right w:w="75" w:type="dxa"/>
                  </w:tcMar>
                  <w:vAlign w:val="center"/>
                </w:tcPr>
                <w:p w14:paraId="42093058">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项目为其他水泥类似制品制造项目，不属于有色金属冶炼、焦化等行业企业</w:t>
                  </w:r>
                </w:p>
              </w:tc>
            </w:tr>
            <w:tr w14:paraId="2C90D57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434A441D">
                  <w:pPr>
                    <w:widowControl/>
                    <w:rPr>
                      <w:color w:val="000000" w:themeColor="text1"/>
                      <w:sz w:val="18"/>
                      <w:szCs w:val="18"/>
                      <w14:textFill>
                        <w14:solidFill>
                          <w14:schemeClr w14:val="tx1"/>
                        </w14:solidFill>
                      </w14:textFill>
                    </w:rPr>
                  </w:pPr>
                </w:p>
              </w:tc>
              <w:tc>
                <w:tcPr>
                  <w:tcW w:w="0" w:type="auto"/>
                  <w:vMerge w:val="continue"/>
                  <w:vAlign w:val="center"/>
                </w:tcPr>
                <w:p w14:paraId="1323D4FE">
                  <w:pPr>
                    <w:widowControl/>
                    <w:rPr>
                      <w:color w:val="000000" w:themeColor="text1"/>
                      <w:sz w:val="18"/>
                      <w:szCs w:val="18"/>
                      <w14:textFill>
                        <w14:solidFill>
                          <w14:schemeClr w14:val="tx1"/>
                        </w14:solidFill>
                      </w14:textFill>
                    </w:rPr>
                  </w:pPr>
                </w:p>
              </w:tc>
              <w:tc>
                <w:tcPr>
                  <w:tcW w:w="482" w:type="pct"/>
                  <w:tcMar>
                    <w:top w:w="75" w:type="dxa"/>
                    <w:left w:w="75" w:type="dxa"/>
                    <w:bottom w:w="75" w:type="dxa"/>
                    <w:right w:w="75" w:type="dxa"/>
                  </w:tcMar>
                  <w:vAlign w:val="center"/>
                </w:tcPr>
                <w:p w14:paraId="60AEE08C">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4</w:t>
                  </w:r>
                </w:p>
              </w:tc>
              <w:tc>
                <w:tcPr>
                  <w:tcW w:w="1872" w:type="pct"/>
                  <w:tcMar>
                    <w:top w:w="75" w:type="dxa"/>
                    <w:left w:w="75" w:type="dxa"/>
                    <w:bottom w:w="75" w:type="dxa"/>
                    <w:right w:w="75" w:type="dxa"/>
                  </w:tcMar>
                  <w:vAlign w:val="center"/>
                </w:tcPr>
                <w:p w14:paraId="2FE9579E">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禁止在重要生态功能区、土壤环境质量超标区域、土壤污染事故频发区域、昌江源头保护区新建、改建、扩建增加对土壤产生污染的项目。</w:t>
                  </w:r>
                </w:p>
              </w:tc>
              <w:tc>
                <w:tcPr>
                  <w:tcW w:w="1540" w:type="pct"/>
                  <w:tcMar>
                    <w:top w:w="75" w:type="dxa"/>
                    <w:left w:w="75" w:type="dxa"/>
                    <w:bottom w:w="75" w:type="dxa"/>
                    <w:right w:w="75" w:type="dxa"/>
                  </w:tcMar>
                  <w:vAlign w:val="center"/>
                </w:tcPr>
                <w:p w14:paraId="25D30C6F">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项目位于乐平市金山工业园区，不涉及重要生态功能区、土壤环境质量超标区域、土壤污染事故频发区域、昌江源头保护区</w:t>
                  </w:r>
                </w:p>
              </w:tc>
            </w:tr>
            <w:tr w14:paraId="2C813EC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4B5A1996">
                  <w:pPr>
                    <w:widowControl/>
                    <w:rPr>
                      <w:color w:val="000000" w:themeColor="text1"/>
                      <w:sz w:val="18"/>
                      <w:szCs w:val="18"/>
                      <w14:textFill>
                        <w14:solidFill>
                          <w14:schemeClr w14:val="tx1"/>
                        </w14:solidFill>
                      </w14:textFill>
                    </w:rPr>
                  </w:pPr>
                </w:p>
              </w:tc>
              <w:tc>
                <w:tcPr>
                  <w:tcW w:w="0" w:type="auto"/>
                  <w:vMerge w:val="continue"/>
                  <w:vAlign w:val="center"/>
                </w:tcPr>
                <w:p w14:paraId="5A9463C9">
                  <w:pPr>
                    <w:widowControl/>
                    <w:rPr>
                      <w:color w:val="000000" w:themeColor="text1"/>
                      <w:sz w:val="18"/>
                      <w:szCs w:val="18"/>
                      <w14:textFill>
                        <w14:solidFill>
                          <w14:schemeClr w14:val="tx1"/>
                        </w14:solidFill>
                      </w14:textFill>
                    </w:rPr>
                  </w:pPr>
                </w:p>
              </w:tc>
              <w:tc>
                <w:tcPr>
                  <w:tcW w:w="482" w:type="pct"/>
                  <w:tcMar>
                    <w:top w:w="75" w:type="dxa"/>
                    <w:left w:w="75" w:type="dxa"/>
                    <w:bottom w:w="75" w:type="dxa"/>
                    <w:right w:w="75" w:type="dxa"/>
                  </w:tcMar>
                  <w:vAlign w:val="center"/>
                </w:tcPr>
                <w:p w14:paraId="09C4FD20">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w:t>
                  </w:r>
                </w:p>
              </w:tc>
              <w:tc>
                <w:tcPr>
                  <w:tcW w:w="1872" w:type="pct"/>
                  <w:tcMar>
                    <w:top w:w="75" w:type="dxa"/>
                    <w:left w:w="75" w:type="dxa"/>
                    <w:bottom w:w="75" w:type="dxa"/>
                    <w:right w:w="75" w:type="dxa"/>
                  </w:tcMar>
                  <w:vAlign w:val="center"/>
                </w:tcPr>
                <w:p w14:paraId="652F65B3">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禁止新建落后产能或产能严重过剩行业的建设项目。</w:t>
                  </w:r>
                </w:p>
              </w:tc>
              <w:tc>
                <w:tcPr>
                  <w:tcW w:w="1540" w:type="pct"/>
                  <w:tcMar>
                    <w:top w:w="75" w:type="dxa"/>
                    <w:left w:w="75" w:type="dxa"/>
                    <w:bottom w:w="75" w:type="dxa"/>
                    <w:right w:w="75" w:type="dxa"/>
                  </w:tcMar>
                  <w:vAlign w:val="center"/>
                </w:tcPr>
                <w:p w14:paraId="665D8341">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项目为其他水泥类似制品制造项目，不属于落后产能或产能严重过剩行业的建设项目</w:t>
                  </w:r>
                </w:p>
              </w:tc>
            </w:tr>
            <w:tr w14:paraId="4DB12D7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75528D9E">
                  <w:pPr>
                    <w:widowControl/>
                    <w:rPr>
                      <w:color w:val="000000" w:themeColor="text1"/>
                      <w:sz w:val="18"/>
                      <w:szCs w:val="18"/>
                      <w14:textFill>
                        <w14:solidFill>
                          <w14:schemeClr w14:val="tx1"/>
                        </w14:solidFill>
                      </w14:textFill>
                    </w:rPr>
                  </w:pPr>
                </w:p>
              </w:tc>
              <w:tc>
                <w:tcPr>
                  <w:tcW w:w="0" w:type="auto"/>
                  <w:vMerge w:val="continue"/>
                  <w:vAlign w:val="center"/>
                </w:tcPr>
                <w:p w14:paraId="7B0FD61D">
                  <w:pPr>
                    <w:widowControl/>
                    <w:rPr>
                      <w:color w:val="000000" w:themeColor="text1"/>
                      <w:sz w:val="18"/>
                      <w:szCs w:val="18"/>
                      <w14:textFill>
                        <w14:solidFill>
                          <w14:schemeClr w14:val="tx1"/>
                        </w14:solidFill>
                      </w14:textFill>
                    </w:rPr>
                  </w:pPr>
                </w:p>
              </w:tc>
              <w:tc>
                <w:tcPr>
                  <w:tcW w:w="482" w:type="pct"/>
                  <w:tcMar>
                    <w:top w:w="75" w:type="dxa"/>
                    <w:left w:w="75" w:type="dxa"/>
                    <w:bottom w:w="75" w:type="dxa"/>
                    <w:right w:w="75" w:type="dxa"/>
                  </w:tcMar>
                  <w:vAlign w:val="center"/>
                </w:tcPr>
                <w:p w14:paraId="29961025">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w:t>
                  </w:r>
                </w:p>
              </w:tc>
              <w:tc>
                <w:tcPr>
                  <w:tcW w:w="1872" w:type="pct"/>
                  <w:tcMar>
                    <w:top w:w="75" w:type="dxa"/>
                    <w:left w:w="75" w:type="dxa"/>
                    <w:bottom w:w="75" w:type="dxa"/>
                    <w:right w:w="75" w:type="dxa"/>
                  </w:tcMar>
                  <w:vAlign w:val="center"/>
                </w:tcPr>
                <w:p w14:paraId="7CF62DC9">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禁止饶河（昌江）源头区发展规模化畜禽养殖。</w:t>
                  </w:r>
                </w:p>
              </w:tc>
              <w:tc>
                <w:tcPr>
                  <w:tcW w:w="1540" w:type="pct"/>
                  <w:tcMar>
                    <w:top w:w="75" w:type="dxa"/>
                    <w:left w:w="75" w:type="dxa"/>
                    <w:bottom w:w="75" w:type="dxa"/>
                    <w:right w:w="75" w:type="dxa"/>
                  </w:tcMar>
                  <w:vAlign w:val="center"/>
                </w:tcPr>
                <w:p w14:paraId="0B4769C4">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项目为其他水泥类似制品制造项目，不属于规模化畜禽养殖</w:t>
                  </w:r>
                </w:p>
              </w:tc>
            </w:tr>
            <w:tr w14:paraId="71BEC36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212AF179">
                  <w:pPr>
                    <w:widowControl/>
                    <w:rPr>
                      <w:color w:val="000000" w:themeColor="text1"/>
                      <w:sz w:val="18"/>
                      <w:szCs w:val="18"/>
                      <w14:textFill>
                        <w14:solidFill>
                          <w14:schemeClr w14:val="tx1"/>
                        </w14:solidFill>
                      </w14:textFill>
                    </w:rPr>
                  </w:pPr>
                </w:p>
              </w:tc>
              <w:tc>
                <w:tcPr>
                  <w:tcW w:w="0" w:type="auto"/>
                  <w:vMerge w:val="continue"/>
                  <w:vAlign w:val="center"/>
                </w:tcPr>
                <w:p w14:paraId="077E795D">
                  <w:pPr>
                    <w:widowControl/>
                    <w:rPr>
                      <w:color w:val="000000" w:themeColor="text1"/>
                      <w:sz w:val="18"/>
                      <w:szCs w:val="18"/>
                      <w14:textFill>
                        <w14:solidFill>
                          <w14:schemeClr w14:val="tx1"/>
                        </w14:solidFill>
                      </w14:textFill>
                    </w:rPr>
                  </w:pPr>
                </w:p>
              </w:tc>
              <w:tc>
                <w:tcPr>
                  <w:tcW w:w="482" w:type="pct"/>
                  <w:tcMar>
                    <w:top w:w="75" w:type="dxa"/>
                    <w:left w:w="75" w:type="dxa"/>
                    <w:bottom w:w="75" w:type="dxa"/>
                    <w:right w:w="75" w:type="dxa"/>
                  </w:tcMar>
                  <w:vAlign w:val="center"/>
                </w:tcPr>
                <w:p w14:paraId="1A02A66D">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7</w:t>
                  </w:r>
                </w:p>
              </w:tc>
              <w:tc>
                <w:tcPr>
                  <w:tcW w:w="1872" w:type="pct"/>
                  <w:tcMar>
                    <w:top w:w="75" w:type="dxa"/>
                    <w:left w:w="75" w:type="dxa"/>
                    <w:bottom w:w="75" w:type="dxa"/>
                    <w:right w:w="75" w:type="dxa"/>
                  </w:tcMar>
                  <w:vAlign w:val="center"/>
                </w:tcPr>
                <w:p w14:paraId="72B75B91">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禁止新建、扩建废轮胎、废塑料、废铝塑、废电子电器产品、废电池等重污染废旧物资综合利用项目。</w:t>
                  </w:r>
                </w:p>
              </w:tc>
              <w:tc>
                <w:tcPr>
                  <w:tcW w:w="1540" w:type="pct"/>
                  <w:tcMar>
                    <w:top w:w="75" w:type="dxa"/>
                    <w:left w:w="75" w:type="dxa"/>
                    <w:bottom w:w="75" w:type="dxa"/>
                    <w:right w:w="75" w:type="dxa"/>
                  </w:tcMar>
                  <w:vAlign w:val="center"/>
                </w:tcPr>
                <w:p w14:paraId="7F40BDD0">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项目为其他水泥类似制品制造项目，不属于废轮胎、废塑料、废铝塑、废电子电器产品、废电池等重污染废旧物资综合利用项目</w:t>
                  </w:r>
                </w:p>
              </w:tc>
            </w:tr>
            <w:tr w14:paraId="526205D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3E5A52F4">
                  <w:pPr>
                    <w:widowControl/>
                    <w:rPr>
                      <w:color w:val="000000" w:themeColor="text1"/>
                      <w:sz w:val="18"/>
                      <w:szCs w:val="18"/>
                      <w14:textFill>
                        <w14:solidFill>
                          <w14:schemeClr w14:val="tx1"/>
                        </w14:solidFill>
                      </w14:textFill>
                    </w:rPr>
                  </w:pPr>
                </w:p>
              </w:tc>
              <w:tc>
                <w:tcPr>
                  <w:tcW w:w="0" w:type="auto"/>
                  <w:vMerge w:val="continue"/>
                  <w:vAlign w:val="center"/>
                </w:tcPr>
                <w:p w14:paraId="2A2D3814">
                  <w:pPr>
                    <w:widowControl/>
                    <w:rPr>
                      <w:color w:val="000000" w:themeColor="text1"/>
                      <w:sz w:val="18"/>
                      <w:szCs w:val="18"/>
                      <w14:textFill>
                        <w14:solidFill>
                          <w14:schemeClr w14:val="tx1"/>
                        </w14:solidFill>
                      </w14:textFill>
                    </w:rPr>
                  </w:pPr>
                </w:p>
              </w:tc>
              <w:tc>
                <w:tcPr>
                  <w:tcW w:w="482" w:type="pct"/>
                  <w:tcMar>
                    <w:top w:w="75" w:type="dxa"/>
                    <w:left w:w="75" w:type="dxa"/>
                    <w:bottom w:w="75" w:type="dxa"/>
                    <w:right w:w="75" w:type="dxa"/>
                  </w:tcMar>
                  <w:vAlign w:val="center"/>
                </w:tcPr>
                <w:p w14:paraId="23CD1E26">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8</w:t>
                  </w:r>
                </w:p>
              </w:tc>
              <w:tc>
                <w:tcPr>
                  <w:tcW w:w="1872" w:type="pct"/>
                  <w:tcMar>
                    <w:top w:w="75" w:type="dxa"/>
                    <w:left w:w="75" w:type="dxa"/>
                    <w:bottom w:w="75" w:type="dxa"/>
                    <w:right w:w="75" w:type="dxa"/>
                  </w:tcMar>
                  <w:vAlign w:val="center"/>
                </w:tcPr>
                <w:p w14:paraId="0F0A6B34">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禁止侵占自然湿地等水源涵养空间，已侵占的限期予以恢复。</w:t>
                  </w:r>
                </w:p>
              </w:tc>
              <w:tc>
                <w:tcPr>
                  <w:tcW w:w="1540" w:type="pct"/>
                  <w:tcMar>
                    <w:top w:w="75" w:type="dxa"/>
                    <w:left w:w="75" w:type="dxa"/>
                    <w:bottom w:w="75" w:type="dxa"/>
                    <w:right w:w="75" w:type="dxa"/>
                  </w:tcMar>
                  <w:vAlign w:val="center"/>
                </w:tcPr>
                <w:p w14:paraId="1DBF63BD">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项目位于乐平市金山工业园金一路CH-1地块，未侵占自然湿地等水源涵养空间</w:t>
                  </w:r>
                </w:p>
              </w:tc>
            </w:tr>
            <w:tr w14:paraId="01A7429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15866A63">
                  <w:pPr>
                    <w:widowControl/>
                    <w:rPr>
                      <w:color w:val="000000" w:themeColor="text1"/>
                      <w:sz w:val="18"/>
                      <w:szCs w:val="18"/>
                      <w14:textFill>
                        <w14:solidFill>
                          <w14:schemeClr w14:val="tx1"/>
                        </w14:solidFill>
                      </w14:textFill>
                    </w:rPr>
                  </w:pPr>
                </w:p>
              </w:tc>
              <w:tc>
                <w:tcPr>
                  <w:tcW w:w="653" w:type="pct"/>
                  <w:vMerge w:val="restart"/>
                  <w:tcMar>
                    <w:top w:w="75" w:type="dxa"/>
                    <w:left w:w="75" w:type="dxa"/>
                    <w:bottom w:w="75" w:type="dxa"/>
                    <w:right w:w="75" w:type="dxa"/>
                  </w:tcMar>
                  <w:vAlign w:val="center"/>
                </w:tcPr>
                <w:p w14:paraId="60AC1FAB">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限制开发建设活动的要求</w:t>
                  </w:r>
                </w:p>
              </w:tc>
              <w:tc>
                <w:tcPr>
                  <w:tcW w:w="482" w:type="pct"/>
                  <w:tcMar>
                    <w:top w:w="75" w:type="dxa"/>
                    <w:left w:w="75" w:type="dxa"/>
                    <w:bottom w:w="75" w:type="dxa"/>
                    <w:right w:w="75" w:type="dxa"/>
                  </w:tcMar>
                  <w:vAlign w:val="center"/>
                </w:tcPr>
                <w:p w14:paraId="4647DCCE">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9</w:t>
                  </w:r>
                </w:p>
              </w:tc>
              <w:tc>
                <w:tcPr>
                  <w:tcW w:w="1872" w:type="pct"/>
                  <w:tcMar>
                    <w:top w:w="75" w:type="dxa"/>
                    <w:left w:w="75" w:type="dxa"/>
                    <w:bottom w:w="75" w:type="dxa"/>
                    <w:right w:w="75" w:type="dxa"/>
                  </w:tcMar>
                  <w:vAlign w:val="center"/>
                </w:tcPr>
                <w:p w14:paraId="4DEEA413">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昌江、乐安河干流</w:t>
                  </w:r>
                  <w:r>
                    <w:rPr>
                      <w:color w:val="000000" w:themeColor="text1"/>
                      <w:sz w:val="18"/>
                      <w:szCs w:val="18"/>
                      <w14:textFill>
                        <w14:solidFill>
                          <w14:schemeClr w14:val="tx1"/>
                        </w14:solidFill>
                      </w14:textFill>
                    </w:rPr>
                    <w:t>5</w:t>
                  </w:r>
                  <w:r>
                    <w:rPr>
                      <w:rFonts w:hint="eastAsia"/>
                      <w:color w:val="000000" w:themeColor="text1"/>
                      <w:sz w:val="18"/>
                      <w:szCs w:val="18"/>
                      <w14:textFill>
                        <w14:solidFill>
                          <w14:schemeClr w14:val="tx1"/>
                        </w14:solidFill>
                      </w14:textFill>
                    </w:rPr>
                    <w:t>公里范围内不再新布局重化工园区，</w:t>
                  </w:r>
                  <w:r>
                    <w:rPr>
                      <w:color w:val="000000" w:themeColor="text1"/>
                      <w:sz w:val="18"/>
                      <w:szCs w:val="18"/>
                      <w14:textFill>
                        <w14:solidFill>
                          <w14:schemeClr w14:val="tx1"/>
                        </w14:solidFill>
                      </w14:textFill>
                    </w:rPr>
                    <w:t>1</w:t>
                  </w:r>
                  <w:r>
                    <w:rPr>
                      <w:rFonts w:hint="eastAsia"/>
                      <w:color w:val="000000" w:themeColor="text1"/>
                      <w:sz w:val="18"/>
                      <w:szCs w:val="18"/>
                      <w14:textFill>
                        <w14:solidFill>
                          <w14:schemeClr w14:val="tx1"/>
                        </w14:solidFill>
                      </w14:textFill>
                    </w:rPr>
                    <w:t>公里范围内不得新上化工、造纸、印染、制革、冶炼等重污染项目；不得新建、改建、扩建《产业结构调整指导目录》（修正）中限制类和淘汰类项目。</w:t>
                  </w:r>
                </w:p>
              </w:tc>
              <w:tc>
                <w:tcPr>
                  <w:tcW w:w="1540" w:type="pct"/>
                  <w:tcMar>
                    <w:top w:w="75" w:type="dxa"/>
                    <w:left w:w="75" w:type="dxa"/>
                    <w:bottom w:w="75" w:type="dxa"/>
                    <w:right w:w="75" w:type="dxa"/>
                  </w:tcMar>
                  <w:vAlign w:val="center"/>
                </w:tcPr>
                <w:p w14:paraId="5719538E">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项目为其他水泥类似制品制造项目，不属于化工园区，不属于化工、造纸、印染、制革、冶炼等重污染项目</w:t>
                  </w:r>
                </w:p>
              </w:tc>
            </w:tr>
            <w:tr w14:paraId="7693A5E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08B2195C">
                  <w:pPr>
                    <w:widowControl/>
                    <w:rPr>
                      <w:color w:val="000000" w:themeColor="text1"/>
                      <w:sz w:val="18"/>
                      <w:szCs w:val="18"/>
                      <w14:textFill>
                        <w14:solidFill>
                          <w14:schemeClr w14:val="tx1"/>
                        </w14:solidFill>
                      </w14:textFill>
                    </w:rPr>
                  </w:pPr>
                </w:p>
              </w:tc>
              <w:tc>
                <w:tcPr>
                  <w:tcW w:w="0" w:type="auto"/>
                  <w:vMerge w:val="continue"/>
                  <w:vAlign w:val="center"/>
                </w:tcPr>
                <w:p w14:paraId="33839FFD">
                  <w:pPr>
                    <w:widowControl/>
                    <w:rPr>
                      <w:color w:val="000000" w:themeColor="text1"/>
                      <w:sz w:val="18"/>
                      <w:szCs w:val="18"/>
                      <w14:textFill>
                        <w14:solidFill>
                          <w14:schemeClr w14:val="tx1"/>
                        </w14:solidFill>
                      </w14:textFill>
                    </w:rPr>
                  </w:pPr>
                </w:p>
              </w:tc>
              <w:tc>
                <w:tcPr>
                  <w:tcW w:w="482" w:type="pct"/>
                  <w:tcMar>
                    <w:top w:w="75" w:type="dxa"/>
                    <w:left w:w="75" w:type="dxa"/>
                    <w:bottom w:w="75" w:type="dxa"/>
                    <w:right w:w="75" w:type="dxa"/>
                  </w:tcMar>
                  <w:vAlign w:val="center"/>
                </w:tcPr>
                <w:p w14:paraId="5B9D696A">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10</w:t>
                  </w:r>
                </w:p>
              </w:tc>
              <w:tc>
                <w:tcPr>
                  <w:tcW w:w="1872" w:type="pct"/>
                  <w:tcMar>
                    <w:top w:w="75" w:type="dxa"/>
                    <w:left w:w="75" w:type="dxa"/>
                    <w:bottom w:w="75" w:type="dxa"/>
                    <w:right w:w="75" w:type="dxa"/>
                  </w:tcMar>
                  <w:vAlign w:val="center"/>
                </w:tcPr>
                <w:p w14:paraId="40E1E80E">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严把高耗能高排放项目准入关，坚决遏制高耗能高排放项目盲目发展。</w:t>
                  </w:r>
                </w:p>
              </w:tc>
              <w:tc>
                <w:tcPr>
                  <w:tcW w:w="1540" w:type="pct"/>
                  <w:tcMar>
                    <w:top w:w="75" w:type="dxa"/>
                    <w:left w:w="75" w:type="dxa"/>
                    <w:bottom w:w="75" w:type="dxa"/>
                    <w:right w:w="75" w:type="dxa"/>
                  </w:tcMar>
                  <w:vAlign w:val="center"/>
                </w:tcPr>
                <w:p w14:paraId="35902978">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项目不属于</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两高</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行业</w:t>
                  </w:r>
                </w:p>
              </w:tc>
            </w:tr>
            <w:tr w14:paraId="5B2FC2C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1950696F">
                  <w:pPr>
                    <w:widowControl/>
                    <w:rPr>
                      <w:color w:val="000000" w:themeColor="text1"/>
                      <w:sz w:val="18"/>
                      <w:szCs w:val="18"/>
                      <w14:textFill>
                        <w14:solidFill>
                          <w14:schemeClr w14:val="tx1"/>
                        </w14:solidFill>
                      </w14:textFill>
                    </w:rPr>
                  </w:pPr>
                </w:p>
              </w:tc>
              <w:tc>
                <w:tcPr>
                  <w:tcW w:w="0" w:type="auto"/>
                  <w:vMerge w:val="continue"/>
                  <w:vAlign w:val="center"/>
                </w:tcPr>
                <w:p w14:paraId="3CE98AFC">
                  <w:pPr>
                    <w:widowControl/>
                    <w:rPr>
                      <w:color w:val="000000" w:themeColor="text1"/>
                      <w:sz w:val="18"/>
                      <w:szCs w:val="18"/>
                      <w14:textFill>
                        <w14:solidFill>
                          <w14:schemeClr w14:val="tx1"/>
                        </w14:solidFill>
                      </w14:textFill>
                    </w:rPr>
                  </w:pPr>
                </w:p>
              </w:tc>
              <w:tc>
                <w:tcPr>
                  <w:tcW w:w="482" w:type="pct"/>
                  <w:tcMar>
                    <w:top w:w="75" w:type="dxa"/>
                    <w:left w:w="75" w:type="dxa"/>
                    <w:bottom w:w="75" w:type="dxa"/>
                    <w:right w:w="75" w:type="dxa"/>
                  </w:tcMar>
                  <w:vAlign w:val="center"/>
                </w:tcPr>
                <w:p w14:paraId="6685C035">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11</w:t>
                  </w:r>
                </w:p>
              </w:tc>
              <w:tc>
                <w:tcPr>
                  <w:tcW w:w="1872" w:type="pct"/>
                  <w:tcMar>
                    <w:top w:w="75" w:type="dxa"/>
                    <w:left w:w="75" w:type="dxa"/>
                    <w:bottom w:w="75" w:type="dxa"/>
                    <w:right w:w="75" w:type="dxa"/>
                  </w:tcMar>
                  <w:vAlign w:val="center"/>
                </w:tcPr>
                <w:p w14:paraId="342BA937">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严格控制有色金属冶炼、石油加工、化工、焦化、电镀、印染、制革等行业企业准入，准入企业必须进入相应园区。</w:t>
                  </w:r>
                </w:p>
              </w:tc>
              <w:tc>
                <w:tcPr>
                  <w:tcW w:w="1540" w:type="pct"/>
                  <w:tcMar>
                    <w:top w:w="75" w:type="dxa"/>
                    <w:left w:w="75" w:type="dxa"/>
                    <w:bottom w:w="75" w:type="dxa"/>
                    <w:right w:w="75" w:type="dxa"/>
                  </w:tcMar>
                  <w:vAlign w:val="center"/>
                </w:tcPr>
                <w:p w14:paraId="0A077568">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项目不属于有色金属冶炼、石油加工、化工、焦化、电镀、印染、制革等行业企业</w:t>
                  </w:r>
                </w:p>
              </w:tc>
            </w:tr>
            <w:tr w14:paraId="0005391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524FA495">
                  <w:pPr>
                    <w:widowControl/>
                    <w:rPr>
                      <w:color w:val="000000" w:themeColor="text1"/>
                      <w:sz w:val="18"/>
                      <w:szCs w:val="18"/>
                      <w14:textFill>
                        <w14:solidFill>
                          <w14:schemeClr w14:val="tx1"/>
                        </w14:solidFill>
                      </w14:textFill>
                    </w:rPr>
                  </w:pPr>
                </w:p>
              </w:tc>
              <w:tc>
                <w:tcPr>
                  <w:tcW w:w="0" w:type="auto"/>
                  <w:vMerge w:val="continue"/>
                  <w:vAlign w:val="center"/>
                </w:tcPr>
                <w:p w14:paraId="5469B7A0">
                  <w:pPr>
                    <w:widowControl/>
                    <w:rPr>
                      <w:color w:val="000000" w:themeColor="text1"/>
                      <w:sz w:val="18"/>
                      <w:szCs w:val="18"/>
                      <w14:textFill>
                        <w14:solidFill>
                          <w14:schemeClr w14:val="tx1"/>
                        </w14:solidFill>
                      </w14:textFill>
                    </w:rPr>
                  </w:pPr>
                </w:p>
              </w:tc>
              <w:tc>
                <w:tcPr>
                  <w:tcW w:w="482" w:type="pct"/>
                  <w:tcMar>
                    <w:top w:w="75" w:type="dxa"/>
                    <w:left w:w="75" w:type="dxa"/>
                    <w:bottom w:w="75" w:type="dxa"/>
                    <w:right w:w="75" w:type="dxa"/>
                  </w:tcMar>
                  <w:vAlign w:val="center"/>
                </w:tcPr>
                <w:p w14:paraId="76B66A9C">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12</w:t>
                  </w:r>
                </w:p>
              </w:tc>
              <w:tc>
                <w:tcPr>
                  <w:tcW w:w="1872" w:type="pct"/>
                  <w:tcMar>
                    <w:top w:w="75" w:type="dxa"/>
                    <w:left w:w="75" w:type="dxa"/>
                    <w:bottom w:w="75" w:type="dxa"/>
                    <w:right w:w="75" w:type="dxa"/>
                  </w:tcMar>
                  <w:vAlign w:val="center"/>
                </w:tcPr>
                <w:p w14:paraId="4F24DBAE">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强化燃煤锅炉废气精细管控，巩固燃煤锅炉整治成效，不再审批</w:t>
                  </w:r>
                  <w:r>
                    <w:rPr>
                      <w:color w:val="000000" w:themeColor="text1"/>
                      <w:sz w:val="18"/>
                      <w:szCs w:val="18"/>
                      <w14:textFill>
                        <w14:solidFill>
                          <w14:schemeClr w14:val="tx1"/>
                        </w14:solidFill>
                      </w14:textFill>
                    </w:rPr>
                    <w:t>35</w:t>
                  </w:r>
                  <w:r>
                    <w:rPr>
                      <w:rFonts w:hint="eastAsia"/>
                      <w:color w:val="000000" w:themeColor="text1"/>
                      <w:sz w:val="18"/>
                      <w:szCs w:val="18"/>
                      <w14:textFill>
                        <w14:solidFill>
                          <w14:schemeClr w14:val="tx1"/>
                        </w14:solidFill>
                      </w14:textFill>
                    </w:rPr>
                    <w:t>蒸吨</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小时及以下燃煤锅炉。</w:t>
                  </w:r>
                </w:p>
              </w:tc>
              <w:tc>
                <w:tcPr>
                  <w:tcW w:w="1540" w:type="pct"/>
                  <w:tcMar>
                    <w:top w:w="75" w:type="dxa"/>
                    <w:left w:w="75" w:type="dxa"/>
                    <w:bottom w:w="75" w:type="dxa"/>
                    <w:right w:w="75" w:type="dxa"/>
                  </w:tcMar>
                  <w:vAlign w:val="center"/>
                </w:tcPr>
                <w:p w14:paraId="540C8989">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项目不涉及燃煤锅炉</w:t>
                  </w:r>
                </w:p>
              </w:tc>
            </w:tr>
            <w:tr w14:paraId="5DE9E92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636D0066">
                  <w:pPr>
                    <w:widowControl/>
                    <w:rPr>
                      <w:color w:val="000000" w:themeColor="text1"/>
                      <w:sz w:val="18"/>
                      <w:szCs w:val="18"/>
                      <w14:textFill>
                        <w14:solidFill>
                          <w14:schemeClr w14:val="tx1"/>
                        </w14:solidFill>
                      </w14:textFill>
                    </w:rPr>
                  </w:pPr>
                </w:p>
              </w:tc>
              <w:tc>
                <w:tcPr>
                  <w:tcW w:w="0" w:type="auto"/>
                  <w:vMerge w:val="continue"/>
                  <w:vAlign w:val="center"/>
                </w:tcPr>
                <w:p w14:paraId="67B5345A">
                  <w:pPr>
                    <w:widowControl/>
                    <w:rPr>
                      <w:color w:val="000000" w:themeColor="text1"/>
                      <w:sz w:val="18"/>
                      <w:szCs w:val="18"/>
                      <w14:textFill>
                        <w14:solidFill>
                          <w14:schemeClr w14:val="tx1"/>
                        </w14:solidFill>
                      </w14:textFill>
                    </w:rPr>
                  </w:pPr>
                </w:p>
              </w:tc>
              <w:tc>
                <w:tcPr>
                  <w:tcW w:w="482" w:type="pct"/>
                  <w:tcMar>
                    <w:top w:w="75" w:type="dxa"/>
                    <w:left w:w="75" w:type="dxa"/>
                    <w:bottom w:w="75" w:type="dxa"/>
                    <w:right w:w="75" w:type="dxa"/>
                  </w:tcMar>
                  <w:vAlign w:val="center"/>
                </w:tcPr>
                <w:p w14:paraId="2DA64C98">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13</w:t>
                  </w:r>
                </w:p>
              </w:tc>
              <w:tc>
                <w:tcPr>
                  <w:tcW w:w="1872" w:type="pct"/>
                  <w:tcMar>
                    <w:top w:w="75" w:type="dxa"/>
                    <w:left w:w="75" w:type="dxa"/>
                    <w:bottom w:w="75" w:type="dxa"/>
                    <w:right w:w="75" w:type="dxa"/>
                  </w:tcMar>
                  <w:vAlign w:val="center"/>
                </w:tcPr>
                <w:p w14:paraId="5FD52C46">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限养区内畜禽养殖规模实行严格限制，不得新建和扩建畜禽养殖场。</w:t>
                  </w:r>
                </w:p>
              </w:tc>
              <w:tc>
                <w:tcPr>
                  <w:tcW w:w="1540" w:type="pct"/>
                  <w:tcMar>
                    <w:top w:w="75" w:type="dxa"/>
                    <w:left w:w="75" w:type="dxa"/>
                    <w:bottom w:w="75" w:type="dxa"/>
                    <w:right w:w="75" w:type="dxa"/>
                  </w:tcMar>
                  <w:vAlign w:val="center"/>
                </w:tcPr>
                <w:p w14:paraId="10105718">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项目不属于畜禽养殖</w:t>
                  </w:r>
                </w:p>
              </w:tc>
            </w:tr>
            <w:tr w14:paraId="4A2B7A3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71A1F779">
                  <w:pPr>
                    <w:widowControl/>
                    <w:rPr>
                      <w:color w:val="000000" w:themeColor="text1"/>
                      <w:sz w:val="18"/>
                      <w:szCs w:val="18"/>
                      <w14:textFill>
                        <w14:solidFill>
                          <w14:schemeClr w14:val="tx1"/>
                        </w14:solidFill>
                      </w14:textFill>
                    </w:rPr>
                  </w:pPr>
                </w:p>
              </w:tc>
              <w:tc>
                <w:tcPr>
                  <w:tcW w:w="0" w:type="auto"/>
                  <w:vMerge w:val="continue"/>
                  <w:vAlign w:val="center"/>
                </w:tcPr>
                <w:p w14:paraId="6D9FBE49">
                  <w:pPr>
                    <w:widowControl/>
                    <w:rPr>
                      <w:color w:val="000000" w:themeColor="text1"/>
                      <w:sz w:val="18"/>
                      <w:szCs w:val="18"/>
                      <w14:textFill>
                        <w14:solidFill>
                          <w14:schemeClr w14:val="tx1"/>
                        </w14:solidFill>
                      </w14:textFill>
                    </w:rPr>
                  </w:pPr>
                </w:p>
              </w:tc>
              <w:tc>
                <w:tcPr>
                  <w:tcW w:w="482" w:type="pct"/>
                  <w:tcMar>
                    <w:top w:w="75" w:type="dxa"/>
                    <w:left w:w="75" w:type="dxa"/>
                    <w:bottom w:w="75" w:type="dxa"/>
                    <w:right w:w="75" w:type="dxa"/>
                  </w:tcMar>
                  <w:vAlign w:val="center"/>
                </w:tcPr>
                <w:p w14:paraId="2453F4ED">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14</w:t>
                  </w:r>
                </w:p>
              </w:tc>
              <w:tc>
                <w:tcPr>
                  <w:tcW w:w="1872" w:type="pct"/>
                  <w:tcMar>
                    <w:top w:w="75" w:type="dxa"/>
                    <w:left w:w="75" w:type="dxa"/>
                    <w:bottom w:w="75" w:type="dxa"/>
                    <w:right w:w="75" w:type="dxa"/>
                  </w:tcMar>
                  <w:vAlign w:val="center"/>
                </w:tcPr>
                <w:p w14:paraId="43E7EC0F">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一般生态空间中零散城镇村建设用地、永久基本农田、特殊用地等，按国土空间规划的要求开展相关活动和开发行为。</w:t>
                  </w:r>
                </w:p>
              </w:tc>
              <w:tc>
                <w:tcPr>
                  <w:tcW w:w="1540" w:type="pct"/>
                  <w:tcMar>
                    <w:top w:w="75" w:type="dxa"/>
                    <w:left w:w="75" w:type="dxa"/>
                    <w:bottom w:w="75" w:type="dxa"/>
                    <w:right w:w="75" w:type="dxa"/>
                  </w:tcMar>
                  <w:vAlign w:val="center"/>
                </w:tcPr>
                <w:p w14:paraId="3357CBA0">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项目不涉及</w:t>
                  </w:r>
                </w:p>
              </w:tc>
            </w:tr>
            <w:tr w14:paraId="764A4D8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00FD4A16">
                  <w:pPr>
                    <w:widowControl/>
                    <w:rPr>
                      <w:color w:val="000000" w:themeColor="text1"/>
                      <w:sz w:val="18"/>
                      <w:szCs w:val="18"/>
                      <w14:textFill>
                        <w14:solidFill>
                          <w14:schemeClr w14:val="tx1"/>
                        </w14:solidFill>
                      </w14:textFill>
                    </w:rPr>
                  </w:pPr>
                </w:p>
              </w:tc>
              <w:tc>
                <w:tcPr>
                  <w:tcW w:w="653" w:type="pct"/>
                  <w:vMerge w:val="restart"/>
                  <w:tcMar>
                    <w:top w:w="75" w:type="dxa"/>
                    <w:left w:w="75" w:type="dxa"/>
                    <w:bottom w:w="75" w:type="dxa"/>
                    <w:right w:w="75" w:type="dxa"/>
                  </w:tcMar>
                  <w:vAlign w:val="center"/>
                </w:tcPr>
                <w:p w14:paraId="100FCBE4">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不符合空间布局要求活动的退出要求</w:t>
                  </w:r>
                </w:p>
              </w:tc>
              <w:tc>
                <w:tcPr>
                  <w:tcW w:w="482" w:type="pct"/>
                  <w:tcMar>
                    <w:top w:w="75" w:type="dxa"/>
                    <w:left w:w="75" w:type="dxa"/>
                    <w:bottom w:w="75" w:type="dxa"/>
                    <w:right w:w="75" w:type="dxa"/>
                  </w:tcMar>
                  <w:vAlign w:val="center"/>
                </w:tcPr>
                <w:p w14:paraId="490DAF83">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15</w:t>
                  </w:r>
                </w:p>
              </w:tc>
              <w:tc>
                <w:tcPr>
                  <w:tcW w:w="1872" w:type="pct"/>
                  <w:tcMar>
                    <w:top w:w="75" w:type="dxa"/>
                    <w:left w:w="75" w:type="dxa"/>
                    <w:bottom w:w="75" w:type="dxa"/>
                    <w:right w:w="75" w:type="dxa"/>
                  </w:tcMar>
                  <w:vAlign w:val="center"/>
                </w:tcPr>
                <w:p w14:paraId="2D131716">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对饮用水源保护区内小（</w:t>
                  </w:r>
                  <w:r>
                    <w:rPr>
                      <w:color w:val="000000" w:themeColor="text1"/>
                      <w:sz w:val="18"/>
                      <w:szCs w:val="18"/>
                      <w14:textFill>
                        <w14:solidFill>
                          <w14:schemeClr w14:val="tx1"/>
                        </w14:solidFill>
                      </w14:textFill>
                    </w:rPr>
                    <w:t>2</w:t>
                  </w:r>
                  <w:r>
                    <w:rPr>
                      <w:rFonts w:hint="eastAsia"/>
                      <w:color w:val="000000" w:themeColor="text1"/>
                      <w:sz w:val="18"/>
                      <w:szCs w:val="18"/>
                      <w14:textFill>
                        <w14:solidFill>
                          <w14:schemeClr w14:val="tx1"/>
                        </w14:solidFill>
                      </w14:textFill>
                    </w:rPr>
                    <w:t>）型及以上水库，禁止使用无机肥、有机肥、生物复合肥等进行养殖，积极推行人放天养；禁止在饮用水源保护区内新建、改建、扩建排放污染物的建设项目，已建成的排放污染物建设项目，由县级以上人民政府责令拆除或者关闭。对非饮用水源区小（</w:t>
                  </w:r>
                  <w:r>
                    <w:rPr>
                      <w:color w:val="000000" w:themeColor="text1"/>
                      <w:sz w:val="18"/>
                      <w:szCs w:val="18"/>
                      <w14:textFill>
                        <w14:solidFill>
                          <w14:schemeClr w14:val="tx1"/>
                        </w14:solidFill>
                      </w14:textFill>
                    </w:rPr>
                    <w:t>2</w:t>
                  </w:r>
                  <w:r>
                    <w:rPr>
                      <w:rFonts w:hint="eastAsia"/>
                      <w:color w:val="000000" w:themeColor="text1"/>
                      <w:sz w:val="18"/>
                      <w:szCs w:val="18"/>
                      <w14:textFill>
                        <w14:solidFill>
                          <w14:schemeClr w14:val="tx1"/>
                        </w14:solidFill>
                      </w14:textFill>
                    </w:rPr>
                    <w:t>）型及以上水库，禁止使用无机肥、有机肥、生物复合肥等进行养殖；库区内畜禽养殖场、养殖小区应当及时收集、贮存、清运畜禽粪便、污水等，采取防渗漏雨和防恶臭等措施，防止粪便和污水渗漏、外溢。</w:t>
                  </w:r>
                </w:p>
              </w:tc>
              <w:tc>
                <w:tcPr>
                  <w:tcW w:w="1540" w:type="pct"/>
                  <w:tcMar>
                    <w:top w:w="75" w:type="dxa"/>
                    <w:left w:w="75" w:type="dxa"/>
                    <w:bottom w:w="75" w:type="dxa"/>
                    <w:right w:w="75" w:type="dxa"/>
                  </w:tcMar>
                  <w:vAlign w:val="center"/>
                </w:tcPr>
                <w:p w14:paraId="506964BC">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项目不涉及肥料使用；项目建设位置不涉及饮用水源保护区；项目不属于畜禽养殖项目。</w:t>
                  </w:r>
                </w:p>
              </w:tc>
            </w:tr>
            <w:tr w14:paraId="2224E5E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1B8DD81E">
                  <w:pPr>
                    <w:widowControl/>
                    <w:rPr>
                      <w:color w:val="000000" w:themeColor="text1"/>
                      <w:sz w:val="18"/>
                      <w:szCs w:val="18"/>
                      <w14:textFill>
                        <w14:solidFill>
                          <w14:schemeClr w14:val="tx1"/>
                        </w14:solidFill>
                      </w14:textFill>
                    </w:rPr>
                  </w:pPr>
                </w:p>
              </w:tc>
              <w:tc>
                <w:tcPr>
                  <w:tcW w:w="0" w:type="auto"/>
                  <w:vMerge w:val="continue"/>
                  <w:vAlign w:val="center"/>
                </w:tcPr>
                <w:p w14:paraId="2BA8ABE0">
                  <w:pPr>
                    <w:widowControl/>
                    <w:rPr>
                      <w:color w:val="000000" w:themeColor="text1"/>
                      <w:sz w:val="18"/>
                      <w:szCs w:val="18"/>
                      <w14:textFill>
                        <w14:solidFill>
                          <w14:schemeClr w14:val="tx1"/>
                        </w14:solidFill>
                      </w14:textFill>
                    </w:rPr>
                  </w:pPr>
                </w:p>
              </w:tc>
              <w:tc>
                <w:tcPr>
                  <w:tcW w:w="482" w:type="pct"/>
                  <w:tcMar>
                    <w:top w:w="75" w:type="dxa"/>
                    <w:left w:w="75" w:type="dxa"/>
                    <w:bottom w:w="75" w:type="dxa"/>
                    <w:right w:w="75" w:type="dxa"/>
                  </w:tcMar>
                  <w:vAlign w:val="center"/>
                </w:tcPr>
                <w:p w14:paraId="00D673F7">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16</w:t>
                  </w:r>
                </w:p>
              </w:tc>
              <w:tc>
                <w:tcPr>
                  <w:tcW w:w="1872" w:type="pct"/>
                  <w:tcMar>
                    <w:top w:w="75" w:type="dxa"/>
                    <w:left w:w="75" w:type="dxa"/>
                    <w:bottom w:w="75" w:type="dxa"/>
                    <w:right w:w="75" w:type="dxa"/>
                  </w:tcMar>
                  <w:vAlign w:val="center"/>
                </w:tcPr>
                <w:p w14:paraId="3E2B7810">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加快淘汰落后低效产能，巩固煤炭去产能成果。</w:t>
                  </w:r>
                </w:p>
              </w:tc>
              <w:tc>
                <w:tcPr>
                  <w:tcW w:w="1540" w:type="pct"/>
                  <w:tcMar>
                    <w:top w:w="75" w:type="dxa"/>
                    <w:left w:w="75" w:type="dxa"/>
                    <w:bottom w:w="75" w:type="dxa"/>
                    <w:right w:w="75" w:type="dxa"/>
                  </w:tcMar>
                  <w:vAlign w:val="center"/>
                </w:tcPr>
                <w:p w14:paraId="24A9D389">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项目不属于落后低效产能。</w:t>
                  </w:r>
                </w:p>
              </w:tc>
            </w:tr>
            <w:tr w14:paraId="50FF30A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452" w:type="pct"/>
                  <w:vMerge w:val="restart"/>
                  <w:tcMar>
                    <w:top w:w="75" w:type="dxa"/>
                    <w:left w:w="75" w:type="dxa"/>
                    <w:bottom w:w="75" w:type="dxa"/>
                    <w:right w:w="75" w:type="dxa"/>
                  </w:tcMar>
                  <w:vAlign w:val="center"/>
                </w:tcPr>
                <w:p w14:paraId="7C953638">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污染物排放管控</w:t>
                  </w:r>
                </w:p>
              </w:tc>
              <w:tc>
                <w:tcPr>
                  <w:tcW w:w="653" w:type="pct"/>
                  <w:tcMar>
                    <w:top w:w="75" w:type="dxa"/>
                    <w:left w:w="75" w:type="dxa"/>
                    <w:bottom w:w="75" w:type="dxa"/>
                    <w:right w:w="75" w:type="dxa"/>
                  </w:tcMar>
                  <w:vAlign w:val="center"/>
                </w:tcPr>
                <w:p w14:paraId="034DF7FC">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允许排放量要求</w:t>
                  </w:r>
                </w:p>
              </w:tc>
              <w:tc>
                <w:tcPr>
                  <w:tcW w:w="482" w:type="pct"/>
                  <w:tcMar>
                    <w:top w:w="75" w:type="dxa"/>
                    <w:left w:w="75" w:type="dxa"/>
                    <w:bottom w:w="75" w:type="dxa"/>
                    <w:right w:w="75" w:type="dxa"/>
                  </w:tcMar>
                  <w:vAlign w:val="center"/>
                </w:tcPr>
                <w:p w14:paraId="612F38EA">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17</w:t>
                  </w:r>
                </w:p>
              </w:tc>
              <w:tc>
                <w:tcPr>
                  <w:tcW w:w="1872" w:type="pct"/>
                  <w:tcMar>
                    <w:top w:w="75" w:type="dxa"/>
                    <w:left w:w="75" w:type="dxa"/>
                    <w:bottom w:w="75" w:type="dxa"/>
                    <w:right w:w="75" w:type="dxa"/>
                  </w:tcMar>
                  <w:vAlign w:val="center"/>
                </w:tcPr>
                <w:p w14:paraId="6BA755F4">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到</w:t>
                  </w:r>
                  <w:r>
                    <w:rPr>
                      <w:color w:val="000000" w:themeColor="text1"/>
                      <w:sz w:val="18"/>
                      <w:szCs w:val="18"/>
                      <w14:textFill>
                        <w14:solidFill>
                          <w14:schemeClr w14:val="tx1"/>
                        </w14:solidFill>
                      </w14:textFill>
                    </w:rPr>
                    <w:t>2025</w:t>
                  </w:r>
                  <w:r>
                    <w:rPr>
                      <w:rFonts w:hint="eastAsia"/>
                      <w:color w:val="000000" w:themeColor="text1"/>
                      <w:sz w:val="18"/>
                      <w:szCs w:val="18"/>
                      <w14:textFill>
                        <w14:solidFill>
                          <w14:schemeClr w14:val="tx1"/>
                        </w14:solidFill>
                      </w14:textFill>
                    </w:rPr>
                    <w:t>年，重点工程氮氧化物排放量减少</w:t>
                  </w:r>
                  <w:r>
                    <w:rPr>
                      <w:color w:val="000000" w:themeColor="text1"/>
                      <w:sz w:val="18"/>
                      <w:szCs w:val="18"/>
                      <w14:textFill>
                        <w14:solidFill>
                          <w14:schemeClr w14:val="tx1"/>
                        </w14:solidFill>
                      </w14:textFill>
                    </w:rPr>
                    <w:t>695</w:t>
                  </w:r>
                  <w:r>
                    <w:rPr>
                      <w:rFonts w:hint="eastAsia"/>
                      <w:color w:val="000000" w:themeColor="text1"/>
                      <w:sz w:val="18"/>
                      <w:szCs w:val="18"/>
                      <w14:textFill>
                        <w14:solidFill>
                          <w14:schemeClr w14:val="tx1"/>
                        </w14:solidFill>
                      </w14:textFill>
                    </w:rPr>
                    <w:t>吨、挥发性有机物排放量减少</w:t>
                  </w:r>
                  <w:r>
                    <w:rPr>
                      <w:color w:val="000000" w:themeColor="text1"/>
                      <w:sz w:val="18"/>
                      <w:szCs w:val="18"/>
                      <w14:textFill>
                        <w14:solidFill>
                          <w14:schemeClr w14:val="tx1"/>
                        </w14:solidFill>
                      </w14:textFill>
                    </w:rPr>
                    <w:t>470</w:t>
                  </w:r>
                  <w:r>
                    <w:rPr>
                      <w:rFonts w:hint="eastAsia"/>
                      <w:color w:val="000000" w:themeColor="text1"/>
                      <w:sz w:val="18"/>
                      <w:szCs w:val="18"/>
                      <w14:textFill>
                        <w14:solidFill>
                          <w14:schemeClr w14:val="tx1"/>
                        </w14:solidFill>
                      </w14:textFill>
                    </w:rPr>
                    <w:t>吨、</w:t>
                  </w:r>
                  <w:r>
                    <w:rPr>
                      <w:color w:val="000000" w:themeColor="text1"/>
                      <w:sz w:val="18"/>
                      <w:szCs w:val="18"/>
                      <w14:textFill>
                        <w14:solidFill>
                          <w14:schemeClr w14:val="tx1"/>
                        </w14:solidFill>
                      </w14:textFill>
                    </w:rPr>
                    <w:t>COD</w:t>
                  </w:r>
                  <w:r>
                    <w:rPr>
                      <w:rFonts w:hint="eastAsia"/>
                      <w:color w:val="000000" w:themeColor="text1"/>
                      <w:sz w:val="18"/>
                      <w:szCs w:val="18"/>
                      <w14:textFill>
                        <w14:solidFill>
                          <w14:schemeClr w14:val="tx1"/>
                        </w14:solidFill>
                      </w14:textFill>
                    </w:rPr>
                    <w:t>排放量减少</w:t>
                  </w:r>
                  <w:r>
                    <w:rPr>
                      <w:color w:val="000000" w:themeColor="text1"/>
                      <w:sz w:val="18"/>
                      <w:szCs w:val="18"/>
                      <w14:textFill>
                        <w14:solidFill>
                          <w14:schemeClr w14:val="tx1"/>
                        </w14:solidFill>
                      </w14:textFill>
                    </w:rPr>
                    <w:t>3372</w:t>
                  </w:r>
                  <w:r>
                    <w:rPr>
                      <w:rFonts w:hint="eastAsia"/>
                      <w:color w:val="000000" w:themeColor="text1"/>
                      <w:sz w:val="18"/>
                      <w:szCs w:val="18"/>
                      <w14:textFill>
                        <w14:solidFill>
                          <w14:schemeClr w14:val="tx1"/>
                        </w14:solidFill>
                      </w14:textFill>
                    </w:rPr>
                    <w:t>吨、氨氮排放量减少</w:t>
                  </w:r>
                  <w:r>
                    <w:rPr>
                      <w:color w:val="000000" w:themeColor="text1"/>
                      <w:sz w:val="18"/>
                      <w:szCs w:val="18"/>
                      <w14:textFill>
                        <w14:solidFill>
                          <w14:schemeClr w14:val="tx1"/>
                        </w14:solidFill>
                      </w14:textFill>
                    </w:rPr>
                    <w:t>233</w:t>
                  </w:r>
                  <w:r>
                    <w:rPr>
                      <w:rFonts w:hint="eastAsia"/>
                      <w:color w:val="000000" w:themeColor="text1"/>
                      <w:sz w:val="18"/>
                      <w:szCs w:val="18"/>
                      <w14:textFill>
                        <w14:solidFill>
                          <w14:schemeClr w14:val="tx1"/>
                        </w14:solidFill>
                      </w14:textFill>
                    </w:rPr>
                    <w:t>吨。</w:t>
                  </w:r>
                </w:p>
              </w:tc>
              <w:tc>
                <w:tcPr>
                  <w:tcW w:w="1540" w:type="pct"/>
                  <w:tcMar>
                    <w:top w:w="75" w:type="dxa"/>
                    <w:left w:w="75" w:type="dxa"/>
                    <w:bottom w:w="75" w:type="dxa"/>
                    <w:right w:w="75" w:type="dxa"/>
                  </w:tcMar>
                  <w:vAlign w:val="center"/>
                </w:tcPr>
                <w:p w14:paraId="0D996688">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项目按照要求申请总量，并取得总量文件。</w:t>
                  </w:r>
                </w:p>
              </w:tc>
            </w:tr>
            <w:tr w14:paraId="0F6C0C9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68FAF1FA">
                  <w:pPr>
                    <w:widowControl/>
                    <w:rPr>
                      <w:color w:val="000000" w:themeColor="text1"/>
                      <w:sz w:val="18"/>
                      <w:szCs w:val="18"/>
                      <w14:textFill>
                        <w14:solidFill>
                          <w14:schemeClr w14:val="tx1"/>
                        </w14:solidFill>
                      </w14:textFill>
                    </w:rPr>
                  </w:pPr>
                </w:p>
              </w:tc>
              <w:tc>
                <w:tcPr>
                  <w:tcW w:w="653" w:type="pct"/>
                  <w:vMerge w:val="restart"/>
                  <w:tcMar>
                    <w:top w:w="75" w:type="dxa"/>
                    <w:left w:w="75" w:type="dxa"/>
                    <w:bottom w:w="75" w:type="dxa"/>
                    <w:right w:w="75" w:type="dxa"/>
                  </w:tcMar>
                  <w:vAlign w:val="center"/>
                </w:tcPr>
                <w:p w14:paraId="7E21E633">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现有源提标升级改造</w:t>
                  </w:r>
                </w:p>
              </w:tc>
              <w:tc>
                <w:tcPr>
                  <w:tcW w:w="482" w:type="pct"/>
                  <w:tcMar>
                    <w:top w:w="75" w:type="dxa"/>
                    <w:left w:w="75" w:type="dxa"/>
                    <w:bottom w:w="75" w:type="dxa"/>
                    <w:right w:w="75" w:type="dxa"/>
                  </w:tcMar>
                  <w:vAlign w:val="center"/>
                </w:tcPr>
                <w:p w14:paraId="75891F52">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18</w:t>
                  </w:r>
                </w:p>
              </w:tc>
              <w:tc>
                <w:tcPr>
                  <w:tcW w:w="1872" w:type="pct"/>
                  <w:tcMar>
                    <w:top w:w="75" w:type="dxa"/>
                    <w:left w:w="75" w:type="dxa"/>
                    <w:bottom w:w="75" w:type="dxa"/>
                    <w:right w:w="75" w:type="dxa"/>
                  </w:tcMar>
                  <w:vAlign w:val="center"/>
                </w:tcPr>
                <w:p w14:paraId="2883831A">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推进重点行业超低排放改造，</w:t>
                  </w:r>
                  <w:r>
                    <w:rPr>
                      <w:color w:val="000000" w:themeColor="text1"/>
                      <w:sz w:val="18"/>
                      <w:szCs w:val="18"/>
                      <w14:textFill>
                        <w14:solidFill>
                          <w14:schemeClr w14:val="tx1"/>
                        </w14:solidFill>
                      </w14:textFill>
                    </w:rPr>
                    <w:t>65</w:t>
                  </w:r>
                  <w:r>
                    <w:rPr>
                      <w:rFonts w:hint="eastAsia"/>
                      <w:color w:val="000000" w:themeColor="text1"/>
                      <w:sz w:val="18"/>
                      <w:szCs w:val="18"/>
                      <w14:textFill>
                        <w14:solidFill>
                          <w14:schemeClr w14:val="tx1"/>
                        </w14:solidFill>
                      </w14:textFill>
                    </w:rPr>
                    <w:t>蒸吨</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小时以上的燃煤锅炉（含电力）全面实现超低排放，完成水泥、焦化行业全流程超低排放。推动陶瓷、石灰、玻璃、无机化工等行业炉窑实施清洁能源替代。</w:t>
                  </w:r>
                </w:p>
              </w:tc>
              <w:tc>
                <w:tcPr>
                  <w:tcW w:w="1540" w:type="pct"/>
                  <w:tcMar>
                    <w:top w:w="75" w:type="dxa"/>
                    <w:left w:w="75" w:type="dxa"/>
                    <w:bottom w:w="75" w:type="dxa"/>
                    <w:right w:w="75" w:type="dxa"/>
                  </w:tcMar>
                  <w:vAlign w:val="center"/>
                </w:tcPr>
                <w:p w14:paraId="58494F17">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项目不属于燃煤锅炉、水泥、焦化、陶瓷、石灰、玻璃、无机化工行业。</w:t>
                  </w:r>
                </w:p>
              </w:tc>
            </w:tr>
            <w:tr w14:paraId="6939AF9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3F2C7BB0">
                  <w:pPr>
                    <w:widowControl/>
                    <w:rPr>
                      <w:color w:val="000000" w:themeColor="text1"/>
                      <w:sz w:val="18"/>
                      <w:szCs w:val="18"/>
                      <w14:textFill>
                        <w14:solidFill>
                          <w14:schemeClr w14:val="tx1"/>
                        </w14:solidFill>
                      </w14:textFill>
                    </w:rPr>
                  </w:pPr>
                </w:p>
              </w:tc>
              <w:tc>
                <w:tcPr>
                  <w:tcW w:w="0" w:type="auto"/>
                  <w:vMerge w:val="continue"/>
                  <w:vAlign w:val="center"/>
                </w:tcPr>
                <w:p w14:paraId="2891DF90">
                  <w:pPr>
                    <w:widowControl/>
                    <w:rPr>
                      <w:color w:val="000000" w:themeColor="text1"/>
                      <w:sz w:val="18"/>
                      <w:szCs w:val="18"/>
                      <w14:textFill>
                        <w14:solidFill>
                          <w14:schemeClr w14:val="tx1"/>
                        </w14:solidFill>
                      </w14:textFill>
                    </w:rPr>
                  </w:pPr>
                </w:p>
              </w:tc>
              <w:tc>
                <w:tcPr>
                  <w:tcW w:w="482" w:type="pct"/>
                  <w:tcMar>
                    <w:top w:w="75" w:type="dxa"/>
                    <w:left w:w="75" w:type="dxa"/>
                    <w:bottom w:w="75" w:type="dxa"/>
                    <w:right w:w="75" w:type="dxa"/>
                  </w:tcMar>
                  <w:vAlign w:val="center"/>
                </w:tcPr>
                <w:p w14:paraId="7F3A5BDE">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19</w:t>
                  </w:r>
                </w:p>
              </w:tc>
              <w:tc>
                <w:tcPr>
                  <w:tcW w:w="1872" w:type="pct"/>
                  <w:tcMar>
                    <w:top w:w="75" w:type="dxa"/>
                    <w:left w:w="75" w:type="dxa"/>
                    <w:bottom w:w="75" w:type="dxa"/>
                    <w:right w:w="75" w:type="dxa"/>
                  </w:tcMar>
                  <w:vAlign w:val="center"/>
                </w:tcPr>
                <w:p w14:paraId="7CE35B91">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持续推进重点区域重金属减排，严格重点区域涉重金属建设项目环境准入，新（改、扩）建涉重金属重点行业建设项目必须遵循“减量置换”或“等量替换”原则，开展重金属污染综合治理，完成重点行业重点重金属污染物减排目标任务。</w:t>
                  </w:r>
                </w:p>
              </w:tc>
              <w:tc>
                <w:tcPr>
                  <w:tcW w:w="1540" w:type="pct"/>
                  <w:tcMar>
                    <w:top w:w="75" w:type="dxa"/>
                    <w:left w:w="75" w:type="dxa"/>
                    <w:bottom w:w="75" w:type="dxa"/>
                    <w:right w:w="75" w:type="dxa"/>
                  </w:tcMar>
                  <w:vAlign w:val="center"/>
                </w:tcPr>
                <w:p w14:paraId="393CB6B2">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项目不涉及重金属排放。</w:t>
                  </w:r>
                </w:p>
              </w:tc>
            </w:tr>
            <w:tr w14:paraId="3323DFA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65122765">
                  <w:pPr>
                    <w:widowControl/>
                    <w:rPr>
                      <w:color w:val="000000" w:themeColor="text1"/>
                      <w:sz w:val="18"/>
                      <w:szCs w:val="18"/>
                      <w14:textFill>
                        <w14:solidFill>
                          <w14:schemeClr w14:val="tx1"/>
                        </w14:solidFill>
                      </w14:textFill>
                    </w:rPr>
                  </w:pPr>
                </w:p>
              </w:tc>
              <w:tc>
                <w:tcPr>
                  <w:tcW w:w="0" w:type="auto"/>
                  <w:vMerge w:val="continue"/>
                  <w:vAlign w:val="center"/>
                </w:tcPr>
                <w:p w14:paraId="047E2AFB">
                  <w:pPr>
                    <w:widowControl/>
                    <w:rPr>
                      <w:color w:val="000000" w:themeColor="text1"/>
                      <w:sz w:val="18"/>
                      <w:szCs w:val="18"/>
                      <w14:textFill>
                        <w14:solidFill>
                          <w14:schemeClr w14:val="tx1"/>
                        </w14:solidFill>
                      </w14:textFill>
                    </w:rPr>
                  </w:pPr>
                </w:p>
              </w:tc>
              <w:tc>
                <w:tcPr>
                  <w:tcW w:w="482" w:type="pct"/>
                  <w:tcMar>
                    <w:top w:w="75" w:type="dxa"/>
                    <w:left w:w="75" w:type="dxa"/>
                    <w:bottom w:w="75" w:type="dxa"/>
                    <w:right w:w="75" w:type="dxa"/>
                  </w:tcMar>
                  <w:vAlign w:val="center"/>
                </w:tcPr>
                <w:p w14:paraId="77439820">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20</w:t>
                  </w:r>
                </w:p>
              </w:tc>
              <w:tc>
                <w:tcPr>
                  <w:tcW w:w="1872" w:type="pct"/>
                  <w:tcMar>
                    <w:top w:w="75" w:type="dxa"/>
                    <w:left w:w="75" w:type="dxa"/>
                    <w:bottom w:w="75" w:type="dxa"/>
                    <w:right w:w="75" w:type="dxa"/>
                  </w:tcMar>
                  <w:vAlign w:val="center"/>
                </w:tcPr>
                <w:p w14:paraId="7730059F">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深化消耗臭氧层物质和氢氟碳化物环境管理。</w:t>
                  </w:r>
                </w:p>
              </w:tc>
              <w:tc>
                <w:tcPr>
                  <w:tcW w:w="1540" w:type="pct"/>
                  <w:tcMar>
                    <w:top w:w="75" w:type="dxa"/>
                    <w:left w:w="75" w:type="dxa"/>
                    <w:bottom w:w="75" w:type="dxa"/>
                    <w:right w:w="75" w:type="dxa"/>
                  </w:tcMar>
                  <w:vAlign w:val="center"/>
                </w:tcPr>
                <w:p w14:paraId="0854AAAA">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项目不涉及</w:t>
                  </w:r>
                </w:p>
              </w:tc>
            </w:tr>
            <w:tr w14:paraId="3477016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0247BD5F">
                  <w:pPr>
                    <w:widowControl/>
                    <w:rPr>
                      <w:color w:val="000000" w:themeColor="text1"/>
                      <w:sz w:val="18"/>
                      <w:szCs w:val="18"/>
                      <w14:textFill>
                        <w14:solidFill>
                          <w14:schemeClr w14:val="tx1"/>
                        </w14:solidFill>
                      </w14:textFill>
                    </w:rPr>
                  </w:pPr>
                </w:p>
              </w:tc>
              <w:tc>
                <w:tcPr>
                  <w:tcW w:w="0" w:type="auto"/>
                  <w:vMerge w:val="continue"/>
                  <w:vAlign w:val="center"/>
                </w:tcPr>
                <w:p w14:paraId="1538A5BA">
                  <w:pPr>
                    <w:widowControl/>
                    <w:rPr>
                      <w:color w:val="000000" w:themeColor="text1"/>
                      <w:sz w:val="18"/>
                      <w:szCs w:val="18"/>
                      <w14:textFill>
                        <w14:solidFill>
                          <w14:schemeClr w14:val="tx1"/>
                        </w14:solidFill>
                      </w14:textFill>
                    </w:rPr>
                  </w:pPr>
                </w:p>
              </w:tc>
              <w:tc>
                <w:tcPr>
                  <w:tcW w:w="482" w:type="pct"/>
                  <w:tcMar>
                    <w:top w:w="75" w:type="dxa"/>
                    <w:left w:w="75" w:type="dxa"/>
                    <w:bottom w:w="75" w:type="dxa"/>
                    <w:right w:w="75" w:type="dxa"/>
                  </w:tcMar>
                  <w:vAlign w:val="center"/>
                </w:tcPr>
                <w:p w14:paraId="393A9D9A">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21</w:t>
                  </w:r>
                </w:p>
              </w:tc>
              <w:tc>
                <w:tcPr>
                  <w:tcW w:w="1872" w:type="pct"/>
                  <w:tcMar>
                    <w:top w:w="75" w:type="dxa"/>
                    <w:left w:w="75" w:type="dxa"/>
                    <w:bottom w:w="75" w:type="dxa"/>
                    <w:right w:w="75" w:type="dxa"/>
                  </w:tcMar>
                  <w:vAlign w:val="center"/>
                </w:tcPr>
                <w:p w14:paraId="18BCDCF0">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对焦化、水泥、医药化工、石化等重点行业进行清洁生产审核，针对节能减排关键领域和薄弱环节，采用先进适用清洁生产技术、工艺和装备，实施清洁生产技术改造。</w:t>
                  </w:r>
                </w:p>
              </w:tc>
              <w:tc>
                <w:tcPr>
                  <w:tcW w:w="1540" w:type="pct"/>
                  <w:tcMar>
                    <w:top w:w="75" w:type="dxa"/>
                    <w:left w:w="75" w:type="dxa"/>
                    <w:bottom w:w="75" w:type="dxa"/>
                    <w:right w:w="75" w:type="dxa"/>
                  </w:tcMar>
                  <w:vAlign w:val="center"/>
                </w:tcPr>
                <w:p w14:paraId="20749B50">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项目不属于焦化、水泥、医药化工、石化等重点行业。</w:t>
                  </w:r>
                </w:p>
              </w:tc>
            </w:tr>
            <w:tr w14:paraId="3C82ACC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452" w:type="pct"/>
                  <w:tcMar>
                    <w:top w:w="75" w:type="dxa"/>
                    <w:left w:w="75" w:type="dxa"/>
                    <w:bottom w:w="75" w:type="dxa"/>
                    <w:right w:w="75" w:type="dxa"/>
                  </w:tcMar>
                  <w:vAlign w:val="center"/>
                </w:tcPr>
                <w:p w14:paraId="547DFF92">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环境风险防控</w:t>
                  </w:r>
                </w:p>
              </w:tc>
              <w:tc>
                <w:tcPr>
                  <w:tcW w:w="653" w:type="pct"/>
                  <w:tcMar>
                    <w:top w:w="75" w:type="dxa"/>
                    <w:left w:w="75" w:type="dxa"/>
                    <w:bottom w:w="75" w:type="dxa"/>
                    <w:right w:w="75" w:type="dxa"/>
                  </w:tcMar>
                  <w:vAlign w:val="center"/>
                </w:tcPr>
                <w:p w14:paraId="00C2697F">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联防联控要求</w:t>
                  </w:r>
                </w:p>
              </w:tc>
              <w:tc>
                <w:tcPr>
                  <w:tcW w:w="482" w:type="pct"/>
                  <w:tcMar>
                    <w:top w:w="75" w:type="dxa"/>
                    <w:left w:w="75" w:type="dxa"/>
                    <w:bottom w:w="75" w:type="dxa"/>
                    <w:right w:w="75" w:type="dxa"/>
                  </w:tcMar>
                  <w:vAlign w:val="center"/>
                </w:tcPr>
                <w:p w14:paraId="3D55DE5D">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22</w:t>
                  </w:r>
                </w:p>
              </w:tc>
              <w:tc>
                <w:tcPr>
                  <w:tcW w:w="1872" w:type="pct"/>
                  <w:tcMar>
                    <w:top w:w="75" w:type="dxa"/>
                    <w:left w:w="75" w:type="dxa"/>
                    <w:bottom w:w="75" w:type="dxa"/>
                    <w:right w:w="75" w:type="dxa"/>
                  </w:tcMar>
                  <w:vAlign w:val="center"/>
                </w:tcPr>
                <w:p w14:paraId="22407C97">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完善大气污染防治综合治理体系，持续开展部门联防联控，加强与周边有关城市的联防联控。建立健全跨流域上下游突发水污染事件联防联控机制，加强研判预警、拦污控污、信息通报、协同处置、纠纷调处、基础保障等工作，防范重大生态环境风险。</w:t>
                  </w:r>
                </w:p>
              </w:tc>
              <w:tc>
                <w:tcPr>
                  <w:tcW w:w="1540" w:type="pct"/>
                  <w:tcMar>
                    <w:top w:w="75" w:type="dxa"/>
                    <w:left w:w="75" w:type="dxa"/>
                    <w:bottom w:w="75" w:type="dxa"/>
                    <w:right w:w="75" w:type="dxa"/>
                  </w:tcMar>
                  <w:vAlign w:val="center"/>
                </w:tcPr>
                <w:p w14:paraId="1EF873E4">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项目不涉及</w:t>
                  </w:r>
                </w:p>
              </w:tc>
            </w:tr>
            <w:tr w14:paraId="5BD1EC8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452" w:type="pct"/>
                  <w:vMerge w:val="restart"/>
                  <w:tcMar>
                    <w:top w:w="75" w:type="dxa"/>
                    <w:left w:w="75" w:type="dxa"/>
                    <w:bottom w:w="75" w:type="dxa"/>
                    <w:right w:w="75" w:type="dxa"/>
                  </w:tcMar>
                  <w:vAlign w:val="center"/>
                </w:tcPr>
                <w:p w14:paraId="7C2BE612">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资源利用效率要求</w:t>
                  </w:r>
                </w:p>
              </w:tc>
              <w:tc>
                <w:tcPr>
                  <w:tcW w:w="653" w:type="pct"/>
                  <w:tcMar>
                    <w:top w:w="75" w:type="dxa"/>
                    <w:left w:w="75" w:type="dxa"/>
                    <w:bottom w:w="75" w:type="dxa"/>
                    <w:right w:w="75" w:type="dxa"/>
                  </w:tcMar>
                  <w:vAlign w:val="center"/>
                </w:tcPr>
                <w:p w14:paraId="3B264A2F">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水资源利用总量要求</w:t>
                  </w:r>
                </w:p>
              </w:tc>
              <w:tc>
                <w:tcPr>
                  <w:tcW w:w="482" w:type="pct"/>
                  <w:tcMar>
                    <w:top w:w="75" w:type="dxa"/>
                    <w:left w:w="75" w:type="dxa"/>
                    <w:bottom w:w="75" w:type="dxa"/>
                    <w:right w:w="75" w:type="dxa"/>
                  </w:tcMar>
                  <w:vAlign w:val="center"/>
                </w:tcPr>
                <w:p w14:paraId="46F8BA7A">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23</w:t>
                  </w:r>
                </w:p>
              </w:tc>
              <w:tc>
                <w:tcPr>
                  <w:tcW w:w="1872" w:type="pct"/>
                  <w:tcMar>
                    <w:top w:w="75" w:type="dxa"/>
                    <w:left w:w="75" w:type="dxa"/>
                    <w:bottom w:w="75" w:type="dxa"/>
                    <w:right w:w="75" w:type="dxa"/>
                  </w:tcMar>
                  <w:vAlign w:val="center"/>
                </w:tcPr>
                <w:p w14:paraId="4F16A626">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到</w:t>
                  </w:r>
                  <w:r>
                    <w:rPr>
                      <w:color w:val="000000" w:themeColor="text1"/>
                      <w:sz w:val="18"/>
                      <w:szCs w:val="18"/>
                      <w14:textFill>
                        <w14:solidFill>
                          <w14:schemeClr w14:val="tx1"/>
                        </w14:solidFill>
                      </w14:textFill>
                    </w:rPr>
                    <w:t>2025</w:t>
                  </w:r>
                  <w:r>
                    <w:rPr>
                      <w:rFonts w:hint="eastAsia"/>
                      <w:color w:val="000000" w:themeColor="text1"/>
                      <w:sz w:val="18"/>
                      <w:szCs w:val="18"/>
                      <w14:textFill>
                        <w14:solidFill>
                          <w14:schemeClr w14:val="tx1"/>
                        </w14:solidFill>
                      </w14:textFill>
                    </w:rPr>
                    <w:t>年，全市用水总量控制在</w:t>
                  </w:r>
                  <w:r>
                    <w:rPr>
                      <w:color w:val="000000" w:themeColor="text1"/>
                      <w:sz w:val="18"/>
                      <w:szCs w:val="18"/>
                      <w14:textFill>
                        <w14:solidFill>
                          <w14:schemeClr w14:val="tx1"/>
                        </w14:solidFill>
                      </w14:textFill>
                    </w:rPr>
                    <w:t>9.27</w:t>
                  </w:r>
                  <w:r>
                    <w:rPr>
                      <w:rFonts w:hint="eastAsia"/>
                      <w:color w:val="000000" w:themeColor="text1"/>
                      <w:sz w:val="18"/>
                      <w:szCs w:val="18"/>
                      <w14:textFill>
                        <w14:solidFill>
                          <w14:schemeClr w14:val="tx1"/>
                        </w14:solidFill>
                      </w14:textFill>
                    </w:rPr>
                    <w:t>亿立方米以内，万元工业增加值用水量比</w:t>
                  </w:r>
                  <w:r>
                    <w:rPr>
                      <w:color w:val="000000" w:themeColor="text1"/>
                      <w:sz w:val="18"/>
                      <w:szCs w:val="18"/>
                      <w14:textFill>
                        <w14:solidFill>
                          <w14:schemeClr w14:val="tx1"/>
                        </w14:solidFill>
                      </w14:textFill>
                    </w:rPr>
                    <w:t>2020</w:t>
                  </w:r>
                  <w:r>
                    <w:rPr>
                      <w:rFonts w:hint="eastAsia"/>
                      <w:color w:val="000000" w:themeColor="text1"/>
                      <w:sz w:val="18"/>
                      <w:szCs w:val="18"/>
                      <w14:textFill>
                        <w14:solidFill>
                          <w14:schemeClr w14:val="tx1"/>
                        </w14:solidFill>
                      </w14:textFill>
                    </w:rPr>
                    <w:t>年下降</w:t>
                  </w:r>
                  <w:r>
                    <w:rPr>
                      <w:color w:val="000000" w:themeColor="text1"/>
                      <w:sz w:val="18"/>
                      <w:szCs w:val="18"/>
                      <w14:textFill>
                        <w14:solidFill>
                          <w14:schemeClr w14:val="tx1"/>
                        </w14:solidFill>
                      </w14:textFill>
                    </w:rPr>
                    <w:t>20%</w:t>
                  </w:r>
                  <w:r>
                    <w:rPr>
                      <w:rFonts w:hint="eastAsia"/>
                      <w:color w:val="000000" w:themeColor="text1"/>
                      <w:sz w:val="18"/>
                      <w:szCs w:val="18"/>
                      <w14:textFill>
                        <w14:solidFill>
                          <w14:schemeClr w14:val="tx1"/>
                        </w14:solidFill>
                      </w14:textFill>
                    </w:rPr>
                    <w:t>，农田灌溉水有效利用系数</w:t>
                  </w:r>
                  <w:r>
                    <w:rPr>
                      <w:color w:val="000000" w:themeColor="text1"/>
                      <w:sz w:val="18"/>
                      <w:szCs w:val="18"/>
                      <w14:textFill>
                        <w14:solidFill>
                          <w14:schemeClr w14:val="tx1"/>
                        </w14:solidFill>
                      </w14:textFill>
                    </w:rPr>
                    <w:t>0.522</w:t>
                  </w:r>
                  <w:r>
                    <w:rPr>
                      <w:rFonts w:hint="eastAsia"/>
                      <w:color w:val="000000" w:themeColor="text1"/>
                      <w:sz w:val="18"/>
                      <w:szCs w:val="18"/>
                      <w14:textFill>
                        <w14:solidFill>
                          <w14:schemeClr w14:val="tx1"/>
                        </w14:solidFill>
                      </w14:textFill>
                    </w:rPr>
                    <w:t>。</w:t>
                  </w:r>
                </w:p>
              </w:tc>
              <w:tc>
                <w:tcPr>
                  <w:tcW w:w="1540" w:type="pct"/>
                  <w:tcMar>
                    <w:top w:w="75" w:type="dxa"/>
                    <w:left w:w="75" w:type="dxa"/>
                    <w:bottom w:w="75" w:type="dxa"/>
                    <w:right w:w="75" w:type="dxa"/>
                  </w:tcMar>
                  <w:vAlign w:val="center"/>
                </w:tcPr>
                <w:p w14:paraId="32F0D2C0">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项目不涉及</w:t>
                  </w:r>
                </w:p>
              </w:tc>
            </w:tr>
            <w:tr w14:paraId="0F0037E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1F6B327C">
                  <w:pPr>
                    <w:widowControl/>
                    <w:rPr>
                      <w:color w:val="000000" w:themeColor="text1"/>
                      <w:sz w:val="18"/>
                      <w:szCs w:val="18"/>
                      <w14:textFill>
                        <w14:solidFill>
                          <w14:schemeClr w14:val="tx1"/>
                        </w14:solidFill>
                      </w14:textFill>
                    </w:rPr>
                  </w:pPr>
                </w:p>
              </w:tc>
              <w:tc>
                <w:tcPr>
                  <w:tcW w:w="653" w:type="pct"/>
                  <w:tcMar>
                    <w:top w:w="75" w:type="dxa"/>
                    <w:left w:w="75" w:type="dxa"/>
                    <w:bottom w:w="75" w:type="dxa"/>
                    <w:right w:w="75" w:type="dxa"/>
                  </w:tcMar>
                  <w:vAlign w:val="center"/>
                </w:tcPr>
                <w:p w14:paraId="6E7C912A">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地下水开采要求</w:t>
                  </w:r>
                </w:p>
              </w:tc>
              <w:tc>
                <w:tcPr>
                  <w:tcW w:w="482" w:type="pct"/>
                  <w:tcMar>
                    <w:top w:w="75" w:type="dxa"/>
                    <w:left w:w="75" w:type="dxa"/>
                    <w:bottom w:w="75" w:type="dxa"/>
                    <w:right w:w="75" w:type="dxa"/>
                  </w:tcMar>
                  <w:vAlign w:val="center"/>
                </w:tcPr>
                <w:p w14:paraId="3BD9FB75">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24</w:t>
                  </w:r>
                </w:p>
              </w:tc>
              <w:tc>
                <w:tcPr>
                  <w:tcW w:w="1872" w:type="pct"/>
                  <w:tcMar>
                    <w:top w:w="75" w:type="dxa"/>
                    <w:left w:w="75" w:type="dxa"/>
                    <w:bottom w:w="75" w:type="dxa"/>
                    <w:right w:w="75" w:type="dxa"/>
                  </w:tcMar>
                  <w:vAlign w:val="center"/>
                </w:tcPr>
                <w:p w14:paraId="34909371">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在地下水超采区，禁止农业、工业建设项目和服务业新增取用地下水，并逐步削减超采量，实现地下水采补平衡；严禁在城市自来水管网覆盖范围内打井取水，对原有自备水井要限期关闭。</w:t>
                  </w:r>
                </w:p>
              </w:tc>
              <w:tc>
                <w:tcPr>
                  <w:tcW w:w="1540" w:type="pct"/>
                  <w:tcMar>
                    <w:top w:w="75" w:type="dxa"/>
                    <w:left w:w="75" w:type="dxa"/>
                    <w:bottom w:w="75" w:type="dxa"/>
                    <w:right w:w="75" w:type="dxa"/>
                  </w:tcMar>
                  <w:vAlign w:val="center"/>
                </w:tcPr>
                <w:p w14:paraId="29752B05">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项目使用自来水，不涉及地下水开采</w:t>
                  </w:r>
                </w:p>
              </w:tc>
            </w:tr>
            <w:tr w14:paraId="51598F1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166D9800">
                  <w:pPr>
                    <w:widowControl/>
                    <w:rPr>
                      <w:color w:val="000000" w:themeColor="text1"/>
                      <w:sz w:val="18"/>
                      <w:szCs w:val="18"/>
                      <w14:textFill>
                        <w14:solidFill>
                          <w14:schemeClr w14:val="tx1"/>
                        </w14:solidFill>
                      </w14:textFill>
                    </w:rPr>
                  </w:pPr>
                </w:p>
              </w:tc>
              <w:tc>
                <w:tcPr>
                  <w:tcW w:w="653" w:type="pct"/>
                  <w:tcMar>
                    <w:top w:w="75" w:type="dxa"/>
                    <w:left w:w="75" w:type="dxa"/>
                    <w:bottom w:w="75" w:type="dxa"/>
                    <w:right w:w="75" w:type="dxa"/>
                  </w:tcMar>
                  <w:vAlign w:val="center"/>
                </w:tcPr>
                <w:p w14:paraId="056CEDE1">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能源利用总量及效率要求</w:t>
                  </w:r>
                </w:p>
              </w:tc>
              <w:tc>
                <w:tcPr>
                  <w:tcW w:w="482" w:type="pct"/>
                  <w:tcMar>
                    <w:top w:w="75" w:type="dxa"/>
                    <w:left w:w="75" w:type="dxa"/>
                    <w:bottom w:w="75" w:type="dxa"/>
                    <w:right w:w="75" w:type="dxa"/>
                  </w:tcMar>
                  <w:vAlign w:val="center"/>
                </w:tcPr>
                <w:p w14:paraId="3EEE74DB">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25</w:t>
                  </w:r>
                </w:p>
              </w:tc>
              <w:tc>
                <w:tcPr>
                  <w:tcW w:w="1872" w:type="pct"/>
                  <w:tcMar>
                    <w:top w:w="75" w:type="dxa"/>
                    <w:left w:w="75" w:type="dxa"/>
                    <w:bottom w:w="75" w:type="dxa"/>
                    <w:right w:w="75" w:type="dxa"/>
                  </w:tcMar>
                  <w:vAlign w:val="center"/>
                </w:tcPr>
                <w:p w14:paraId="5D05BE2A">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大力发展可再生能源，到</w:t>
                  </w:r>
                  <w:r>
                    <w:rPr>
                      <w:color w:val="000000" w:themeColor="text1"/>
                      <w:sz w:val="18"/>
                      <w:szCs w:val="18"/>
                      <w14:textFill>
                        <w14:solidFill>
                          <w14:schemeClr w14:val="tx1"/>
                        </w14:solidFill>
                      </w14:textFill>
                    </w:rPr>
                    <w:t>2025</w:t>
                  </w:r>
                  <w:r>
                    <w:rPr>
                      <w:rFonts w:hint="eastAsia"/>
                      <w:color w:val="000000" w:themeColor="text1"/>
                      <w:sz w:val="18"/>
                      <w:szCs w:val="18"/>
                      <w14:textFill>
                        <w14:solidFill>
                          <w14:schemeClr w14:val="tx1"/>
                        </w14:solidFill>
                      </w14:textFill>
                    </w:rPr>
                    <w:t>年，力争全市非化石能源占一次能源消费比重达</w:t>
                  </w:r>
                  <w:r>
                    <w:rPr>
                      <w:color w:val="000000" w:themeColor="text1"/>
                      <w:sz w:val="18"/>
                      <w:szCs w:val="18"/>
                      <w14:textFill>
                        <w14:solidFill>
                          <w14:schemeClr w14:val="tx1"/>
                        </w14:solidFill>
                      </w14:textFill>
                    </w:rPr>
                    <w:t>20%</w:t>
                  </w:r>
                  <w:r>
                    <w:rPr>
                      <w:rFonts w:hint="eastAsia"/>
                      <w:color w:val="000000" w:themeColor="text1"/>
                      <w:sz w:val="18"/>
                      <w:szCs w:val="18"/>
                      <w14:textFill>
                        <w14:solidFill>
                          <w14:schemeClr w14:val="tx1"/>
                        </w14:solidFill>
                      </w14:textFill>
                    </w:rPr>
                    <w:t>以上。到</w:t>
                  </w:r>
                  <w:r>
                    <w:rPr>
                      <w:color w:val="000000" w:themeColor="text1"/>
                      <w:sz w:val="18"/>
                      <w:szCs w:val="18"/>
                      <w14:textFill>
                        <w14:solidFill>
                          <w14:schemeClr w14:val="tx1"/>
                        </w14:solidFill>
                      </w14:textFill>
                    </w:rPr>
                    <w:t>2025</w:t>
                  </w:r>
                  <w:r>
                    <w:rPr>
                      <w:rFonts w:hint="eastAsia"/>
                      <w:color w:val="000000" w:themeColor="text1"/>
                      <w:sz w:val="18"/>
                      <w:szCs w:val="18"/>
                      <w14:textFill>
                        <w14:solidFill>
                          <w14:schemeClr w14:val="tx1"/>
                        </w14:solidFill>
                      </w14:textFill>
                    </w:rPr>
                    <w:t>年，全市单位地区生产总值能耗较</w:t>
                  </w:r>
                  <w:r>
                    <w:rPr>
                      <w:color w:val="000000" w:themeColor="text1"/>
                      <w:sz w:val="18"/>
                      <w:szCs w:val="18"/>
                      <w14:textFill>
                        <w14:solidFill>
                          <w14:schemeClr w14:val="tx1"/>
                        </w14:solidFill>
                      </w14:textFill>
                    </w:rPr>
                    <w:t>2020</w:t>
                  </w:r>
                  <w:r>
                    <w:rPr>
                      <w:rFonts w:hint="eastAsia"/>
                      <w:color w:val="000000" w:themeColor="text1"/>
                      <w:sz w:val="18"/>
                      <w:szCs w:val="18"/>
                      <w14:textFill>
                        <w14:solidFill>
                          <w14:schemeClr w14:val="tx1"/>
                        </w14:solidFill>
                      </w14:textFill>
                    </w:rPr>
                    <w:t>年降低</w:t>
                  </w:r>
                  <w:r>
                    <w:rPr>
                      <w:color w:val="000000" w:themeColor="text1"/>
                      <w:sz w:val="18"/>
                      <w:szCs w:val="18"/>
                      <w14:textFill>
                        <w14:solidFill>
                          <w14:schemeClr w14:val="tx1"/>
                        </w14:solidFill>
                      </w14:textFill>
                    </w:rPr>
                    <w:t>16.5%</w:t>
                  </w:r>
                  <w:r>
                    <w:rPr>
                      <w:rFonts w:hint="eastAsia"/>
                      <w:color w:val="000000" w:themeColor="text1"/>
                      <w:sz w:val="18"/>
                      <w:szCs w:val="18"/>
                      <w14:textFill>
                        <w14:solidFill>
                          <w14:schemeClr w14:val="tx1"/>
                        </w14:solidFill>
                      </w14:textFill>
                    </w:rPr>
                    <w:t>。</w:t>
                  </w:r>
                </w:p>
              </w:tc>
              <w:tc>
                <w:tcPr>
                  <w:tcW w:w="1540" w:type="pct"/>
                  <w:tcMar>
                    <w:top w:w="75" w:type="dxa"/>
                    <w:left w:w="75" w:type="dxa"/>
                    <w:bottom w:w="75" w:type="dxa"/>
                    <w:right w:w="75" w:type="dxa"/>
                  </w:tcMar>
                  <w:vAlign w:val="center"/>
                </w:tcPr>
                <w:p w14:paraId="405D2B79">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项目不涉及</w:t>
                  </w:r>
                </w:p>
              </w:tc>
            </w:tr>
            <w:tr w14:paraId="69FC1E5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0" w:type="auto"/>
                  <w:vMerge w:val="continue"/>
                  <w:vAlign w:val="center"/>
                </w:tcPr>
                <w:p w14:paraId="73D3E9F4">
                  <w:pPr>
                    <w:widowControl/>
                    <w:rPr>
                      <w:color w:val="000000" w:themeColor="text1"/>
                      <w:sz w:val="18"/>
                      <w:szCs w:val="18"/>
                      <w14:textFill>
                        <w14:solidFill>
                          <w14:schemeClr w14:val="tx1"/>
                        </w14:solidFill>
                      </w14:textFill>
                    </w:rPr>
                  </w:pPr>
                </w:p>
              </w:tc>
              <w:tc>
                <w:tcPr>
                  <w:tcW w:w="653" w:type="pct"/>
                  <w:tcMar>
                    <w:top w:w="75" w:type="dxa"/>
                    <w:left w:w="75" w:type="dxa"/>
                    <w:bottom w:w="75" w:type="dxa"/>
                    <w:right w:w="75" w:type="dxa"/>
                  </w:tcMar>
                  <w:vAlign w:val="center"/>
                </w:tcPr>
                <w:p w14:paraId="23C32C1B">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禁燃区要求</w:t>
                  </w:r>
                </w:p>
              </w:tc>
              <w:tc>
                <w:tcPr>
                  <w:tcW w:w="482" w:type="pct"/>
                  <w:tcMar>
                    <w:top w:w="75" w:type="dxa"/>
                    <w:left w:w="75" w:type="dxa"/>
                    <w:bottom w:w="75" w:type="dxa"/>
                    <w:right w:w="75" w:type="dxa"/>
                  </w:tcMar>
                  <w:vAlign w:val="center"/>
                </w:tcPr>
                <w:p w14:paraId="117FC208">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24</w:t>
                  </w:r>
                </w:p>
              </w:tc>
              <w:tc>
                <w:tcPr>
                  <w:tcW w:w="1872" w:type="pct"/>
                  <w:tcMar>
                    <w:top w:w="75" w:type="dxa"/>
                    <w:left w:w="75" w:type="dxa"/>
                    <w:bottom w:w="75" w:type="dxa"/>
                    <w:right w:w="75" w:type="dxa"/>
                  </w:tcMar>
                  <w:vAlign w:val="center"/>
                </w:tcPr>
                <w:p w14:paraId="6D43658D">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禁止在高污染燃料禁燃区内使用、销售高污染燃料，禁止新（改、扩）建高污染燃料燃用设施。除发电厂燃煤锅炉（含自备电厂）外，禁燃区范围现有燃煤设施全部予以拆除或进行清洁能源改造；发电厂燃煤锅炉（含自备电厂）排放的大气污染物实现超低排放要求。</w:t>
                  </w:r>
                </w:p>
              </w:tc>
              <w:tc>
                <w:tcPr>
                  <w:tcW w:w="1540" w:type="pct"/>
                  <w:tcMar>
                    <w:top w:w="75" w:type="dxa"/>
                    <w:left w:w="75" w:type="dxa"/>
                    <w:bottom w:w="75" w:type="dxa"/>
                    <w:right w:w="75" w:type="dxa"/>
                  </w:tcMar>
                  <w:vAlign w:val="center"/>
                </w:tcPr>
                <w:p w14:paraId="4D9BB859">
                  <w:pPr>
                    <w:adjustRightInd w:val="0"/>
                    <w:snapToGrid w:val="0"/>
                    <w:jc w:val="center"/>
                    <w:rPr>
                      <w:color w:val="000000" w:themeColor="text1"/>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项目不涉及高污染燃料的使用。</w:t>
                  </w:r>
                </w:p>
              </w:tc>
            </w:tr>
          </w:tbl>
          <w:p w14:paraId="08252B61">
            <w:pPr>
              <w:pStyle w:val="222"/>
              <w:widowControl w:val="0"/>
              <w:autoSpaceDE/>
              <w:autoSpaceDN/>
              <w:snapToGrid w:val="0"/>
              <w:spacing w:line="240" w:lineRule="auto"/>
              <w:ind w:firstLine="0" w:firstLineChars="0"/>
              <w:jc w:val="center"/>
              <w:rPr>
                <w:b/>
                <w:bCs/>
                <w:color w:val="000000" w:themeColor="text1"/>
                <w14:textFill>
                  <w14:solidFill>
                    <w14:schemeClr w14:val="tx1"/>
                  </w14:solidFill>
                </w14:textFill>
              </w:rPr>
            </w:pPr>
          </w:p>
          <w:p w14:paraId="14FDE30F">
            <w:pPr>
              <w:pStyle w:val="222"/>
              <w:widowControl w:val="0"/>
              <w:autoSpaceDE/>
              <w:autoSpaceDN/>
              <w:snapToGrid w:val="0"/>
              <w:spacing w:line="240" w:lineRule="auto"/>
              <w:ind w:firstLine="0" w:firstLineChars="0"/>
              <w:jc w:val="center"/>
              <w:rPr>
                <w:b/>
                <w:bCs/>
                <w:color w:val="000000" w:themeColor="text1"/>
                <w14:textFill>
                  <w14:solidFill>
                    <w14:schemeClr w14:val="tx1"/>
                  </w14:solidFill>
                </w14:textFill>
              </w:rPr>
            </w:pPr>
            <w:r>
              <w:rPr>
                <w:b/>
                <w:bCs/>
                <w:color w:val="000000" w:themeColor="text1"/>
                <w14:textFill>
                  <w14:solidFill>
                    <w14:schemeClr w14:val="tx1"/>
                  </w14:solidFill>
                </w14:textFill>
              </w:rPr>
              <w:t>表1-</w:t>
            </w:r>
            <w:r>
              <w:rPr>
                <w:rFonts w:hint="eastAsia"/>
                <w:b/>
                <w:bCs/>
                <w:color w:val="000000" w:themeColor="text1"/>
                <w14:textFill>
                  <w14:solidFill>
                    <w14:schemeClr w14:val="tx1"/>
                  </w14:solidFill>
                </w14:textFill>
              </w:rPr>
              <w:t>5</w:t>
            </w:r>
            <w:r>
              <w:rPr>
                <w:b/>
                <w:bCs/>
                <w:color w:val="000000" w:themeColor="text1"/>
                <w14:textFill>
                  <w14:solidFill>
                    <w14:schemeClr w14:val="tx1"/>
                  </w14:solidFill>
                </w14:textFill>
              </w:rPr>
              <w:t xml:space="preserve">  </w:t>
            </w:r>
            <w:r>
              <w:rPr>
                <w:rFonts w:hint="eastAsia"/>
                <w:b/>
                <w:bCs/>
                <w:color w:val="000000" w:themeColor="text1"/>
                <w14:textFill>
                  <w14:solidFill>
                    <w14:schemeClr w14:val="tx1"/>
                  </w14:solidFill>
                </w14:textFill>
              </w:rPr>
              <w:t>乐平市重点管控单元1（编码：</w:t>
            </w:r>
            <w:bookmarkStart w:id="13" w:name="OLE_LINK7"/>
            <w:r>
              <w:rPr>
                <w:b/>
                <w:bCs/>
                <w:color w:val="000000" w:themeColor="text1"/>
                <w14:textFill>
                  <w14:solidFill>
                    <w14:schemeClr w14:val="tx1"/>
                  </w14:solidFill>
                </w14:textFill>
              </w:rPr>
              <w:t>ZH36028120001</w:t>
            </w:r>
            <w:bookmarkEnd w:id="13"/>
            <w:r>
              <w:rPr>
                <w:rFonts w:hint="eastAsia"/>
                <w:b/>
                <w:bCs/>
                <w:color w:val="000000" w:themeColor="text1"/>
                <w14:textFill>
                  <w14:solidFill>
                    <w14:schemeClr w14:val="tx1"/>
                  </w14:solidFill>
                </w14:textFill>
              </w:rPr>
              <w:t>）准入清单</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806"/>
              <w:gridCol w:w="744"/>
              <w:gridCol w:w="265"/>
              <w:gridCol w:w="1291"/>
              <w:gridCol w:w="2997"/>
              <w:gridCol w:w="1750"/>
            </w:tblGrid>
            <w:tr w14:paraId="01D5322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3886" w:type="pct"/>
                  <w:gridSpan w:val="5"/>
                  <w:vAlign w:val="center"/>
                </w:tcPr>
                <w:p w14:paraId="6AFC807A">
                  <w:pPr>
                    <w:adjustRightInd w:val="0"/>
                    <w:snapToGrid w:val="0"/>
                    <w:jc w:val="center"/>
                    <w:rPr>
                      <w:b/>
                      <w:bCs/>
                      <w:color w:val="000000" w:themeColor="text1"/>
                      <w:kern w:val="0"/>
                      <w:sz w:val="18"/>
                      <w:szCs w:val="18"/>
                      <w14:textFill>
                        <w14:solidFill>
                          <w14:schemeClr w14:val="tx1"/>
                        </w14:solidFill>
                      </w14:textFill>
                    </w:rPr>
                  </w:pPr>
                  <w:r>
                    <w:rPr>
                      <w:rFonts w:hint="eastAsia"/>
                      <w:b/>
                      <w:bCs/>
                      <w:color w:val="000000" w:themeColor="text1"/>
                      <w:kern w:val="0"/>
                      <w:sz w:val="18"/>
                      <w:szCs w:val="18"/>
                      <w14:textFill>
                        <w14:solidFill>
                          <w14:schemeClr w14:val="tx1"/>
                        </w14:solidFill>
                      </w14:textFill>
                    </w:rPr>
                    <w:t>管控单位要求</w:t>
                  </w:r>
                </w:p>
              </w:tc>
              <w:tc>
                <w:tcPr>
                  <w:tcW w:w="1114" w:type="pct"/>
                  <w:vAlign w:val="center"/>
                </w:tcPr>
                <w:p w14:paraId="73D9B3D7">
                  <w:pPr>
                    <w:adjustRightInd w:val="0"/>
                    <w:snapToGrid w:val="0"/>
                    <w:jc w:val="center"/>
                    <w:rPr>
                      <w:b/>
                      <w:bCs/>
                      <w:color w:val="000000" w:themeColor="text1"/>
                      <w:kern w:val="0"/>
                      <w:sz w:val="18"/>
                      <w:szCs w:val="18"/>
                      <w14:textFill>
                        <w14:solidFill>
                          <w14:schemeClr w14:val="tx1"/>
                        </w14:solidFill>
                      </w14:textFill>
                    </w:rPr>
                  </w:pPr>
                  <w:r>
                    <w:rPr>
                      <w:rFonts w:hint="eastAsia"/>
                      <w:b/>
                      <w:bCs/>
                      <w:color w:val="000000" w:themeColor="text1"/>
                      <w:kern w:val="0"/>
                      <w:sz w:val="18"/>
                      <w:szCs w:val="18"/>
                      <w14:textFill>
                        <w14:solidFill>
                          <w14:schemeClr w14:val="tx1"/>
                        </w14:solidFill>
                      </w14:textFill>
                    </w:rPr>
                    <w:t>本项目情况</w:t>
                  </w:r>
                </w:p>
              </w:tc>
            </w:tr>
            <w:tr w14:paraId="2E01D34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restart"/>
                  <w:vAlign w:val="center"/>
                </w:tcPr>
                <w:p w14:paraId="6AF0A234">
                  <w:pPr>
                    <w:adjustRightInd w:val="0"/>
                    <w:snapToGrid w:val="0"/>
                    <w:jc w:val="center"/>
                    <w:rPr>
                      <w:b/>
                      <w:bCs/>
                      <w:color w:val="000000" w:themeColor="text1"/>
                      <w:kern w:val="0"/>
                      <w:sz w:val="18"/>
                      <w:szCs w:val="18"/>
                      <w14:textFill>
                        <w14:solidFill>
                          <w14:schemeClr w14:val="tx1"/>
                        </w14:solidFill>
                      </w14:textFill>
                    </w:rPr>
                  </w:pPr>
                  <w:r>
                    <w:rPr>
                      <w:rFonts w:hint="eastAsia"/>
                      <w:b/>
                      <w:bCs/>
                      <w:color w:val="000000" w:themeColor="text1"/>
                      <w:kern w:val="0"/>
                      <w:sz w:val="18"/>
                      <w:szCs w:val="18"/>
                      <w14:textFill>
                        <w14:solidFill>
                          <w14:schemeClr w14:val="tx1"/>
                        </w14:solidFill>
                      </w14:textFill>
                    </w:rPr>
                    <w:t>空间布局约束</w:t>
                  </w:r>
                </w:p>
              </w:tc>
              <w:tc>
                <w:tcPr>
                  <w:tcW w:w="1465" w:type="pct"/>
                  <w:gridSpan w:val="3"/>
                  <w:vAlign w:val="center"/>
                </w:tcPr>
                <w:p w14:paraId="2C8BA805">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禁止开发建设活动的要求</w:t>
                  </w:r>
                </w:p>
              </w:tc>
              <w:tc>
                <w:tcPr>
                  <w:tcW w:w="1908" w:type="pct"/>
                  <w:vAlign w:val="center"/>
                </w:tcPr>
                <w:p w14:paraId="04B98D6E">
                  <w:pPr>
                    <w:adjustRightInd w:val="0"/>
                    <w:snapToGrid w:val="0"/>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禁止新建落后产能或产能严重过剩行业的建设项目。</w:t>
                  </w:r>
                </w:p>
              </w:tc>
              <w:tc>
                <w:tcPr>
                  <w:tcW w:w="1114" w:type="pct"/>
                  <w:vMerge w:val="restart"/>
                  <w:vAlign w:val="center"/>
                </w:tcPr>
                <w:p w14:paraId="5D735E9F">
                  <w:pPr>
                    <w:pStyle w:val="477"/>
                    <w:spacing w:line="240" w:lineRule="auto"/>
                    <w:ind w:firstLine="0" w:firstLineChars="0"/>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项目不属于落后和产能严重过剩项目。</w:t>
                  </w:r>
                </w:p>
              </w:tc>
            </w:tr>
            <w:tr w14:paraId="1784E6F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17140D23">
                  <w:pPr>
                    <w:widowControl/>
                    <w:rPr>
                      <w:b/>
                      <w:bCs/>
                      <w:color w:val="000000" w:themeColor="text1"/>
                      <w:kern w:val="0"/>
                      <w:sz w:val="18"/>
                      <w:szCs w:val="18"/>
                      <w14:textFill>
                        <w14:solidFill>
                          <w14:schemeClr w14:val="tx1"/>
                        </w14:solidFill>
                      </w14:textFill>
                    </w:rPr>
                  </w:pPr>
                </w:p>
              </w:tc>
              <w:tc>
                <w:tcPr>
                  <w:tcW w:w="1465" w:type="pct"/>
                  <w:gridSpan w:val="3"/>
                  <w:vAlign w:val="center"/>
                </w:tcPr>
                <w:p w14:paraId="7748BB39">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限制开发建设活动的要求</w:t>
                  </w:r>
                </w:p>
              </w:tc>
              <w:tc>
                <w:tcPr>
                  <w:tcW w:w="1908" w:type="pct"/>
                  <w:vAlign w:val="center"/>
                </w:tcPr>
                <w:p w14:paraId="3C436CCC">
                  <w:pPr>
                    <w:adjustRightInd w:val="0"/>
                    <w:snapToGrid w:val="0"/>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严格限制落后产能或产能严重过剩行业的改扩建。</w:t>
                  </w:r>
                </w:p>
              </w:tc>
              <w:tc>
                <w:tcPr>
                  <w:tcW w:w="1114" w:type="pct"/>
                  <w:vMerge w:val="continue"/>
                  <w:vAlign w:val="center"/>
                </w:tcPr>
                <w:p w14:paraId="01B1A7F4">
                  <w:pPr>
                    <w:widowControl/>
                    <w:rPr>
                      <w:color w:val="000000" w:themeColor="text1"/>
                      <w:kern w:val="0"/>
                      <w:sz w:val="18"/>
                      <w:szCs w:val="18"/>
                      <w14:textFill>
                        <w14:solidFill>
                          <w14:schemeClr w14:val="tx1"/>
                        </w14:solidFill>
                      </w14:textFill>
                    </w:rPr>
                  </w:pPr>
                </w:p>
              </w:tc>
            </w:tr>
            <w:tr w14:paraId="086ACCF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609CD1AB">
                  <w:pPr>
                    <w:widowControl/>
                    <w:rPr>
                      <w:b/>
                      <w:bCs/>
                      <w:color w:val="000000" w:themeColor="text1"/>
                      <w:kern w:val="0"/>
                      <w:sz w:val="18"/>
                      <w:szCs w:val="18"/>
                      <w14:textFill>
                        <w14:solidFill>
                          <w14:schemeClr w14:val="tx1"/>
                        </w14:solidFill>
                      </w14:textFill>
                    </w:rPr>
                  </w:pPr>
                </w:p>
              </w:tc>
              <w:tc>
                <w:tcPr>
                  <w:tcW w:w="1465" w:type="pct"/>
                  <w:gridSpan w:val="3"/>
                  <w:vAlign w:val="center"/>
                </w:tcPr>
                <w:p w14:paraId="7B247259">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允许开发建设活动的要求</w:t>
                  </w:r>
                </w:p>
              </w:tc>
              <w:tc>
                <w:tcPr>
                  <w:tcW w:w="1908" w:type="pct"/>
                  <w:vAlign w:val="center"/>
                </w:tcPr>
                <w:p w14:paraId="4043A962">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符合园区国土空间规划、产业布局、主导产业及配套产业类型的项目。</w:t>
                  </w:r>
                </w:p>
              </w:tc>
              <w:tc>
                <w:tcPr>
                  <w:tcW w:w="1114" w:type="pct"/>
                  <w:vMerge w:val="restart"/>
                  <w:vAlign w:val="center"/>
                </w:tcPr>
                <w:p w14:paraId="7EC5E18D">
                  <w:pPr>
                    <w:pStyle w:val="477"/>
                    <w:spacing w:line="240" w:lineRule="auto"/>
                    <w:ind w:firstLine="0" w:firstLineChars="0"/>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项目属于金山工业园潜力产业发展项目</w:t>
                  </w:r>
                </w:p>
              </w:tc>
            </w:tr>
            <w:tr w14:paraId="26E8B57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04460B8E">
                  <w:pPr>
                    <w:widowControl/>
                    <w:rPr>
                      <w:b/>
                      <w:bCs/>
                      <w:color w:val="000000" w:themeColor="text1"/>
                      <w:kern w:val="0"/>
                      <w:sz w:val="18"/>
                      <w:szCs w:val="18"/>
                      <w14:textFill>
                        <w14:solidFill>
                          <w14:schemeClr w14:val="tx1"/>
                        </w14:solidFill>
                      </w14:textFill>
                    </w:rPr>
                  </w:pPr>
                </w:p>
              </w:tc>
              <w:tc>
                <w:tcPr>
                  <w:tcW w:w="1465" w:type="pct"/>
                  <w:gridSpan w:val="3"/>
                  <w:vAlign w:val="center"/>
                </w:tcPr>
                <w:p w14:paraId="0E3608AD">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不符合空间布局要求活动的退出要求</w:t>
                  </w:r>
                </w:p>
              </w:tc>
              <w:tc>
                <w:tcPr>
                  <w:tcW w:w="1908" w:type="pct"/>
                  <w:vAlign w:val="center"/>
                </w:tcPr>
                <w:p w14:paraId="49F79044">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现有不符合园区国土空间规划、产业布局要求的项目，应结合园区发展要求，逐步退出或关停。</w:t>
                  </w:r>
                </w:p>
              </w:tc>
              <w:tc>
                <w:tcPr>
                  <w:tcW w:w="1114" w:type="pct"/>
                  <w:vMerge w:val="continue"/>
                  <w:vAlign w:val="center"/>
                </w:tcPr>
                <w:p w14:paraId="39665C1E">
                  <w:pPr>
                    <w:widowControl/>
                    <w:rPr>
                      <w:color w:val="000000" w:themeColor="text1"/>
                      <w:kern w:val="0"/>
                      <w:sz w:val="18"/>
                      <w:szCs w:val="18"/>
                      <w14:textFill>
                        <w14:solidFill>
                          <w14:schemeClr w14:val="tx1"/>
                        </w14:solidFill>
                      </w14:textFill>
                    </w:rPr>
                  </w:pPr>
                </w:p>
              </w:tc>
            </w:tr>
            <w:tr w14:paraId="574D931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4885F2B7">
                  <w:pPr>
                    <w:widowControl/>
                    <w:rPr>
                      <w:b/>
                      <w:bCs/>
                      <w:color w:val="000000" w:themeColor="text1"/>
                      <w:kern w:val="0"/>
                      <w:sz w:val="18"/>
                      <w:szCs w:val="18"/>
                      <w14:textFill>
                        <w14:solidFill>
                          <w14:schemeClr w14:val="tx1"/>
                        </w14:solidFill>
                      </w14:textFill>
                    </w:rPr>
                  </w:pPr>
                </w:p>
              </w:tc>
              <w:tc>
                <w:tcPr>
                  <w:tcW w:w="1465" w:type="pct"/>
                  <w:gridSpan w:val="3"/>
                  <w:vAlign w:val="center"/>
                </w:tcPr>
                <w:p w14:paraId="55BD2C92">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其他空间布局约束要求</w:t>
                  </w:r>
                </w:p>
              </w:tc>
              <w:tc>
                <w:tcPr>
                  <w:tcW w:w="1908" w:type="pct"/>
                  <w:vAlign w:val="center"/>
                </w:tcPr>
                <w:p w14:paraId="5563D1ED">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c>
                <w:tcPr>
                  <w:tcW w:w="1114" w:type="pct"/>
                  <w:vAlign w:val="center"/>
                </w:tcPr>
                <w:p w14:paraId="717958B9">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r>
            <w:tr w14:paraId="006A24D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restart"/>
                  <w:vAlign w:val="center"/>
                </w:tcPr>
                <w:p w14:paraId="560FAF58">
                  <w:pPr>
                    <w:adjustRightInd w:val="0"/>
                    <w:snapToGrid w:val="0"/>
                    <w:jc w:val="center"/>
                    <w:rPr>
                      <w:b/>
                      <w:bCs/>
                      <w:color w:val="000000" w:themeColor="text1"/>
                      <w:kern w:val="0"/>
                      <w:sz w:val="18"/>
                      <w:szCs w:val="18"/>
                      <w14:textFill>
                        <w14:solidFill>
                          <w14:schemeClr w14:val="tx1"/>
                        </w14:solidFill>
                      </w14:textFill>
                    </w:rPr>
                  </w:pPr>
                  <w:r>
                    <w:rPr>
                      <w:rFonts w:hint="eastAsia"/>
                      <w:b/>
                      <w:bCs/>
                      <w:color w:val="000000" w:themeColor="text1"/>
                      <w:kern w:val="0"/>
                      <w:sz w:val="18"/>
                      <w:szCs w:val="18"/>
                      <w14:textFill>
                        <w14:solidFill>
                          <w14:schemeClr w14:val="tx1"/>
                        </w14:solidFill>
                      </w14:textFill>
                    </w:rPr>
                    <w:t>污染物排放管控</w:t>
                  </w:r>
                </w:p>
              </w:tc>
              <w:tc>
                <w:tcPr>
                  <w:tcW w:w="1465" w:type="pct"/>
                  <w:gridSpan w:val="3"/>
                  <w:vAlign w:val="center"/>
                </w:tcPr>
                <w:p w14:paraId="32C69757">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现有源提标升级改造</w:t>
                  </w:r>
                </w:p>
              </w:tc>
              <w:tc>
                <w:tcPr>
                  <w:tcW w:w="1908" w:type="pct"/>
                  <w:vAlign w:val="center"/>
                </w:tcPr>
                <w:p w14:paraId="07A8AC51">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现有未达标排放企业应限期提标改造，达到相应的国家及地方污染物排放标准和总量控制要求。</w:t>
                  </w:r>
                </w:p>
              </w:tc>
              <w:tc>
                <w:tcPr>
                  <w:tcW w:w="1114" w:type="pct"/>
                  <w:vAlign w:val="center"/>
                </w:tcPr>
                <w:p w14:paraId="6CE74C61">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项目为扩建项目</w:t>
                  </w:r>
                </w:p>
              </w:tc>
            </w:tr>
            <w:tr w14:paraId="3623D09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031432D6">
                  <w:pPr>
                    <w:widowControl/>
                    <w:rPr>
                      <w:b/>
                      <w:bCs/>
                      <w:color w:val="000000" w:themeColor="text1"/>
                      <w:kern w:val="0"/>
                      <w:sz w:val="18"/>
                      <w:szCs w:val="18"/>
                      <w14:textFill>
                        <w14:solidFill>
                          <w14:schemeClr w14:val="tx1"/>
                        </w14:solidFill>
                      </w14:textFill>
                    </w:rPr>
                  </w:pPr>
                </w:p>
              </w:tc>
              <w:tc>
                <w:tcPr>
                  <w:tcW w:w="1465" w:type="pct"/>
                  <w:gridSpan w:val="3"/>
                  <w:vAlign w:val="center"/>
                </w:tcPr>
                <w:p w14:paraId="38EEF058">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新增源等量或倍量替代</w:t>
                  </w:r>
                </w:p>
              </w:tc>
              <w:tc>
                <w:tcPr>
                  <w:tcW w:w="1908" w:type="pct"/>
                  <w:vAlign w:val="center"/>
                </w:tcPr>
                <w:p w14:paraId="41873293">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所在区域、流域控制单元环境质量未达到标准的，新建水污染物排放、大气污染物排放的项目应等量或倍量替代</w:t>
                  </w:r>
                </w:p>
              </w:tc>
              <w:tc>
                <w:tcPr>
                  <w:tcW w:w="1114" w:type="pct"/>
                  <w:vAlign w:val="center"/>
                </w:tcPr>
                <w:p w14:paraId="7AAC1162">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项目所在区域、流域控制单元环境质量达到标准</w:t>
                  </w:r>
                </w:p>
              </w:tc>
            </w:tr>
            <w:tr w14:paraId="1B9E0DF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17061197">
                  <w:pPr>
                    <w:widowControl/>
                    <w:rPr>
                      <w:b/>
                      <w:bCs/>
                      <w:color w:val="000000" w:themeColor="text1"/>
                      <w:kern w:val="0"/>
                      <w:sz w:val="18"/>
                      <w:szCs w:val="18"/>
                      <w14:textFill>
                        <w14:solidFill>
                          <w14:schemeClr w14:val="tx1"/>
                        </w14:solidFill>
                      </w14:textFill>
                    </w:rPr>
                  </w:pPr>
                </w:p>
              </w:tc>
              <w:tc>
                <w:tcPr>
                  <w:tcW w:w="1465" w:type="pct"/>
                  <w:gridSpan w:val="3"/>
                  <w:vAlign w:val="center"/>
                </w:tcPr>
                <w:p w14:paraId="5EDD9470">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新增源排放标准限制</w:t>
                  </w:r>
                </w:p>
              </w:tc>
              <w:tc>
                <w:tcPr>
                  <w:tcW w:w="1908" w:type="pct"/>
                  <w:vAlign w:val="center"/>
                </w:tcPr>
                <w:p w14:paraId="75946A92">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新建有污染物排放的项目，其污染物排放应达到国家或地方规定的排放限值（含特别排放限值）要求。</w:t>
                  </w:r>
                </w:p>
              </w:tc>
              <w:tc>
                <w:tcPr>
                  <w:tcW w:w="1114" w:type="pct"/>
                  <w:vAlign w:val="center"/>
                </w:tcPr>
                <w:p w14:paraId="59C953BB">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项目污染物能达标排放</w:t>
                  </w:r>
                </w:p>
              </w:tc>
            </w:tr>
            <w:tr w14:paraId="028EB96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198A9F30">
                  <w:pPr>
                    <w:widowControl/>
                    <w:rPr>
                      <w:b/>
                      <w:bCs/>
                      <w:color w:val="000000" w:themeColor="text1"/>
                      <w:kern w:val="0"/>
                      <w:sz w:val="18"/>
                      <w:szCs w:val="18"/>
                      <w14:textFill>
                        <w14:solidFill>
                          <w14:schemeClr w14:val="tx1"/>
                        </w14:solidFill>
                      </w14:textFill>
                    </w:rPr>
                  </w:pPr>
                </w:p>
              </w:tc>
              <w:tc>
                <w:tcPr>
                  <w:tcW w:w="1465" w:type="pct"/>
                  <w:gridSpan w:val="3"/>
                  <w:vAlign w:val="center"/>
                </w:tcPr>
                <w:p w14:paraId="7609C1D6">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污染物排放绩效水平准入要求</w:t>
                  </w:r>
                </w:p>
              </w:tc>
              <w:tc>
                <w:tcPr>
                  <w:tcW w:w="1908" w:type="pct"/>
                  <w:vAlign w:val="center"/>
                </w:tcPr>
                <w:p w14:paraId="6F5E20EE">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污染物排放应达到相应的国家及地方污染物排放标准和总量控制要求</w:t>
                  </w:r>
                </w:p>
              </w:tc>
              <w:tc>
                <w:tcPr>
                  <w:tcW w:w="1114" w:type="pct"/>
                  <w:vAlign w:val="center"/>
                </w:tcPr>
                <w:p w14:paraId="092243C6">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项目污染物能达标排放，已取得总量控制文件。</w:t>
                  </w:r>
                </w:p>
              </w:tc>
            </w:tr>
            <w:tr w14:paraId="7A8AA3F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386B8048">
                  <w:pPr>
                    <w:widowControl/>
                    <w:rPr>
                      <w:b/>
                      <w:bCs/>
                      <w:color w:val="000000" w:themeColor="text1"/>
                      <w:kern w:val="0"/>
                      <w:sz w:val="18"/>
                      <w:szCs w:val="18"/>
                      <w14:textFill>
                        <w14:solidFill>
                          <w14:schemeClr w14:val="tx1"/>
                        </w14:solidFill>
                      </w14:textFill>
                    </w:rPr>
                  </w:pPr>
                </w:p>
              </w:tc>
              <w:tc>
                <w:tcPr>
                  <w:tcW w:w="1465" w:type="pct"/>
                  <w:gridSpan w:val="3"/>
                  <w:vAlign w:val="center"/>
                </w:tcPr>
                <w:p w14:paraId="0F25182A">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其他污染物排放管控要求</w:t>
                  </w:r>
                </w:p>
              </w:tc>
              <w:tc>
                <w:tcPr>
                  <w:tcW w:w="1908" w:type="pct"/>
                  <w:vAlign w:val="center"/>
                </w:tcPr>
                <w:p w14:paraId="1D1CAABF">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c>
                <w:tcPr>
                  <w:tcW w:w="1114" w:type="pct"/>
                  <w:vAlign w:val="center"/>
                </w:tcPr>
                <w:p w14:paraId="6FCF30A9">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r>
            <w:tr w14:paraId="579BCB4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restart"/>
                  <w:vAlign w:val="center"/>
                </w:tcPr>
                <w:p w14:paraId="33C18CE8">
                  <w:pPr>
                    <w:adjustRightInd w:val="0"/>
                    <w:snapToGrid w:val="0"/>
                    <w:jc w:val="center"/>
                    <w:rPr>
                      <w:b/>
                      <w:bCs/>
                      <w:color w:val="000000" w:themeColor="text1"/>
                      <w:kern w:val="0"/>
                      <w:sz w:val="18"/>
                      <w:szCs w:val="18"/>
                      <w14:textFill>
                        <w14:solidFill>
                          <w14:schemeClr w14:val="tx1"/>
                        </w14:solidFill>
                      </w14:textFill>
                    </w:rPr>
                  </w:pPr>
                  <w:r>
                    <w:rPr>
                      <w:rFonts w:hint="eastAsia"/>
                      <w:b/>
                      <w:bCs/>
                      <w:color w:val="000000" w:themeColor="text1"/>
                      <w:kern w:val="0"/>
                      <w:sz w:val="18"/>
                      <w:szCs w:val="18"/>
                      <w14:textFill>
                        <w14:solidFill>
                          <w14:schemeClr w14:val="tx1"/>
                        </w14:solidFill>
                      </w14:textFill>
                    </w:rPr>
                    <w:t>环境风险管控</w:t>
                  </w:r>
                </w:p>
              </w:tc>
              <w:tc>
                <w:tcPr>
                  <w:tcW w:w="474" w:type="pct"/>
                  <w:vMerge w:val="restart"/>
                  <w:vAlign w:val="center"/>
                </w:tcPr>
                <w:p w14:paraId="23476717">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用地环境风险防控要求</w:t>
                  </w:r>
                </w:p>
              </w:tc>
              <w:tc>
                <w:tcPr>
                  <w:tcW w:w="991" w:type="pct"/>
                  <w:gridSpan w:val="2"/>
                  <w:vAlign w:val="center"/>
                </w:tcPr>
                <w:p w14:paraId="054AA9C9">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严格管控类农用地环境风险防控要求</w:t>
                  </w:r>
                </w:p>
              </w:tc>
              <w:tc>
                <w:tcPr>
                  <w:tcW w:w="1908" w:type="pct"/>
                  <w:vAlign w:val="center"/>
                </w:tcPr>
                <w:p w14:paraId="1C6041FD">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c>
                <w:tcPr>
                  <w:tcW w:w="1114" w:type="pct"/>
                  <w:vAlign w:val="center"/>
                </w:tcPr>
                <w:p w14:paraId="33D042B4">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r>
            <w:tr w14:paraId="74557EF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0ED26579">
                  <w:pPr>
                    <w:widowControl/>
                    <w:rPr>
                      <w:b/>
                      <w:bCs/>
                      <w:color w:val="000000" w:themeColor="text1"/>
                      <w:kern w:val="0"/>
                      <w:sz w:val="18"/>
                      <w:szCs w:val="18"/>
                      <w14:textFill>
                        <w14:solidFill>
                          <w14:schemeClr w14:val="tx1"/>
                        </w14:solidFill>
                      </w14:textFill>
                    </w:rPr>
                  </w:pPr>
                </w:p>
              </w:tc>
              <w:tc>
                <w:tcPr>
                  <w:tcW w:w="474" w:type="pct"/>
                  <w:vMerge w:val="continue"/>
                  <w:vAlign w:val="center"/>
                </w:tcPr>
                <w:p w14:paraId="388B7E0B">
                  <w:pPr>
                    <w:widowControl/>
                    <w:rPr>
                      <w:color w:val="000000" w:themeColor="text1"/>
                      <w:kern w:val="0"/>
                      <w:sz w:val="18"/>
                      <w:szCs w:val="18"/>
                      <w14:textFill>
                        <w14:solidFill>
                          <w14:schemeClr w14:val="tx1"/>
                        </w14:solidFill>
                      </w14:textFill>
                    </w:rPr>
                  </w:pPr>
                </w:p>
              </w:tc>
              <w:tc>
                <w:tcPr>
                  <w:tcW w:w="991" w:type="pct"/>
                  <w:gridSpan w:val="2"/>
                  <w:vAlign w:val="center"/>
                </w:tcPr>
                <w:p w14:paraId="5A6F307B">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安全利用类农用地环境风险防控要求</w:t>
                  </w:r>
                </w:p>
              </w:tc>
              <w:tc>
                <w:tcPr>
                  <w:tcW w:w="1908" w:type="pct"/>
                  <w:vAlign w:val="center"/>
                </w:tcPr>
                <w:p w14:paraId="76A3B945">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c>
                <w:tcPr>
                  <w:tcW w:w="1114" w:type="pct"/>
                  <w:vAlign w:val="center"/>
                </w:tcPr>
                <w:p w14:paraId="02077D10">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r>
            <w:tr w14:paraId="7E24C48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0EF5A840">
                  <w:pPr>
                    <w:widowControl/>
                    <w:rPr>
                      <w:b/>
                      <w:bCs/>
                      <w:color w:val="000000" w:themeColor="text1"/>
                      <w:kern w:val="0"/>
                      <w:sz w:val="18"/>
                      <w:szCs w:val="18"/>
                      <w14:textFill>
                        <w14:solidFill>
                          <w14:schemeClr w14:val="tx1"/>
                        </w14:solidFill>
                      </w14:textFill>
                    </w:rPr>
                  </w:pPr>
                </w:p>
              </w:tc>
              <w:tc>
                <w:tcPr>
                  <w:tcW w:w="474" w:type="pct"/>
                  <w:vMerge w:val="continue"/>
                  <w:vAlign w:val="center"/>
                </w:tcPr>
                <w:p w14:paraId="01445EDE">
                  <w:pPr>
                    <w:widowControl/>
                    <w:rPr>
                      <w:color w:val="000000" w:themeColor="text1"/>
                      <w:kern w:val="0"/>
                      <w:sz w:val="18"/>
                      <w:szCs w:val="18"/>
                      <w14:textFill>
                        <w14:solidFill>
                          <w14:schemeClr w14:val="tx1"/>
                        </w14:solidFill>
                      </w14:textFill>
                    </w:rPr>
                  </w:pPr>
                </w:p>
              </w:tc>
              <w:tc>
                <w:tcPr>
                  <w:tcW w:w="991" w:type="pct"/>
                  <w:gridSpan w:val="2"/>
                  <w:vAlign w:val="center"/>
                </w:tcPr>
                <w:p w14:paraId="36F8264B">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污染地块管控要求</w:t>
                  </w:r>
                </w:p>
              </w:tc>
              <w:tc>
                <w:tcPr>
                  <w:tcW w:w="1908" w:type="pct"/>
                  <w:vAlign w:val="center"/>
                </w:tcPr>
                <w:p w14:paraId="68E1D533">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已污染地块，应当依法开展土壤污染状况调查、治理与修复，符合相应规划用地土壤环境质量要求后，方可进入用地程序。</w:t>
                  </w:r>
                </w:p>
              </w:tc>
              <w:tc>
                <w:tcPr>
                  <w:tcW w:w="1114" w:type="pct"/>
                  <w:vAlign w:val="center"/>
                </w:tcPr>
                <w:p w14:paraId="3ABCF58C">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w:t>
                  </w:r>
                  <w:r>
                    <w:rPr>
                      <w:rFonts w:hint="eastAsia"/>
                      <w:color w:val="000000" w:themeColor="text1"/>
                      <w:kern w:val="0"/>
                      <w:sz w:val="18"/>
                      <w:szCs w:val="18"/>
                      <w14:textFill>
                        <w14:solidFill>
                          <w14:schemeClr w14:val="tx1"/>
                        </w14:solidFill>
                      </w14:textFill>
                    </w:rPr>
                    <w:t>不涉及</w:t>
                  </w:r>
                </w:p>
              </w:tc>
            </w:tr>
            <w:tr w14:paraId="021D4AB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6394C350">
                  <w:pPr>
                    <w:widowControl/>
                    <w:rPr>
                      <w:b/>
                      <w:bCs/>
                      <w:color w:val="000000" w:themeColor="text1"/>
                      <w:kern w:val="0"/>
                      <w:sz w:val="18"/>
                      <w:szCs w:val="18"/>
                      <w14:textFill>
                        <w14:solidFill>
                          <w14:schemeClr w14:val="tx1"/>
                        </w14:solidFill>
                      </w14:textFill>
                    </w:rPr>
                  </w:pPr>
                </w:p>
              </w:tc>
              <w:tc>
                <w:tcPr>
                  <w:tcW w:w="474" w:type="pct"/>
                  <w:vAlign w:val="center"/>
                </w:tcPr>
                <w:p w14:paraId="5D15C487">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园区环境风险防控要求</w:t>
                  </w:r>
                </w:p>
              </w:tc>
              <w:tc>
                <w:tcPr>
                  <w:tcW w:w="991" w:type="pct"/>
                  <w:gridSpan w:val="2"/>
                  <w:vAlign w:val="center"/>
                </w:tcPr>
                <w:p w14:paraId="27216189">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园区敏感点风险准入类防控要求</w:t>
                  </w:r>
                </w:p>
              </w:tc>
              <w:tc>
                <w:tcPr>
                  <w:tcW w:w="1908" w:type="pct"/>
                  <w:vAlign w:val="center"/>
                </w:tcPr>
                <w:p w14:paraId="46A78D3A">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紧邻居住、科教、医院等环境敏感点的工业用地，禁止新建环境风险潜势等级高的建设项目。园区应建立环境风险防控体系。</w:t>
                  </w:r>
                </w:p>
              </w:tc>
              <w:tc>
                <w:tcPr>
                  <w:tcW w:w="1114" w:type="pct"/>
                  <w:vAlign w:val="center"/>
                </w:tcPr>
                <w:p w14:paraId="24E1B659">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项目距离最近居住点为北边张家边80</w:t>
                  </w:r>
                  <w:r>
                    <w:rPr>
                      <w:color w:val="000000" w:themeColor="text1"/>
                      <w:kern w:val="0"/>
                      <w:sz w:val="18"/>
                      <w:szCs w:val="18"/>
                      <w14:textFill>
                        <w14:solidFill>
                          <w14:schemeClr w14:val="tx1"/>
                        </w14:solidFill>
                      </w14:textFill>
                    </w:rPr>
                    <w:t>m</w:t>
                  </w:r>
                  <w:r>
                    <w:rPr>
                      <w:rFonts w:hint="eastAsia"/>
                      <w:color w:val="000000" w:themeColor="text1"/>
                      <w:kern w:val="0"/>
                      <w:sz w:val="18"/>
                      <w:szCs w:val="18"/>
                      <w14:textFill>
                        <w14:solidFill>
                          <w14:schemeClr w14:val="tx1"/>
                        </w14:solidFill>
                      </w14:textFill>
                    </w:rPr>
                    <w:t>，不紧邻环境敏感点</w:t>
                  </w:r>
                  <w:r>
                    <w:rPr>
                      <w:rFonts w:hint="eastAsia"/>
                      <w:color w:val="000000" w:themeColor="text1"/>
                      <w:sz w:val="18"/>
                      <w:szCs w:val="18"/>
                      <w14:textFill>
                        <w14:solidFill>
                          <w14:schemeClr w14:val="tx1"/>
                        </w14:solidFill>
                      </w14:textFill>
                    </w:rPr>
                    <w:t>，环境风险潜势为</w:t>
                  </w:r>
                  <w:r>
                    <w:rPr>
                      <w:color w:val="000000" w:themeColor="text1"/>
                      <w:sz w:val="18"/>
                      <w:szCs w:val="18"/>
                      <w14:textFill>
                        <w14:solidFill>
                          <w14:schemeClr w14:val="tx1"/>
                        </w14:solidFill>
                      </w14:textFill>
                    </w:rPr>
                    <w:t>Ⅰ</w:t>
                  </w:r>
                  <w:r>
                    <w:rPr>
                      <w:rFonts w:hint="eastAsia"/>
                      <w:color w:val="000000" w:themeColor="text1"/>
                      <w:sz w:val="18"/>
                      <w:szCs w:val="18"/>
                      <w14:textFill>
                        <w14:solidFill>
                          <w14:schemeClr w14:val="tx1"/>
                        </w14:solidFill>
                      </w14:textFill>
                    </w:rPr>
                    <w:t>级。</w:t>
                  </w:r>
                </w:p>
              </w:tc>
            </w:tr>
            <w:tr w14:paraId="221F7B9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38C8859B">
                  <w:pPr>
                    <w:widowControl/>
                    <w:rPr>
                      <w:b/>
                      <w:bCs/>
                      <w:color w:val="000000" w:themeColor="text1"/>
                      <w:kern w:val="0"/>
                      <w:sz w:val="18"/>
                      <w:szCs w:val="18"/>
                      <w14:textFill>
                        <w14:solidFill>
                          <w14:schemeClr w14:val="tx1"/>
                        </w14:solidFill>
                      </w14:textFill>
                    </w:rPr>
                  </w:pPr>
                </w:p>
              </w:tc>
              <w:tc>
                <w:tcPr>
                  <w:tcW w:w="474" w:type="pct"/>
                  <w:vMerge w:val="restart"/>
                  <w:vAlign w:val="center"/>
                </w:tcPr>
                <w:p w14:paraId="7FBA6273">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企业环境风险防控要求</w:t>
                  </w:r>
                </w:p>
              </w:tc>
              <w:tc>
                <w:tcPr>
                  <w:tcW w:w="991" w:type="pct"/>
                  <w:gridSpan w:val="2"/>
                  <w:vAlign w:val="center"/>
                </w:tcPr>
                <w:p w14:paraId="2C5FD023">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企业环境风险防控要求</w:t>
                  </w:r>
                </w:p>
              </w:tc>
              <w:tc>
                <w:tcPr>
                  <w:tcW w:w="1908" w:type="pct"/>
                  <w:vAlign w:val="center"/>
                </w:tcPr>
                <w:p w14:paraId="72C09A04">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涉及危险化学品及产生大量废水的企业，以及利用或处置固体度物</w:t>
                  </w:r>
                  <w:r>
                    <w:rPr>
                      <w:color w:val="000000" w:themeColor="text1"/>
                      <w:kern w:val="0"/>
                      <w:sz w:val="18"/>
                      <w:szCs w:val="18"/>
                      <w14:textFill>
                        <w14:solidFill>
                          <w14:schemeClr w14:val="tx1"/>
                        </w14:solidFill>
                      </w14:textFill>
                    </w:rPr>
                    <w:t>(</w:t>
                  </w:r>
                  <w:r>
                    <w:rPr>
                      <w:rFonts w:hint="eastAsia"/>
                      <w:color w:val="000000" w:themeColor="text1"/>
                      <w:kern w:val="0"/>
                      <w:sz w:val="18"/>
                      <w:szCs w:val="18"/>
                      <w14:textFill>
                        <w14:solidFill>
                          <w14:schemeClr w14:val="tx1"/>
                        </w14:solidFill>
                      </w14:textFill>
                    </w:rPr>
                    <w:t>含危险度物</w:t>
                  </w:r>
                  <w:r>
                    <w:rPr>
                      <w:color w:val="000000" w:themeColor="text1"/>
                      <w:kern w:val="0"/>
                      <w:sz w:val="18"/>
                      <w:szCs w:val="18"/>
                      <w14:textFill>
                        <w14:solidFill>
                          <w14:schemeClr w14:val="tx1"/>
                        </w14:solidFill>
                      </w14:textFill>
                    </w:rPr>
                    <w:t>)</w:t>
                  </w:r>
                  <w:r>
                    <w:rPr>
                      <w:rFonts w:hint="eastAsia"/>
                      <w:color w:val="000000" w:themeColor="text1"/>
                      <w:kern w:val="0"/>
                      <w:sz w:val="18"/>
                      <w:szCs w:val="18"/>
                      <w14:textFill>
                        <w14:solidFill>
                          <w14:schemeClr w14:val="tx1"/>
                        </w14:solidFill>
                      </w14:textFill>
                    </w:rPr>
                    <w:t>的企业，按相关要求编制突发环境事件应急预案，配套防扬散、防流失、防渗漏及事故收集池等有效措施，防止因渗漏污染地下水、土壤，以及因事故度水直排污染地表水。</w:t>
                  </w:r>
                </w:p>
              </w:tc>
              <w:tc>
                <w:tcPr>
                  <w:tcW w:w="1114" w:type="pct"/>
                  <w:vAlign w:val="center"/>
                </w:tcPr>
                <w:p w14:paraId="61E17A58">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环境风险评价内容已明确要求建设单位编制突发环境事件应急预案并配套风险防范设施。</w:t>
                  </w:r>
                </w:p>
              </w:tc>
            </w:tr>
            <w:tr w14:paraId="7C6470F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2CD4AF0A">
                  <w:pPr>
                    <w:widowControl/>
                    <w:rPr>
                      <w:b/>
                      <w:bCs/>
                      <w:color w:val="000000" w:themeColor="text1"/>
                      <w:kern w:val="0"/>
                      <w:sz w:val="18"/>
                      <w:szCs w:val="18"/>
                      <w14:textFill>
                        <w14:solidFill>
                          <w14:schemeClr w14:val="tx1"/>
                        </w14:solidFill>
                      </w14:textFill>
                    </w:rPr>
                  </w:pPr>
                </w:p>
              </w:tc>
              <w:tc>
                <w:tcPr>
                  <w:tcW w:w="474" w:type="pct"/>
                  <w:vMerge w:val="continue"/>
                  <w:vAlign w:val="center"/>
                </w:tcPr>
                <w:p w14:paraId="764BD70A">
                  <w:pPr>
                    <w:widowControl/>
                    <w:rPr>
                      <w:color w:val="000000" w:themeColor="text1"/>
                      <w:kern w:val="0"/>
                      <w:sz w:val="18"/>
                      <w:szCs w:val="18"/>
                      <w14:textFill>
                        <w14:solidFill>
                          <w14:schemeClr w14:val="tx1"/>
                        </w14:solidFill>
                      </w14:textFill>
                    </w:rPr>
                  </w:pPr>
                </w:p>
              </w:tc>
              <w:tc>
                <w:tcPr>
                  <w:tcW w:w="991" w:type="pct"/>
                  <w:gridSpan w:val="2"/>
                  <w:vAlign w:val="center"/>
                </w:tcPr>
                <w:p w14:paraId="5685949D">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其他环境风险防控要求</w:t>
                  </w:r>
                </w:p>
              </w:tc>
              <w:tc>
                <w:tcPr>
                  <w:tcW w:w="1908" w:type="pct"/>
                  <w:vAlign w:val="center"/>
                </w:tcPr>
                <w:p w14:paraId="5DA34026">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c>
                <w:tcPr>
                  <w:tcW w:w="1114" w:type="pct"/>
                  <w:vAlign w:val="center"/>
                </w:tcPr>
                <w:p w14:paraId="5AE0C7F9">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r>
            <w:tr w14:paraId="6AFD33C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restart"/>
                  <w:vAlign w:val="center"/>
                </w:tcPr>
                <w:p w14:paraId="344DFDC8">
                  <w:pPr>
                    <w:adjustRightInd w:val="0"/>
                    <w:snapToGrid w:val="0"/>
                    <w:jc w:val="center"/>
                    <w:rPr>
                      <w:b/>
                      <w:bCs/>
                      <w:color w:val="000000" w:themeColor="text1"/>
                      <w:kern w:val="0"/>
                      <w:sz w:val="18"/>
                      <w:szCs w:val="18"/>
                      <w14:textFill>
                        <w14:solidFill>
                          <w14:schemeClr w14:val="tx1"/>
                        </w14:solidFill>
                      </w14:textFill>
                    </w:rPr>
                  </w:pPr>
                  <w:r>
                    <w:rPr>
                      <w:rFonts w:hint="eastAsia"/>
                      <w:b/>
                      <w:bCs/>
                      <w:color w:val="000000" w:themeColor="text1"/>
                      <w:kern w:val="0"/>
                      <w:sz w:val="18"/>
                      <w:szCs w:val="18"/>
                      <w14:textFill>
                        <w14:solidFill>
                          <w14:schemeClr w14:val="tx1"/>
                        </w14:solidFill>
                      </w14:textFill>
                    </w:rPr>
                    <w:t>资源利用效率要求</w:t>
                  </w:r>
                </w:p>
              </w:tc>
              <w:tc>
                <w:tcPr>
                  <w:tcW w:w="1465" w:type="pct"/>
                  <w:gridSpan w:val="3"/>
                  <w:vAlign w:val="center"/>
                </w:tcPr>
                <w:p w14:paraId="2F0DC3E3">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水资源利用效率要求</w:t>
                  </w:r>
                </w:p>
              </w:tc>
              <w:tc>
                <w:tcPr>
                  <w:tcW w:w="1908" w:type="pct"/>
                  <w:vAlign w:val="center"/>
                </w:tcPr>
                <w:p w14:paraId="3E20BA53">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c>
                <w:tcPr>
                  <w:tcW w:w="1114" w:type="pct"/>
                  <w:vAlign w:val="center"/>
                </w:tcPr>
                <w:p w14:paraId="0898DA59">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p>
              </w:tc>
            </w:tr>
            <w:tr w14:paraId="57F8B0D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0EB8B3B6">
                  <w:pPr>
                    <w:widowControl/>
                    <w:rPr>
                      <w:b/>
                      <w:bCs/>
                      <w:color w:val="000000" w:themeColor="text1"/>
                      <w:kern w:val="0"/>
                      <w:sz w:val="18"/>
                      <w:szCs w:val="18"/>
                      <w14:textFill>
                        <w14:solidFill>
                          <w14:schemeClr w14:val="tx1"/>
                        </w14:solidFill>
                      </w14:textFill>
                    </w:rPr>
                  </w:pPr>
                </w:p>
              </w:tc>
              <w:tc>
                <w:tcPr>
                  <w:tcW w:w="1465" w:type="pct"/>
                  <w:gridSpan w:val="3"/>
                  <w:vAlign w:val="center"/>
                </w:tcPr>
                <w:p w14:paraId="5ED3132C">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地下水开采要求</w:t>
                  </w:r>
                </w:p>
              </w:tc>
              <w:tc>
                <w:tcPr>
                  <w:tcW w:w="1908" w:type="pct"/>
                  <w:vAlign w:val="center"/>
                </w:tcPr>
                <w:p w14:paraId="629378D1">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c>
                <w:tcPr>
                  <w:tcW w:w="1114" w:type="pct"/>
                  <w:vAlign w:val="center"/>
                </w:tcPr>
                <w:p w14:paraId="4E8ED11A">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r>
            <w:tr w14:paraId="2CA1D5A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7AA5964D">
                  <w:pPr>
                    <w:widowControl/>
                    <w:rPr>
                      <w:b/>
                      <w:bCs/>
                      <w:color w:val="000000" w:themeColor="text1"/>
                      <w:kern w:val="0"/>
                      <w:sz w:val="18"/>
                      <w:szCs w:val="18"/>
                      <w14:textFill>
                        <w14:solidFill>
                          <w14:schemeClr w14:val="tx1"/>
                        </w14:solidFill>
                      </w14:textFill>
                    </w:rPr>
                  </w:pPr>
                </w:p>
              </w:tc>
              <w:tc>
                <w:tcPr>
                  <w:tcW w:w="1465" w:type="pct"/>
                  <w:gridSpan w:val="3"/>
                  <w:vAlign w:val="center"/>
                </w:tcPr>
                <w:p w14:paraId="3D83F285">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能源利用总量效率要求</w:t>
                  </w:r>
                </w:p>
              </w:tc>
              <w:tc>
                <w:tcPr>
                  <w:tcW w:w="1908" w:type="pct"/>
                  <w:vAlign w:val="center"/>
                </w:tcPr>
                <w:p w14:paraId="09FBBD8C">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c>
                <w:tcPr>
                  <w:tcW w:w="1114" w:type="pct"/>
                  <w:vAlign w:val="center"/>
                </w:tcPr>
                <w:p w14:paraId="19A3668C">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r>
            <w:tr w14:paraId="64DECEF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578E9533">
                  <w:pPr>
                    <w:widowControl/>
                    <w:rPr>
                      <w:b/>
                      <w:bCs/>
                      <w:color w:val="000000" w:themeColor="text1"/>
                      <w:kern w:val="0"/>
                      <w:sz w:val="18"/>
                      <w:szCs w:val="18"/>
                      <w14:textFill>
                        <w14:solidFill>
                          <w14:schemeClr w14:val="tx1"/>
                        </w14:solidFill>
                      </w14:textFill>
                    </w:rPr>
                  </w:pPr>
                </w:p>
              </w:tc>
              <w:tc>
                <w:tcPr>
                  <w:tcW w:w="1465" w:type="pct"/>
                  <w:gridSpan w:val="3"/>
                  <w:vAlign w:val="center"/>
                </w:tcPr>
                <w:p w14:paraId="13FEB972">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其他资源利用要求</w:t>
                  </w:r>
                </w:p>
              </w:tc>
              <w:tc>
                <w:tcPr>
                  <w:tcW w:w="1908" w:type="pct"/>
                  <w:vAlign w:val="center"/>
                </w:tcPr>
                <w:p w14:paraId="2E1CFDD1">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c>
                <w:tcPr>
                  <w:tcW w:w="1114" w:type="pct"/>
                  <w:vAlign w:val="center"/>
                </w:tcPr>
                <w:p w14:paraId="294205A2">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r>
            <w:tr w14:paraId="1AAC54E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restart"/>
                  <w:vAlign w:val="center"/>
                </w:tcPr>
                <w:p w14:paraId="52B800DA">
                  <w:pPr>
                    <w:adjustRightInd w:val="0"/>
                    <w:snapToGrid w:val="0"/>
                    <w:jc w:val="center"/>
                    <w:rPr>
                      <w:color w:val="000000" w:themeColor="text1"/>
                      <w:kern w:val="0"/>
                      <w:sz w:val="18"/>
                      <w:szCs w:val="18"/>
                      <w14:textFill>
                        <w14:solidFill>
                          <w14:schemeClr w14:val="tx1"/>
                        </w14:solidFill>
                      </w14:textFill>
                    </w:rPr>
                  </w:pPr>
                  <w:r>
                    <w:rPr>
                      <w:rFonts w:hint="eastAsia"/>
                      <w:b/>
                      <w:bCs/>
                      <w:color w:val="000000" w:themeColor="text1"/>
                      <w:kern w:val="0"/>
                      <w:sz w:val="18"/>
                      <w:szCs w:val="18"/>
                      <w14:textFill>
                        <w14:solidFill>
                          <w14:schemeClr w14:val="tx1"/>
                        </w14:solidFill>
                      </w14:textFill>
                    </w:rPr>
                    <w:t>资源利用效率要求</w:t>
                  </w:r>
                </w:p>
              </w:tc>
              <w:tc>
                <w:tcPr>
                  <w:tcW w:w="643" w:type="pct"/>
                  <w:gridSpan w:val="2"/>
                  <w:vAlign w:val="center"/>
                </w:tcPr>
                <w:p w14:paraId="78057A77">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水资源利用效率要求</w:t>
                  </w:r>
                </w:p>
              </w:tc>
              <w:tc>
                <w:tcPr>
                  <w:tcW w:w="822" w:type="pct"/>
                  <w:vAlign w:val="center"/>
                </w:tcPr>
                <w:p w14:paraId="05382E2E">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园区工业用水重复利用率限值（</w:t>
                  </w:r>
                  <w:r>
                    <w:rPr>
                      <w:color w:val="000000" w:themeColor="text1"/>
                      <w:kern w:val="0"/>
                      <w:sz w:val="18"/>
                      <w:szCs w:val="18"/>
                      <w14:textFill>
                        <w14:solidFill>
                          <w14:schemeClr w14:val="tx1"/>
                        </w14:solidFill>
                      </w14:textFill>
                    </w:rPr>
                    <w:t>%</w:t>
                  </w:r>
                  <w:r>
                    <w:rPr>
                      <w:rFonts w:hint="eastAsia"/>
                      <w:color w:val="000000" w:themeColor="text1"/>
                      <w:kern w:val="0"/>
                      <w:sz w:val="18"/>
                      <w:szCs w:val="18"/>
                      <w14:textFill>
                        <w14:solidFill>
                          <w14:schemeClr w14:val="tx1"/>
                        </w14:solidFill>
                      </w14:textFill>
                    </w:rPr>
                    <w:t>）</w:t>
                  </w:r>
                </w:p>
              </w:tc>
              <w:tc>
                <w:tcPr>
                  <w:tcW w:w="1908" w:type="pct"/>
                  <w:vAlign w:val="center"/>
                </w:tcPr>
                <w:p w14:paraId="5750536E">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园区工业用水重复利用率不得低于行业清洁生产国内先进水平。</w:t>
                  </w:r>
                </w:p>
              </w:tc>
              <w:tc>
                <w:tcPr>
                  <w:tcW w:w="1114" w:type="pct"/>
                  <w:vAlign w:val="center"/>
                </w:tcPr>
                <w:p w14:paraId="3F9D900F">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项目清洁生产水平满足要求。</w:t>
                  </w:r>
                </w:p>
              </w:tc>
            </w:tr>
            <w:tr w14:paraId="419B469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604230BB">
                  <w:pPr>
                    <w:widowControl/>
                    <w:rPr>
                      <w:color w:val="000000" w:themeColor="text1"/>
                      <w:kern w:val="0"/>
                      <w:sz w:val="18"/>
                      <w:szCs w:val="18"/>
                      <w14:textFill>
                        <w14:solidFill>
                          <w14:schemeClr w14:val="tx1"/>
                        </w14:solidFill>
                      </w14:textFill>
                    </w:rPr>
                  </w:pPr>
                </w:p>
              </w:tc>
              <w:tc>
                <w:tcPr>
                  <w:tcW w:w="643" w:type="pct"/>
                  <w:gridSpan w:val="2"/>
                  <w:vAlign w:val="center"/>
                </w:tcPr>
                <w:p w14:paraId="665457B7">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地下水开采要求</w:t>
                  </w:r>
                </w:p>
              </w:tc>
              <w:tc>
                <w:tcPr>
                  <w:tcW w:w="822" w:type="pct"/>
                  <w:vAlign w:val="center"/>
                </w:tcPr>
                <w:p w14:paraId="4CB5E2E4">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新增地下水开采总量限值（万</w:t>
                  </w:r>
                  <w:r>
                    <w:rPr>
                      <w:color w:val="000000" w:themeColor="text1"/>
                      <w:kern w:val="0"/>
                      <w:sz w:val="18"/>
                      <w:szCs w:val="18"/>
                      <w14:textFill>
                        <w14:solidFill>
                          <w14:schemeClr w14:val="tx1"/>
                        </w14:solidFill>
                      </w14:textFill>
                    </w:rPr>
                    <w:t>m</w:t>
                  </w:r>
                  <w:r>
                    <w:rPr>
                      <w:color w:val="000000" w:themeColor="text1"/>
                      <w:kern w:val="0"/>
                      <w:sz w:val="18"/>
                      <w:szCs w:val="18"/>
                      <w:vertAlign w:val="superscript"/>
                      <w14:textFill>
                        <w14:solidFill>
                          <w14:schemeClr w14:val="tx1"/>
                        </w14:solidFill>
                      </w14:textFill>
                    </w:rPr>
                    <w:t>3</w:t>
                  </w:r>
                  <w:r>
                    <w:rPr>
                      <w:color w:val="000000" w:themeColor="text1"/>
                      <w:kern w:val="0"/>
                      <w:sz w:val="18"/>
                      <w:szCs w:val="18"/>
                      <w14:textFill>
                        <w14:solidFill>
                          <w14:schemeClr w14:val="tx1"/>
                        </w14:solidFill>
                      </w14:textFill>
                    </w:rPr>
                    <w:t>/a</w:t>
                  </w:r>
                  <w:r>
                    <w:rPr>
                      <w:rFonts w:hint="eastAsia"/>
                      <w:color w:val="000000" w:themeColor="text1"/>
                      <w:kern w:val="0"/>
                      <w:sz w:val="18"/>
                      <w:szCs w:val="18"/>
                      <w14:textFill>
                        <w14:solidFill>
                          <w14:schemeClr w14:val="tx1"/>
                        </w14:solidFill>
                      </w14:textFill>
                    </w:rPr>
                    <w:t>）</w:t>
                  </w:r>
                </w:p>
              </w:tc>
              <w:tc>
                <w:tcPr>
                  <w:tcW w:w="1908" w:type="pct"/>
                  <w:vAlign w:val="center"/>
                </w:tcPr>
                <w:p w14:paraId="78CE35BE">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新增地下水开采总量不得超过补给水平。</w:t>
                  </w:r>
                </w:p>
              </w:tc>
              <w:tc>
                <w:tcPr>
                  <w:tcW w:w="1114" w:type="pct"/>
                  <w:vAlign w:val="center"/>
                </w:tcPr>
                <w:p w14:paraId="19F0AFF7">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项目不开采地下水</w:t>
                  </w:r>
                </w:p>
              </w:tc>
            </w:tr>
            <w:tr w14:paraId="7939A03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13" w:type="pct"/>
                  <w:vMerge w:val="continue"/>
                  <w:vAlign w:val="center"/>
                </w:tcPr>
                <w:p w14:paraId="7CF0AB21">
                  <w:pPr>
                    <w:widowControl/>
                    <w:rPr>
                      <w:color w:val="000000" w:themeColor="text1"/>
                      <w:kern w:val="0"/>
                      <w:sz w:val="18"/>
                      <w:szCs w:val="18"/>
                      <w14:textFill>
                        <w14:solidFill>
                          <w14:schemeClr w14:val="tx1"/>
                        </w14:solidFill>
                      </w14:textFill>
                    </w:rPr>
                  </w:pPr>
                </w:p>
              </w:tc>
              <w:tc>
                <w:tcPr>
                  <w:tcW w:w="643" w:type="pct"/>
                  <w:gridSpan w:val="2"/>
                  <w:vAlign w:val="center"/>
                </w:tcPr>
                <w:p w14:paraId="37E216BC">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能源利用总量效率要求</w:t>
                  </w:r>
                </w:p>
              </w:tc>
              <w:tc>
                <w:tcPr>
                  <w:tcW w:w="822" w:type="pct"/>
                  <w:vAlign w:val="center"/>
                </w:tcPr>
                <w:p w14:paraId="778F0CF9">
                  <w:pPr>
                    <w:adjustRightInd w:val="0"/>
                    <w:snapToGrid w:val="0"/>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万元国内生产总值能耗下降比例（</w:t>
                  </w:r>
                  <w:r>
                    <w:rPr>
                      <w:color w:val="000000" w:themeColor="text1"/>
                      <w:kern w:val="0"/>
                      <w:sz w:val="18"/>
                      <w:szCs w:val="18"/>
                      <w14:textFill>
                        <w14:solidFill>
                          <w14:schemeClr w14:val="tx1"/>
                        </w14:solidFill>
                      </w14:textFill>
                    </w:rPr>
                    <w:t>%</w:t>
                  </w:r>
                  <w:r>
                    <w:rPr>
                      <w:rFonts w:hint="eastAsia"/>
                      <w:color w:val="000000" w:themeColor="text1"/>
                      <w:kern w:val="0"/>
                      <w:sz w:val="18"/>
                      <w:szCs w:val="18"/>
                      <w14:textFill>
                        <w14:solidFill>
                          <w14:schemeClr w14:val="tx1"/>
                        </w14:solidFill>
                      </w14:textFill>
                    </w:rPr>
                    <w:t>）</w:t>
                  </w:r>
                </w:p>
              </w:tc>
              <w:tc>
                <w:tcPr>
                  <w:tcW w:w="1908" w:type="pct"/>
                  <w:vAlign w:val="center"/>
                </w:tcPr>
                <w:p w14:paraId="45F1B520">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c>
                <w:tcPr>
                  <w:tcW w:w="1114" w:type="pct"/>
                  <w:vAlign w:val="center"/>
                </w:tcPr>
                <w:p w14:paraId="64BE7273">
                  <w:pPr>
                    <w:adjustRightInd w:val="0"/>
                    <w:snapToGrid w:val="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r>
          </w:tbl>
          <w:p w14:paraId="32C409D1">
            <w:pPr>
              <w:pStyle w:val="17"/>
              <w:spacing w:before="0" w:after="0" w:line="360" w:lineRule="auto"/>
              <w:ind w:right="0" w:firstLine="480" w:firstLineChars="200"/>
              <w:jc w:val="lef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根据上述分析，本项目在江西省乐平市重点管控单元1（环境管控单元编码：</w:t>
            </w:r>
            <w:r>
              <w:rPr>
                <w:color w:val="000000" w:themeColor="text1"/>
                <w:sz w:val="24"/>
                <w:szCs w:val="24"/>
                <w14:textFill>
                  <w14:solidFill>
                    <w14:schemeClr w14:val="tx1"/>
                  </w14:solidFill>
                </w14:textFill>
              </w:rPr>
              <w:t>ZH36028120001</w:t>
            </w:r>
            <w:r>
              <w:rPr>
                <w:rFonts w:hint="eastAsia"/>
                <w:color w:val="000000" w:themeColor="text1"/>
                <w:sz w:val="24"/>
                <w:szCs w:val="24"/>
                <w14:textFill>
                  <w14:solidFill>
                    <w14:schemeClr w14:val="tx1"/>
                  </w14:solidFill>
                </w14:textFill>
              </w:rPr>
              <w:t>）内，但不在该重点管控单元“空间布局约束”、“污染物排放管控”、“环境风险防控”、 “资源利用效率要求”限制内，符合生态环境分区要求。</w:t>
            </w:r>
          </w:p>
          <w:p w14:paraId="25B95472">
            <w:pPr>
              <w:pStyle w:val="17"/>
              <w:spacing w:before="0" w:after="0" w:line="360" w:lineRule="auto"/>
              <w:ind w:right="0" w:firstLine="482" w:firstLineChars="200"/>
              <w:jc w:val="left"/>
              <w:rPr>
                <w:b/>
                <w:bCs/>
                <w:color w:val="000000" w:themeColor="text1"/>
                <w:sz w:val="24"/>
                <w:szCs w:val="24"/>
                <w14:textFill>
                  <w14:solidFill>
                    <w14:schemeClr w14:val="tx1"/>
                  </w14:solidFill>
                </w14:textFill>
              </w:rPr>
            </w:pPr>
            <w:r>
              <w:rPr>
                <w:rFonts w:hint="eastAsia"/>
                <w:b/>
                <w:bCs/>
                <w:color w:val="000000" w:themeColor="text1"/>
                <w:sz w:val="24"/>
                <w:szCs w:val="24"/>
                <w14:textFill>
                  <w14:solidFill>
                    <w14:schemeClr w14:val="tx1"/>
                  </w14:solidFill>
                </w14:textFill>
              </w:rPr>
              <w:t>四</w:t>
            </w:r>
            <w:r>
              <w:rPr>
                <w:b/>
                <w:bCs/>
                <w:color w:val="000000" w:themeColor="text1"/>
                <w:sz w:val="24"/>
                <w:szCs w:val="24"/>
                <w14:textFill>
                  <w14:solidFill>
                    <w14:schemeClr w14:val="tx1"/>
                  </w14:solidFill>
                </w14:textFill>
              </w:rPr>
              <w:t>、</w:t>
            </w:r>
            <w:r>
              <w:rPr>
                <w:rFonts w:hint="eastAsia"/>
                <w:b/>
                <w:bCs/>
                <w:color w:val="000000" w:themeColor="text1"/>
                <w:sz w:val="24"/>
                <w:szCs w:val="24"/>
                <w14:textFill>
                  <w14:solidFill>
                    <w14:schemeClr w14:val="tx1"/>
                  </w14:solidFill>
                </w14:textFill>
              </w:rPr>
              <w:t>与《长江经济带发展负面清单指南（试行，</w:t>
            </w:r>
            <w:r>
              <w:rPr>
                <w:b/>
                <w:bCs/>
                <w:color w:val="000000" w:themeColor="text1"/>
                <w:sz w:val="24"/>
                <w:szCs w:val="24"/>
                <w14:textFill>
                  <w14:solidFill>
                    <w14:schemeClr w14:val="tx1"/>
                  </w14:solidFill>
                </w14:textFill>
              </w:rPr>
              <w:t>2022</w:t>
            </w:r>
            <w:r>
              <w:rPr>
                <w:rFonts w:hint="eastAsia"/>
                <w:b/>
                <w:bCs/>
                <w:color w:val="000000" w:themeColor="text1"/>
                <w:sz w:val="24"/>
                <w:szCs w:val="24"/>
                <w14:textFill>
                  <w14:solidFill>
                    <w14:schemeClr w14:val="tx1"/>
                  </w14:solidFill>
                </w14:textFill>
              </w:rPr>
              <w:t>年版）》（长江办〔2022〕7号）的相符性</w:t>
            </w:r>
          </w:p>
          <w:p w14:paraId="51E951C2">
            <w:pPr>
              <w:pStyle w:val="17"/>
              <w:spacing w:before="0" w:after="0" w:line="240" w:lineRule="auto"/>
              <w:ind w:right="0"/>
              <w:jc w:val="center"/>
              <w:rPr>
                <w:b/>
                <w:bCs/>
                <w:color w:val="000000" w:themeColor="text1"/>
                <w:sz w:val="24"/>
                <w:szCs w:val="24"/>
                <w14:textFill>
                  <w14:solidFill>
                    <w14:schemeClr w14:val="tx1"/>
                  </w14:solidFill>
                </w14:textFill>
              </w:rPr>
            </w:pPr>
            <w:r>
              <w:rPr>
                <w:rFonts w:hint="eastAsia"/>
                <w:b/>
                <w:bCs/>
                <w:color w:val="000000" w:themeColor="text1"/>
                <w:sz w:val="24"/>
                <w:szCs w:val="24"/>
                <w14:textFill>
                  <w14:solidFill>
                    <w14:schemeClr w14:val="tx1"/>
                  </w14:solidFill>
                </w14:textFill>
              </w:rPr>
              <w:t>表1</w:t>
            </w:r>
            <w:r>
              <w:rPr>
                <w:b/>
                <w:bCs/>
                <w:color w:val="000000" w:themeColor="text1"/>
                <w:sz w:val="24"/>
                <w:szCs w:val="24"/>
                <w14:textFill>
                  <w14:solidFill>
                    <w14:schemeClr w14:val="tx1"/>
                  </w14:solidFill>
                </w14:textFill>
              </w:rPr>
              <w:t>-</w:t>
            </w:r>
            <w:r>
              <w:rPr>
                <w:rFonts w:hint="eastAsia"/>
                <w:b/>
                <w:bCs/>
                <w:color w:val="000000" w:themeColor="text1"/>
                <w:sz w:val="24"/>
                <w:szCs w:val="24"/>
                <w14:textFill>
                  <w14:solidFill>
                    <w14:schemeClr w14:val="tx1"/>
                  </w14:solidFill>
                </w14:textFill>
              </w:rPr>
              <w:t>6</w:t>
            </w:r>
            <w:r>
              <w:rPr>
                <w:b/>
                <w:bCs/>
                <w:color w:val="000000" w:themeColor="text1"/>
                <w:sz w:val="24"/>
                <w:szCs w:val="24"/>
                <w14:textFill>
                  <w14:solidFill>
                    <w14:schemeClr w14:val="tx1"/>
                  </w14:solidFill>
                </w14:textFill>
              </w:rPr>
              <w:t xml:space="preserve">  </w:t>
            </w:r>
            <w:r>
              <w:rPr>
                <w:rFonts w:hint="eastAsia"/>
                <w:b/>
                <w:bCs/>
                <w:color w:val="000000" w:themeColor="text1"/>
                <w:sz w:val="24"/>
                <w:szCs w:val="24"/>
                <w14:textFill>
                  <w14:solidFill>
                    <w14:schemeClr w14:val="tx1"/>
                  </w14:solidFill>
                </w14:textFill>
              </w:rPr>
              <w:t>与长江办</w:t>
            </w:r>
            <w:r>
              <w:rPr>
                <w:rFonts w:hint="eastAsia"/>
                <w:b/>
                <w:bCs/>
                <w:color w:val="000000" w:themeColor="text1"/>
                <w:sz w:val="24"/>
                <w14:textFill>
                  <w14:solidFill>
                    <w14:schemeClr w14:val="tx1"/>
                  </w14:solidFill>
                </w14:textFill>
              </w:rPr>
              <w:t>〔</w:t>
            </w:r>
            <w:r>
              <w:rPr>
                <w:b/>
                <w:bCs/>
                <w:color w:val="000000" w:themeColor="text1"/>
                <w:sz w:val="24"/>
                <w14:textFill>
                  <w14:solidFill>
                    <w14:schemeClr w14:val="tx1"/>
                  </w14:solidFill>
                </w14:textFill>
              </w:rPr>
              <w:t>2022</w:t>
            </w:r>
            <w:r>
              <w:rPr>
                <w:rFonts w:hint="eastAsia"/>
                <w:b/>
                <w:bCs/>
                <w:color w:val="000000" w:themeColor="text1"/>
                <w:sz w:val="24"/>
                <w14:textFill>
                  <w14:solidFill>
                    <w14:schemeClr w14:val="tx1"/>
                  </w14:solidFill>
                </w14:textFill>
              </w:rPr>
              <w:t>〕</w:t>
            </w:r>
            <w:r>
              <w:rPr>
                <w:rFonts w:hint="eastAsia"/>
                <w:b/>
                <w:bCs/>
                <w:color w:val="000000" w:themeColor="text1"/>
                <w:sz w:val="24"/>
                <w:szCs w:val="24"/>
                <w14:textFill>
                  <w14:solidFill>
                    <w14:schemeClr w14:val="tx1"/>
                  </w14:solidFill>
                </w14:textFill>
              </w:rPr>
              <w:t>7号的相符性</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633"/>
              <w:gridCol w:w="4292"/>
              <w:gridCol w:w="1860"/>
              <w:gridCol w:w="1068"/>
            </w:tblGrid>
            <w:tr w14:paraId="6C4B64C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03" w:type="pct"/>
                  <w:vAlign w:val="center"/>
                </w:tcPr>
                <w:p w14:paraId="7EF27017">
                  <w:pPr>
                    <w:snapToGrid w:val="0"/>
                    <w:ind w:left="-69" w:leftChars="-33" w:right="-90" w:rightChars="-43"/>
                    <w:jc w:val="center"/>
                    <w:rPr>
                      <w:b/>
                      <w:color w:val="000000" w:themeColor="text1"/>
                      <w:sz w:val="18"/>
                      <w:szCs w:val="18"/>
                      <w14:textFill>
                        <w14:solidFill>
                          <w14:schemeClr w14:val="tx1"/>
                        </w14:solidFill>
                      </w14:textFill>
                    </w:rPr>
                  </w:pPr>
                  <w:r>
                    <w:rPr>
                      <w:rFonts w:hint="eastAsia"/>
                      <w:b/>
                      <w:color w:val="000000" w:themeColor="text1"/>
                      <w:sz w:val="18"/>
                      <w:szCs w:val="18"/>
                      <w14:textFill>
                        <w14:solidFill>
                          <w14:schemeClr w14:val="tx1"/>
                        </w14:solidFill>
                      </w14:textFill>
                    </w:rPr>
                    <w:t>序号</w:t>
                  </w:r>
                </w:p>
              </w:tc>
              <w:tc>
                <w:tcPr>
                  <w:tcW w:w="2732" w:type="pct"/>
                  <w:vAlign w:val="center"/>
                </w:tcPr>
                <w:p w14:paraId="35C322C9">
                  <w:pPr>
                    <w:snapToGrid w:val="0"/>
                    <w:ind w:left="-69" w:leftChars="-33" w:right="-90" w:rightChars="-43"/>
                    <w:jc w:val="center"/>
                    <w:rPr>
                      <w:b/>
                      <w:color w:val="000000" w:themeColor="text1"/>
                      <w:sz w:val="18"/>
                      <w:szCs w:val="18"/>
                      <w14:textFill>
                        <w14:solidFill>
                          <w14:schemeClr w14:val="tx1"/>
                        </w14:solidFill>
                      </w14:textFill>
                    </w:rPr>
                  </w:pPr>
                  <w:r>
                    <w:rPr>
                      <w:rFonts w:hint="eastAsia"/>
                      <w:b/>
                      <w:color w:val="000000" w:themeColor="text1"/>
                      <w:sz w:val="18"/>
                      <w:szCs w:val="18"/>
                      <w14:textFill>
                        <w14:solidFill>
                          <w14:schemeClr w14:val="tx1"/>
                        </w14:solidFill>
                      </w14:textFill>
                    </w:rPr>
                    <w:t>重点内容</w:t>
                  </w:r>
                </w:p>
              </w:tc>
              <w:tc>
                <w:tcPr>
                  <w:tcW w:w="1184" w:type="pct"/>
                  <w:vAlign w:val="center"/>
                </w:tcPr>
                <w:p w14:paraId="1A1A3963">
                  <w:pPr>
                    <w:snapToGrid w:val="0"/>
                    <w:ind w:left="-69" w:leftChars="-33" w:right="-90" w:rightChars="-43"/>
                    <w:jc w:val="center"/>
                    <w:rPr>
                      <w:b/>
                      <w:color w:val="000000" w:themeColor="text1"/>
                      <w:sz w:val="18"/>
                      <w:szCs w:val="18"/>
                      <w14:textFill>
                        <w14:solidFill>
                          <w14:schemeClr w14:val="tx1"/>
                        </w14:solidFill>
                      </w14:textFill>
                    </w:rPr>
                  </w:pPr>
                  <w:r>
                    <w:rPr>
                      <w:rFonts w:hint="eastAsia"/>
                      <w:b/>
                      <w:color w:val="000000" w:themeColor="text1"/>
                      <w:sz w:val="18"/>
                      <w:szCs w:val="18"/>
                      <w14:textFill>
                        <w14:solidFill>
                          <w14:schemeClr w14:val="tx1"/>
                        </w14:solidFill>
                      </w14:textFill>
                    </w:rPr>
                    <w:t>本项目情况</w:t>
                  </w:r>
                </w:p>
              </w:tc>
              <w:tc>
                <w:tcPr>
                  <w:tcW w:w="680" w:type="pct"/>
                  <w:vAlign w:val="center"/>
                </w:tcPr>
                <w:p w14:paraId="7B183F90">
                  <w:pPr>
                    <w:snapToGrid w:val="0"/>
                    <w:ind w:left="-69" w:leftChars="-33" w:right="-90" w:rightChars="-43"/>
                    <w:jc w:val="center"/>
                    <w:rPr>
                      <w:b/>
                      <w:color w:val="000000" w:themeColor="text1"/>
                      <w:sz w:val="18"/>
                      <w:szCs w:val="18"/>
                      <w14:textFill>
                        <w14:solidFill>
                          <w14:schemeClr w14:val="tx1"/>
                        </w14:solidFill>
                      </w14:textFill>
                    </w:rPr>
                  </w:pPr>
                  <w:r>
                    <w:rPr>
                      <w:rFonts w:hint="eastAsia"/>
                      <w:b/>
                      <w:color w:val="000000" w:themeColor="text1"/>
                      <w:sz w:val="18"/>
                      <w:szCs w:val="18"/>
                      <w14:textFill>
                        <w14:solidFill>
                          <w14:schemeClr w14:val="tx1"/>
                        </w14:solidFill>
                      </w14:textFill>
                    </w:rPr>
                    <w:t>是否符合</w:t>
                  </w:r>
                </w:p>
              </w:tc>
            </w:tr>
            <w:tr w14:paraId="20C65B2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03" w:type="pct"/>
                  <w:vAlign w:val="center"/>
                </w:tcPr>
                <w:p w14:paraId="23663509">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1</w:t>
                  </w:r>
                </w:p>
              </w:tc>
              <w:tc>
                <w:tcPr>
                  <w:tcW w:w="2732" w:type="pct"/>
                  <w:vAlign w:val="center"/>
                </w:tcPr>
                <w:p w14:paraId="230D4ECC">
                  <w:pPr>
                    <w:snapToGrid w:val="0"/>
                    <w:ind w:left="-69" w:leftChars="-33" w:right="-90" w:rightChars="-43"/>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禁止建设不符合全国和省级港口布局规划以及港口总体规划的码头项目， 禁止建设不符合《长江干线过江通道布局规划》的过长江通道项目。</w:t>
                  </w:r>
                </w:p>
              </w:tc>
              <w:tc>
                <w:tcPr>
                  <w:tcW w:w="1184" w:type="pct"/>
                  <w:vAlign w:val="center"/>
                </w:tcPr>
                <w:p w14:paraId="5094A83F">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本项目不涉及</w:t>
                  </w:r>
                </w:p>
              </w:tc>
              <w:tc>
                <w:tcPr>
                  <w:tcW w:w="680" w:type="pct"/>
                  <w:vAlign w:val="center"/>
                </w:tcPr>
                <w:p w14:paraId="7207654E">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符合</w:t>
                  </w:r>
                </w:p>
              </w:tc>
            </w:tr>
            <w:tr w14:paraId="1A4BE53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03" w:type="pct"/>
                  <w:vAlign w:val="center"/>
                </w:tcPr>
                <w:p w14:paraId="74A467F2">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2</w:t>
                  </w:r>
                </w:p>
              </w:tc>
              <w:tc>
                <w:tcPr>
                  <w:tcW w:w="2732" w:type="pct"/>
                  <w:vAlign w:val="center"/>
                </w:tcPr>
                <w:p w14:paraId="62349B42">
                  <w:pPr>
                    <w:snapToGrid w:val="0"/>
                    <w:ind w:left="-69" w:leftChars="-33" w:right="-90" w:rightChars="-43"/>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禁止在自然保护区核心区、缓冲区的岸线和河段范围内投资建设旅游和生产经营项目。禁止在风景名胜区核心景区的岸线和河段范围内投资建设与风景名胜资源保护无关的项目。</w:t>
                  </w:r>
                </w:p>
              </w:tc>
              <w:tc>
                <w:tcPr>
                  <w:tcW w:w="1184" w:type="pct"/>
                  <w:vAlign w:val="center"/>
                </w:tcPr>
                <w:p w14:paraId="173525FF">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本项目不涉及</w:t>
                  </w:r>
                </w:p>
              </w:tc>
              <w:tc>
                <w:tcPr>
                  <w:tcW w:w="680" w:type="pct"/>
                  <w:vAlign w:val="center"/>
                </w:tcPr>
                <w:p w14:paraId="6CFF5424">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符合</w:t>
                  </w:r>
                </w:p>
              </w:tc>
            </w:tr>
            <w:tr w14:paraId="0CF2871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03" w:type="pct"/>
                  <w:vAlign w:val="center"/>
                </w:tcPr>
                <w:p w14:paraId="6CA607E2">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3</w:t>
                  </w:r>
                </w:p>
              </w:tc>
              <w:tc>
                <w:tcPr>
                  <w:tcW w:w="2732" w:type="pct"/>
                  <w:vAlign w:val="center"/>
                </w:tcPr>
                <w:p w14:paraId="3889682E">
                  <w:pPr>
                    <w:snapToGrid w:val="0"/>
                    <w:ind w:left="-69" w:leftChars="-33" w:right="-90" w:rightChars="-43"/>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禁止在饮用水水源一级保护区的岸线和河段范围内新建、改建、扩建与供水设施和保护水源无关的项目， 以及网箱养殖、 畜禽养殖、 旅游等可能污染饮用水水体的投资建设项目。禁止在饮用水水源二级保护区的岸线和河段范围内新建、 改建、扩建排放污染物的投资建设项目。</w:t>
                  </w:r>
                </w:p>
              </w:tc>
              <w:tc>
                <w:tcPr>
                  <w:tcW w:w="1184" w:type="pct"/>
                  <w:vAlign w:val="center"/>
                </w:tcPr>
                <w:p w14:paraId="0A6E88F4">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本项目不涉及</w:t>
                  </w:r>
                </w:p>
              </w:tc>
              <w:tc>
                <w:tcPr>
                  <w:tcW w:w="680" w:type="pct"/>
                  <w:vAlign w:val="center"/>
                </w:tcPr>
                <w:p w14:paraId="4D889CC1">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符合</w:t>
                  </w:r>
                </w:p>
              </w:tc>
            </w:tr>
            <w:tr w14:paraId="0DFC579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03" w:type="pct"/>
                  <w:vAlign w:val="center"/>
                </w:tcPr>
                <w:p w14:paraId="4F350AD8">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4</w:t>
                  </w:r>
                </w:p>
              </w:tc>
              <w:tc>
                <w:tcPr>
                  <w:tcW w:w="2732" w:type="pct"/>
                  <w:vAlign w:val="center"/>
                </w:tcPr>
                <w:p w14:paraId="40EDCE9F">
                  <w:pPr>
                    <w:snapToGrid w:val="0"/>
                    <w:ind w:left="-69" w:leftChars="-33" w:right="-90" w:rightChars="-43"/>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禁止在水产种质资源保护区的岸线和河段范围内新建围湖造田、 围海造地或围填海等投资建设项目。禁止在国家湿地公园的岸线和河段范围内挖沙、 采矿， 以及任何不符合主体功能定位的投资建设项目。</w:t>
                  </w:r>
                </w:p>
              </w:tc>
              <w:tc>
                <w:tcPr>
                  <w:tcW w:w="1184" w:type="pct"/>
                  <w:vAlign w:val="center"/>
                </w:tcPr>
                <w:p w14:paraId="7E1C6E8B">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本项目不涉及</w:t>
                  </w:r>
                </w:p>
              </w:tc>
              <w:tc>
                <w:tcPr>
                  <w:tcW w:w="680" w:type="pct"/>
                  <w:vAlign w:val="center"/>
                </w:tcPr>
                <w:p w14:paraId="23C9C0F6">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符合</w:t>
                  </w:r>
                </w:p>
              </w:tc>
            </w:tr>
            <w:tr w14:paraId="5A14F28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03" w:type="pct"/>
                  <w:vAlign w:val="center"/>
                </w:tcPr>
                <w:p w14:paraId="24B8F481">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5</w:t>
                  </w:r>
                </w:p>
              </w:tc>
              <w:tc>
                <w:tcPr>
                  <w:tcW w:w="2732" w:type="pct"/>
                  <w:vAlign w:val="center"/>
                </w:tcPr>
                <w:p w14:paraId="6688B8A0">
                  <w:pPr>
                    <w:snapToGrid w:val="0"/>
                    <w:ind w:left="-69" w:leftChars="-33" w:right="-90" w:rightChars="-43"/>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禁止违法利用、占用长江流域河湖岸线。禁止在《长江岸线保护和开发利用总体规划》划定的岸线保护区和保留区内投资建设除事关公共安全及公众利益的防洪护岸、 河道治理、 供水、 生态环境保护、 航道整治、 国家重要基础设施以外的项目。禁止在《全国重要江河湖泊水功能区划》划定的河段及湖泊保护区、保留区内投资建设不利于水资源及自然生态保护的项目。</w:t>
                  </w:r>
                </w:p>
              </w:tc>
              <w:tc>
                <w:tcPr>
                  <w:tcW w:w="1184" w:type="pct"/>
                  <w:vAlign w:val="center"/>
                </w:tcPr>
                <w:p w14:paraId="261FC212">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本项目不涉及</w:t>
                  </w:r>
                </w:p>
              </w:tc>
              <w:tc>
                <w:tcPr>
                  <w:tcW w:w="680" w:type="pct"/>
                  <w:vAlign w:val="center"/>
                </w:tcPr>
                <w:p w14:paraId="2B64EE41">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符合</w:t>
                  </w:r>
                </w:p>
              </w:tc>
            </w:tr>
            <w:tr w14:paraId="26B799E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03" w:type="pct"/>
                  <w:vAlign w:val="center"/>
                </w:tcPr>
                <w:p w14:paraId="70A9FB3D">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6</w:t>
                  </w:r>
                </w:p>
              </w:tc>
              <w:tc>
                <w:tcPr>
                  <w:tcW w:w="2732" w:type="pct"/>
                  <w:vAlign w:val="center"/>
                </w:tcPr>
                <w:p w14:paraId="44184234">
                  <w:pPr>
                    <w:snapToGrid w:val="0"/>
                    <w:ind w:left="-69" w:leftChars="-33" w:right="-90" w:rightChars="-43"/>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禁止未经许可在长江干支流及湖泊新设、改设或扩大排污口。</w:t>
                  </w:r>
                </w:p>
              </w:tc>
              <w:tc>
                <w:tcPr>
                  <w:tcW w:w="1184" w:type="pct"/>
                  <w:vAlign w:val="center"/>
                </w:tcPr>
                <w:p w14:paraId="71B0A638">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本项目不涉及</w:t>
                  </w:r>
                </w:p>
              </w:tc>
              <w:tc>
                <w:tcPr>
                  <w:tcW w:w="680" w:type="pct"/>
                  <w:vAlign w:val="center"/>
                </w:tcPr>
                <w:p w14:paraId="20E5B0AD">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符合</w:t>
                  </w:r>
                </w:p>
              </w:tc>
            </w:tr>
            <w:tr w14:paraId="501B63C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03" w:type="pct"/>
                  <w:vAlign w:val="center"/>
                </w:tcPr>
                <w:p w14:paraId="6C988145">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7</w:t>
                  </w:r>
                </w:p>
              </w:tc>
              <w:tc>
                <w:tcPr>
                  <w:tcW w:w="2732" w:type="pct"/>
                  <w:vAlign w:val="center"/>
                </w:tcPr>
                <w:p w14:paraId="31A4170C">
                  <w:pPr>
                    <w:snapToGrid w:val="0"/>
                    <w:ind w:left="-69" w:leftChars="-33" w:right="-90" w:rightChars="-43"/>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禁止在“一江一口两湖七河”和3</w:t>
                  </w:r>
                  <w:r>
                    <w:rPr>
                      <w:bCs/>
                      <w:color w:val="000000" w:themeColor="text1"/>
                      <w:sz w:val="18"/>
                      <w:szCs w:val="18"/>
                      <w14:textFill>
                        <w14:solidFill>
                          <w14:schemeClr w14:val="tx1"/>
                        </w14:solidFill>
                      </w14:textFill>
                    </w:rPr>
                    <w:t>32</w:t>
                  </w:r>
                  <w:r>
                    <w:rPr>
                      <w:rFonts w:hint="eastAsia"/>
                      <w:bCs/>
                      <w:color w:val="000000" w:themeColor="text1"/>
                      <w:sz w:val="18"/>
                      <w:szCs w:val="18"/>
                      <w14:textFill>
                        <w14:solidFill>
                          <w14:schemeClr w14:val="tx1"/>
                        </w14:solidFill>
                      </w14:textFill>
                    </w:rPr>
                    <w:t>个水生生物保护区开展生产性捕捞。</w:t>
                  </w:r>
                </w:p>
              </w:tc>
              <w:tc>
                <w:tcPr>
                  <w:tcW w:w="1184" w:type="pct"/>
                  <w:vAlign w:val="center"/>
                </w:tcPr>
                <w:p w14:paraId="7F14FF3F">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本项目不涉及</w:t>
                  </w:r>
                </w:p>
              </w:tc>
              <w:tc>
                <w:tcPr>
                  <w:tcW w:w="680" w:type="pct"/>
                  <w:vAlign w:val="center"/>
                </w:tcPr>
                <w:p w14:paraId="6391168F">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符合</w:t>
                  </w:r>
                </w:p>
              </w:tc>
            </w:tr>
            <w:tr w14:paraId="66F0739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03" w:type="pct"/>
                  <w:vAlign w:val="center"/>
                </w:tcPr>
                <w:p w14:paraId="45CEF453">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8</w:t>
                  </w:r>
                </w:p>
              </w:tc>
              <w:tc>
                <w:tcPr>
                  <w:tcW w:w="2732" w:type="pct"/>
                  <w:vAlign w:val="center"/>
                </w:tcPr>
                <w:p w14:paraId="2F7FEEBE">
                  <w:pPr>
                    <w:snapToGrid w:val="0"/>
                    <w:ind w:left="-69" w:leftChars="-33" w:right="-90" w:rightChars="-43"/>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禁止在长江干支流、重要湖泊岸线一公里范围内新建、扩建化工园区和化工项目。禁止在长江干流岸线三公里范围内和重要支流岸线一公里范围内新建、改建、扩建尾矿库、冶炼渣库和磷石膏库， 以提升安全、生态环境保护水平为目的的改建除外。</w:t>
                  </w:r>
                </w:p>
              </w:tc>
              <w:tc>
                <w:tcPr>
                  <w:tcW w:w="1184" w:type="pct"/>
                  <w:vAlign w:val="center"/>
                </w:tcPr>
                <w:p w14:paraId="59F6B9A7">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本项目不涉及</w:t>
                  </w:r>
                </w:p>
              </w:tc>
              <w:tc>
                <w:tcPr>
                  <w:tcW w:w="680" w:type="pct"/>
                  <w:vAlign w:val="center"/>
                </w:tcPr>
                <w:p w14:paraId="693D1235">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符合</w:t>
                  </w:r>
                </w:p>
              </w:tc>
            </w:tr>
            <w:tr w14:paraId="313CBB2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03" w:type="pct"/>
                  <w:vAlign w:val="center"/>
                </w:tcPr>
                <w:p w14:paraId="318F36C2">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9</w:t>
                  </w:r>
                </w:p>
              </w:tc>
              <w:tc>
                <w:tcPr>
                  <w:tcW w:w="2732" w:type="pct"/>
                  <w:vAlign w:val="center"/>
                </w:tcPr>
                <w:p w14:paraId="5E346E37">
                  <w:pPr>
                    <w:snapToGrid w:val="0"/>
                    <w:ind w:left="-69" w:leftChars="-33" w:right="-90" w:rightChars="-43"/>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禁止在合规园区外新建、扩建钢铁、石化、化工、焦化、建材、有色、制浆造纸等高污染项目。</w:t>
                  </w:r>
                </w:p>
              </w:tc>
              <w:tc>
                <w:tcPr>
                  <w:tcW w:w="1184" w:type="pct"/>
                  <w:vAlign w:val="center"/>
                </w:tcPr>
                <w:p w14:paraId="1C752799">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本项目不涉及</w:t>
                  </w:r>
                </w:p>
              </w:tc>
              <w:tc>
                <w:tcPr>
                  <w:tcW w:w="680" w:type="pct"/>
                  <w:vAlign w:val="center"/>
                </w:tcPr>
                <w:p w14:paraId="557CD679">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符合</w:t>
                  </w:r>
                </w:p>
              </w:tc>
            </w:tr>
            <w:tr w14:paraId="3A50F37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PrEx>
              <w:trPr>
                <w:trHeight w:val="227" w:hRule="atLeast"/>
              </w:trPr>
              <w:tc>
                <w:tcPr>
                  <w:tcW w:w="403" w:type="pct"/>
                  <w:vAlign w:val="center"/>
                </w:tcPr>
                <w:p w14:paraId="01E45675">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1</w:t>
                  </w:r>
                  <w:r>
                    <w:rPr>
                      <w:bCs/>
                      <w:color w:val="000000" w:themeColor="text1"/>
                      <w:sz w:val="18"/>
                      <w:szCs w:val="18"/>
                      <w14:textFill>
                        <w14:solidFill>
                          <w14:schemeClr w14:val="tx1"/>
                        </w14:solidFill>
                      </w14:textFill>
                    </w:rPr>
                    <w:t>0</w:t>
                  </w:r>
                </w:p>
              </w:tc>
              <w:tc>
                <w:tcPr>
                  <w:tcW w:w="2732" w:type="pct"/>
                  <w:vAlign w:val="center"/>
                </w:tcPr>
                <w:p w14:paraId="2FD57C14">
                  <w:pPr>
                    <w:snapToGrid w:val="0"/>
                    <w:ind w:left="-69" w:leftChars="-33" w:right="-90" w:rightChars="-43"/>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禁止新建、扩建不符合国家石化、现代煤化工等产业布局规划的项目。</w:t>
                  </w:r>
                </w:p>
              </w:tc>
              <w:tc>
                <w:tcPr>
                  <w:tcW w:w="1184" w:type="pct"/>
                  <w:vAlign w:val="center"/>
                </w:tcPr>
                <w:p w14:paraId="2C05E03D">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本项目不涉及</w:t>
                  </w:r>
                </w:p>
              </w:tc>
              <w:tc>
                <w:tcPr>
                  <w:tcW w:w="680" w:type="pct"/>
                  <w:vAlign w:val="center"/>
                </w:tcPr>
                <w:p w14:paraId="78784DE3">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符合</w:t>
                  </w:r>
                </w:p>
              </w:tc>
            </w:tr>
            <w:tr w14:paraId="3A2A8C4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03" w:type="pct"/>
                  <w:vAlign w:val="center"/>
                </w:tcPr>
                <w:p w14:paraId="4E996C75">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1</w:t>
                  </w:r>
                  <w:r>
                    <w:rPr>
                      <w:bCs/>
                      <w:color w:val="000000" w:themeColor="text1"/>
                      <w:sz w:val="18"/>
                      <w:szCs w:val="18"/>
                      <w14:textFill>
                        <w14:solidFill>
                          <w14:schemeClr w14:val="tx1"/>
                        </w14:solidFill>
                      </w14:textFill>
                    </w:rPr>
                    <w:t>1</w:t>
                  </w:r>
                </w:p>
              </w:tc>
              <w:tc>
                <w:tcPr>
                  <w:tcW w:w="2732" w:type="pct"/>
                  <w:vAlign w:val="center"/>
                </w:tcPr>
                <w:p w14:paraId="6EE295E0">
                  <w:pPr>
                    <w:snapToGrid w:val="0"/>
                    <w:ind w:left="-69" w:leftChars="-33" w:right="-90" w:rightChars="-43"/>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禁止新建、扩建法律法规和相关政策明令禁止的落后产能项目。禁止新建、扩建不符合国家产能置换要求的严重过剩产能行业的项目。 禁止新建、扩建不符合要求的高耗能高排放项目。</w:t>
                  </w:r>
                </w:p>
              </w:tc>
              <w:tc>
                <w:tcPr>
                  <w:tcW w:w="1184" w:type="pct"/>
                  <w:vAlign w:val="center"/>
                </w:tcPr>
                <w:p w14:paraId="059C9642">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本项目为低耗能低排放项目</w:t>
                  </w:r>
                </w:p>
              </w:tc>
              <w:tc>
                <w:tcPr>
                  <w:tcW w:w="680" w:type="pct"/>
                  <w:vAlign w:val="center"/>
                </w:tcPr>
                <w:p w14:paraId="633D1A65">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符合</w:t>
                  </w:r>
                </w:p>
              </w:tc>
            </w:tr>
            <w:tr w14:paraId="4ED8CAA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38" w:hRule="atLeast"/>
              </w:trPr>
              <w:tc>
                <w:tcPr>
                  <w:tcW w:w="403" w:type="pct"/>
                  <w:vAlign w:val="center"/>
                </w:tcPr>
                <w:p w14:paraId="0D5455BD">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1</w:t>
                  </w:r>
                  <w:r>
                    <w:rPr>
                      <w:bCs/>
                      <w:color w:val="000000" w:themeColor="text1"/>
                      <w:sz w:val="18"/>
                      <w:szCs w:val="18"/>
                      <w14:textFill>
                        <w14:solidFill>
                          <w14:schemeClr w14:val="tx1"/>
                        </w14:solidFill>
                      </w14:textFill>
                    </w:rPr>
                    <w:t>2</w:t>
                  </w:r>
                </w:p>
              </w:tc>
              <w:tc>
                <w:tcPr>
                  <w:tcW w:w="2732" w:type="pct"/>
                  <w:vAlign w:val="center"/>
                </w:tcPr>
                <w:p w14:paraId="7769F43F">
                  <w:pPr>
                    <w:snapToGrid w:val="0"/>
                    <w:ind w:left="-69" w:leftChars="-33" w:right="-90" w:rightChars="-43"/>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法律法规及相关政策文件有更加严格规定的从其规定。</w:t>
                  </w:r>
                </w:p>
              </w:tc>
              <w:tc>
                <w:tcPr>
                  <w:tcW w:w="1184" w:type="pct"/>
                  <w:vAlign w:val="center"/>
                </w:tcPr>
                <w:p w14:paraId="36CC04C1">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本项目不涉及</w:t>
                  </w:r>
                </w:p>
              </w:tc>
              <w:tc>
                <w:tcPr>
                  <w:tcW w:w="680" w:type="pct"/>
                  <w:vAlign w:val="center"/>
                </w:tcPr>
                <w:p w14:paraId="4BDF414B">
                  <w:pPr>
                    <w:snapToGrid w:val="0"/>
                    <w:ind w:left="-69" w:leftChars="-33" w:right="-90" w:rightChars="-43"/>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符合</w:t>
                  </w:r>
                </w:p>
              </w:tc>
            </w:tr>
          </w:tbl>
          <w:p w14:paraId="6DE2BABC">
            <w:pPr>
              <w:pStyle w:val="222"/>
              <w:widowControl w:val="0"/>
              <w:autoSpaceDN/>
              <w:snapToGrid w:val="0"/>
              <w:spacing w:line="360" w:lineRule="auto"/>
              <w:ind w:firstLine="482"/>
              <w:rPr>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五、与《江西省长江经济带发展负面清单实施细则（试行</w:t>
            </w:r>
            <w:r>
              <w:rPr>
                <w:rFonts w:hint="eastAsia"/>
                <w:b/>
                <w:bCs/>
                <w:color w:val="000000" w:themeColor="text1"/>
                <w14:textFill>
                  <w14:solidFill>
                    <w14:schemeClr w14:val="tx1"/>
                  </w14:solidFill>
                </w14:textFill>
              </w:rPr>
              <w:t>,2022</w:t>
            </w:r>
            <w:r>
              <w:rPr>
                <w:rFonts w:hint="eastAsia" w:ascii="宋体" w:hAnsi="宋体"/>
                <w:b/>
                <w:bCs/>
                <w:color w:val="000000" w:themeColor="text1"/>
                <w14:textFill>
                  <w14:solidFill>
                    <w14:schemeClr w14:val="tx1"/>
                  </w14:solidFill>
                </w14:textFill>
              </w:rPr>
              <w:t>年版）》（赣长江办〔</w:t>
            </w:r>
            <w:r>
              <w:rPr>
                <w:rFonts w:hint="eastAsia"/>
                <w:b/>
                <w:bCs/>
                <w:color w:val="000000" w:themeColor="text1"/>
                <w14:textFill>
                  <w14:solidFill>
                    <w14:schemeClr w14:val="tx1"/>
                  </w14:solidFill>
                </w14:textFill>
              </w:rPr>
              <w:t>2022</w:t>
            </w:r>
            <w:r>
              <w:rPr>
                <w:rFonts w:hint="eastAsia" w:ascii="宋体" w:hAnsi="宋体"/>
                <w:b/>
                <w:bCs/>
                <w:color w:val="000000" w:themeColor="text1"/>
                <w14:textFill>
                  <w14:solidFill>
                    <w14:schemeClr w14:val="tx1"/>
                  </w14:solidFill>
                </w14:textFill>
              </w:rPr>
              <w:t>〕</w:t>
            </w:r>
            <w:r>
              <w:rPr>
                <w:rFonts w:hint="eastAsia"/>
                <w:b/>
                <w:bCs/>
                <w:color w:val="000000" w:themeColor="text1"/>
                <w14:textFill>
                  <w14:solidFill>
                    <w14:schemeClr w14:val="tx1"/>
                  </w14:solidFill>
                </w14:textFill>
              </w:rPr>
              <w:t>7</w:t>
            </w:r>
            <w:r>
              <w:rPr>
                <w:rFonts w:hint="eastAsia" w:ascii="宋体" w:hAnsi="宋体"/>
                <w:b/>
                <w:bCs/>
                <w:color w:val="000000" w:themeColor="text1"/>
                <w14:textFill>
                  <w14:solidFill>
                    <w14:schemeClr w14:val="tx1"/>
                  </w14:solidFill>
                </w14:textFill>
              </w:rPr>
              <w:t>号）相符性分析</w:t>
            </w:r>
          </w:p>
          <w:p w14:paraId="2E22B13D">
            <w:pPr>
              <w:widowControl/>
              <w:jc w:val="center"/>
              <w:rPr>
                <w:b/>
                <w:bCs/>
                <w:color w:val="000000" w:themeColor="text1"/>
                <w:sz w:val="24"/>
                <w14:textFill>
                  <w14:solidFill>
                    <w14:schemeClr w14:val="tx1"/>
                  </w14:solidFill>
                </w14:textFill>
              </w:rPr>
            </w:pPr>
            <w:r>
              <w:rPr>
                <w:rFonts w:ascii="宋体" w:hAnsi="宋体"/>
                <w:b/>
                <w:bCs/>
                <w:color w:val="000000" w:themeColor="text1"/>
                <w:sz w:val="24"/>
                <w14:textFill>
                  <w14:solidFill>
                    <w14:schemeClr w14:val="tx1"/>
                  </w14:solidFill>
                </w14:textFill>
              </w:rPr>
              <w:t>表</w:t>
            </w:r>
            <w:r>
              <w:rPr>
                <w:b/>
                <w:bCs/>
                <w:color w:val="000000" w:themeColor="text1"/>
                <w:sz w:val="24"/>
                <w14:textFill>
                  <w14:solidFill>
                    <w14:schemeClr w14:val="tx1"/>
                  </w14:solidFill>
                </w14:textFill>
              </w:rPr>
              <w:t>1-</w:t>
            </w:r>
            <w:r>
              <w:rPr>
                <w:rFonts w:hint="eastAsia"/>
                <w:b/>
                <w:bCs/>
                <w:color w:val="000000" w:themeColor="text1"/>
                <w:sz w:val="24"/>
                <w14:textFill>
                  <w14:solidFill>
                    <w14:schemeClr w14:val="tx1"/>
                  </w14:solidFill>
                </w14:textFill>
              </w:rPr>
              <w:t>7</w:t>
            </w:r>
            <w:r>
              <w:rPr>
                <w:b/>
                <w:bCs/>
                <w:color w:val="000000" w:themeColor="text1"/>
                <w:sz w:val="24"/>
                <w14:textFill>
                  <w14:solidFill>
                    <w14:schemeClr w14:val="tx1"/>
                  </w14:solidFill>
                </w14:textFill>
              </w:rPr>
              <w:t xml:space="preserve"> </w:t>
            </w:r>
            <w:r>
              <w:rPr>
                <w:rFonts w:ascii="宋体" w:hAnsi="宋体"/>
                <w:b/>
                <w:bCs/>
                <w:color w:val="000000" w:themeColor="text1"/>
                <w:sz w:val="24"/>
                <w14:textFill>
                  <w14:solidFill>
                    <w14:schemeClr w14:val="tx1"/>
                  </w14:solidFill>
                </w14:textFill>
              </w:rPr>
              <w:t>与</w:t>
            </w:r>
            <w:r>
              <w:rPr>
                <w:rFonts w:hint="eastAsia" w:ascii="宋体" w:hAnsi="宋体"/>
                <w:b/>
                <w:bCs/>
                <w:color w:val="000000" w:themeColor="text1"/>
                <w:sz w:val="24"/>
                <w14:textFill>
                  <w14:solidFill>
                    <w14:schemeClr w14:val="tx1"/>
                  </w14:solidFill>
                </w14:textFill>
              </w:rPr>
              <w:t>赣</w:t>
            </w:r>
            <w:r>
              <w:rPr>
                <w:rFonts w:hint="eastAsia"/>
                <w:b/>
                <w:bCs/>
                <w:color w:val="000000" w:themeColor="text1"/>
                <w:sz w:val="24"/>
                <w14:textFill>
                  <w14:solidFill>
                    <w14:schemeClr w14:val="tx1"/>
                  </w14:solidFill>
                </w14:textFill>
              </w:rPr>
              <w:t>长江办〔</w:t>
            </w:r>
            <w:r>
              <w:rPr>
                <w:b/>
                <w:bCs/>
                <w:color w:val="000000" w:themeColor="text1"/>
                <w:sz w:val="24"/>
                <w14:textFill>
                  <w14:solidFill>
                    <w14:schemeClr w14:val="tx1"/>
                  </w14:solidFill>
                </w14:textFill>
              </w:rPr>
              <w:t>2022</w:t>
            </w:r>
            <w:r>
              <w:rPr>
                <w:rFonts w:hint="eastAsia"/>
                <w:b/>
                <w:bCs/>
                <w:color w:val="000000" w:themeColor="text1"/>
                <w:sz w:val="24"/>
                <w14:textFill>
                  <w14:solidFill>
                    <w14:schemeClr w14:val="tx1"/>
                  </w14:solidFill>
                </w14:textFill>
              </w:rPr>
              <w:t>〕</w:t>
            </w:r>
            <w:r>
              <w:rPr>
                <w:b/>
                <w:bCs/>
                <w:color w:val="000000" w:themeColor="text1"/>
                <w:sz w:val="24"/>
                <w14:textFill>
                  <w14:solidFill>
                    <w14:schemeClr w14:val="tx1"/>
                  </w14:solidFill>
                </w14:textFill>
              </w:rPr>
              <w:t>7</w:t>
            </w:r>
            <w:r>
              <w:rPr>
                <w:rFonts w:hint="eastAsia"/>
                <w:b/>
                <w:bCs/>
                <w:color w:val="000000" w:themeColor="text1"/>
                <w:sz w:val="24"/>
                <w14:textFill>
                  <w14:solidFill>
                    <w14:schemeClr w14:val="tx1"/>
                  </w14:solidFill>
                </w14:textFill>
              </w:rPr>
              <w:t>号</w:t>
            </w:r>
            <w:r>
              <w:rPr>
                <w:rFonts w:hint="eastAsia" w:ascii="宋体" w:hAnsi="宋体"/>
                <w:b/>
                <w:bCs/>
                <w:color w:val="000000" w:themeColor="text1"/>
                <w:sz w:val="24"/>
                <w14:textFill>
                  <w14:solidFill>
                    <w14:schemeClr w14:val="tx1"/>
                  </w14:solidFill>
                </w14:textFill>
              </w:rPr>
              <w:t>符合性一览表</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532"/>
              <w:gridCol w:w="4167"/>
              <w:gridCol w:w="2216"/>
              <w:gridCol w:w="938"/>
            </w:tblGrid>
            <w:tr w14:paraId="46BB0D4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2992" w:type="pct"/>
                  <w:gridSpan w:val="2"/>
                  <w:vAlign w:val="center"/>
                </w:tcPr>
                <w:p w14:paraId="03F63D37">
                  <w:pPr>
                    <w:pStyle w:val="464"/>
                    <w:jc w:val="center"/>
                    <w:rPr>
                      <w:rFonts w:ascii="Times New Roman" w:hAnsi="Times New Roman" w:eastAsia="宋体"/>
                      <w:b/>
                      <w:color w:val="000000" w:themeColor="text1"/>
                      <w:kern w:val="2"/>
                      <w:sz w:val="18"/>
                      <w:szCs w:val="18"/>
                      <w14:textFill>
                        <w14:solidFill>
                          <w14:schemeClr w14:val="tx1"/>
                        </w14:solidFill>
                      </w14:textFill>
                    </w:rPr>
                  </w:pPr>
                  <w:r>
                    <w:rPr>
                      <w:rFonts w:ascii="Times New Roman" w:hAnsi="Times New Roman" w:eastAsia="宋体"/>
                      <w:b/>
                      <w:color w:val="000000" w:themeColor="text1"/>
                      <w:kern w:val="2"/>
                      <w:sz w:val="18"/>
                      <w:szCs w:val="18"/>
                      <w14:textFill>
                        <w14:solidFill>
                          <w14:schemeClr w14:val="tx1"/>
                        </w14:solidFill>
                      </w14:textFill>
                    </w:rPr>
                    <w:t>内容</w:t>
                  </w:r>
                </w:p>
              </w:tc>
              <w:tc>
                <w:tcPr>
                  <w:tcW w:w="1411" w:type="pct"/>
                  <w:vAlign w:val="center"/>
                </w:tcPr>
                <w:p w14:paraId="18972878">
                  <w:pPr>
                    <w:pStyle w:val="464"/>
                    <w:jc w:val="center"/>
                    <w:rPr>
                      <w:rFonts w:ascii="Times New Roman" w:hAnsi="Times New Roman" w:eastAsia="宋体"/>
                      <w:b/>
                      <w:color w:val="000000" w:themeColor="text1"/>
                      <w:kern w:val="2"/>
                      <w:sz w:val="18"/>
                      <w:szCs w:val="18"/>
                      <w14:textFill>
                        <w14:solidFill>
                          <w14:schemeClr w14:val="tx1"/>
                        </w14:solidFill>
                      </w14:textFill>
                    </w:rPr>
                  </w:pPr>
                  <w:r>
                    <w:rPr>
                      <w:rFonts w:ascii="Times New Roman" w:hAnsi="Times New Roman" w:eastAsia="宋体"/>
                      <w:b/>
                      <w:color w:val="000000" w:themeColor="text1"/>
                      <w:kern w:val="2"/>
                      <w:sz w:val="18"/>
                      <w:szCs w:val="18"/>
                      <w14:textFill>
                        <w14:solidFill>
                          <w14:schemeClr w14:val="tx1"/>
                        </w14:solidFill>
                      </w14:textFill>
                    </w:rPr>
                    <w:t>项目情况</w:t>
                  </w:r>
                </w:p>
              </w:tc>
              <w:tc>
                <w:tcPr>
                  <w:tcW w:w="597" w:type="pct"/>
                  <w:vAlign w:val="center"/>
                </w:tcPr>
                <w:p w14:paraId="79F853FD">
                  <w:pPr>
                    <w:pStyle w:val="464"/>
                    <w:jc w:val="center"/>
                    <w:rPr>
                      <w:rFonts w:ascii="Times New Roman" w:hAnsi="Times New Roman" w:eastAsia="宋体"/>
                      <w:b/>
                      <w:color w:val="000000" w:themeColor="text1"/>
                      <w:kern w:val="2"/>
                      <w:sz w:val="18"/>
                      <w:szCs w:val="18"/>
                      <w14:textFill>
                        <w14:solidFill>
                          <w14:schemeClr w14:val="tx1"/>
                        </w14:solidFill>
                      </w14:textFill>
                    </w:rPr>
                  </w:pPr>
                  <w:r>
                    <w:rPr>
                      <w:rFonts w:ascii="Times New Roman" w:hAnsi="Times New Roman" w:eastAsia="宋体"/>
                      <w:b/>
                      <w:color w:val="000000" w:themeColor="text1"/>
                      <w:kern w:val="2"/>
                      <w:sz w:val="18"/>
                      <w:szCs w:val="18"/>
                      <w14:textFill>
                        <w14:solidFill>
                          <w14:schemeClr w14:val="tx1"/>
                        </w14:solidFill>
                      </w14:textFill>
                    </w:rPr>
                    <w:t>符合性</w:t>
                  </w:r>
                </w:p>
              </w:tc>
            </w:tr>
            <w:tr w14:paraId="4B72C4A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9" w:type="pct"/>
                  <w:vMerge w:val="restart"/>
                  <w:vAlign w:val="center"/>
                </w:tcPr>
                <w:p w14:paraId="10F9BDCE">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严格岸线河段管控</w:t>
                  </w:r>
                </w:p>
              </w:tc>
              <w:tc>
                <w:tcPr>
                  <w:tcW w:w="2653" w:type="pct"/>
                  <w:vAlign w:val="center"/>
                </w:tcPr>
                <w:p w14:paraId="57F34D38">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 xml:space="preserve">第四条 </w:t>
                  </w:r>
                  <w:r>
                    <w:rPr>
                      <w:rFonts w:ascii="Times New Roman" w:hAnsi="Times New Roman" w:eastAsia="宋体"/>
                      <w:bCs/>
                      <w:color w:val="000000" w:themeColor="text1"/>
                      <w:kern w:val="2"/>
                      <w:sz w:val="18"/>
                      <w:szCs w:val="18"/>
                      <w14:textFill>
                        <w14:solidFill>
                          <w14:schemeClr w14:val="tx1"/>
                        </w14:solidFill>
                      </w14:textFill>
                    </w:rPr>
                    <w:t>禁止建设不符合全国和省级港口布局规划以及港口总体规划的码头项目，禁止建设不符合《长江干线过江通道布局规划》的过江通道项目。</w:t>
                  </w:r>
                </w:p>
              </w:tc>
              <w:tc>
                <w:tcPr>
                  <w:tcW w:w="1411" w:type="pct"/>
                  <w:vAlign w:val="center"/>
                </w:tcPr>
                <w:p w14:paraId="2BE63ED4">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项目不属于码头项目和过长江通道项目</w:t>
                  </w:r>
                  <w:r>
                    <w:rPr>
                      <w:rFonts w:hint="eastAsia" w:ascii="Times New Roman" w:hAnsi="Times New Roman" w:eastAsia="宋体"/>
                      <w:bCs/>
                      <w:color w:val="000000" w:themeColor="text1"/>
                      <w:kern w:val="2"/>
                      <w:sz w:val="18"/>
                      <w:szCs w:val="18"/>
                      <w14:textFill>
                        <w14:solidFill>
                          <w14:schemeClr w14:val="tx1"/>
                        </w14:solidFill>
                      </w14:textFill>
                    </w:rPr>
                    <w:t>。</w:t>
                  </w:r>
                </w:p>
              </w:tc>
              <w:tc>
                <w:tcPr>
                  <w:tcW w:w="597" w:type="pct"/>
                  <w:vAlign w:val="center"/>
                </w:tcPr>
                <w:p w14:paraId="3B050A8E">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05991B6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9" w:type="pct"/>
                  <w:vMerge w:val="continue"/>
                  <w:vAlign w:val="center"/>
                </w:tcPr>
                <w:p w14:paraId="0CEDFC34">
                  <w:pPr>
                    <w:rPr>
                      <w:bCs/>
                      <w:color w:val="000000" w:themeColor="text1"/>
                      <w:sz w:val="18"/>
                      <w:szCs w:val="18"/>
                      <w14:textFill>
                        <w14:solidFill>
                          <w14:schemeClr w14:val="tx1"/>
                        </w14:solidFill>
                      </w14:textFill>
                    </w:rPr>
                  </w:pPr>
                </w:p>
              </w:tc>
              <w:tc>
                <w:tcPr>
                  <w:tcW w:w="2653" w:type="pct"/>
                  <w:vAlign w:val="center"/>
                </w:tcPr>
                <w:p w14:paraId="20F114B5">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 xml:space="preserve">第五条 </w:t>
                  </w:r>
                  <w:r>
                    <w:rPr>
                      <w:rFonts w:ascii="Times New Roman" w:hAnsi="Times New Roman" w:eastAsia="宋体"/>
                      <w:bCs/>
                      <w:color w:val="000000" w:themeColor="text1"/>
                      <w:kern w:val="2"/>
                      <w:sz w:val="18"/>
                      <w:szCs w:val="18"/>
                      <w14:textFill>
                        <w14:solidFill>
                          <w14:schemeClr w14:val="tx1"/>
                        </w14:solidFill>
                      </w14:textFill>
                    </w:rPr>
                    <w:t>禁止在自然保护区核心区、缓冲区的岸线和河段范围内投资建设旅游和生产经营项目。</w:t>
                  </w:r>
                </w:p>
              </w:tc>
              <w:tc>
                <w:tcPr>
                  <w:tcW w:w="1411" w:type="pct"/>
                  <w:vAlign w:val="center"/>
                </w:tcPr>
                <w:p w14:paraId="5BB437F9">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项目</w:t>
                  </w:r>
                  <w:r>
                    <w:rPr>
                      <w:rFonts w:hint="eastAsia" w:ascii="Times New Roman" w:hAnsi="Times New Roman" w:eastAsia="宋体"/>
                      <w:bCs/>
                      <w:color w:val="000000" w:themeColor="text1"/>
                      <w:kern w:val="2"/>
                      <w:sz w:val="18"/>
                      <w:szCs w:val="18"/>
                      <w14:textFill>
                        <w14:solidFill>
                          <w14:schemeClr w14:val="tx1"/>
                        </w14:solidFill>
                      </w14:textFill>
                    </w:rPr>
                    <w:t>不位于</w:t>
                  </w:r>
                  <w:r>
                    <w:rPr>
                      <w:rFonts w:ascii="Times New Roman" w:hAnsi="Times New Roman" w:eastAsia="宋体"/>
                      <w:bCs/>
                      <w:color w:val="000000" w:themeColor="text1"/>
                      <w:kern w:val="2"/>
                      <w:sz w:val="18"/>
                      <w:szCs w:val="18"/>
                      <w14:textFill>
                        <w14:solidFill>
                          <w14:schemeClr w14:val="tx1"/>
                        </w14:solidFill>
                      </w14:textFill>
                    </w:rPr>
                    <w:t>自然保护区核心区、缓冲区的岸线和河段范围内</w:t>
                  </w:r>
                  <w:r>
                    <w:rPr>
                      <w:rFonts w:hint="eastAsia" w:ascii="Times New Roman" w:hAnsi="Times New Roman" w:eastAsia="宋体"/>
                      <w:bCs/>
                      <w:color w:val="000000" w:themeColor="text1"/>
                      <w:kern w:val="2"/>
                      <w:sz w:val="18"/>
                      <w:szCs w:val="18"/>
                      <w14:textFill>
                        <w14:solidFill>
                          <w14:schemeClr w14:val="tx1"/>
                        </w14:solidFill>
                      </w14:textFill>
                    </w:rPr>
                    <w:t>。</w:t>
                  </w:r>
                </w:p>
              </w:tc>
              <w:tc>
                <w:tcPr>
                  <w:tcW w:w="597" w:type="pct"/>
                  <w:vAlign w:val="center"/>
                </w:tcPr>
                <w:p w14:paraId="2BD42B97">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252379A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9" w:type="pct"/>
                  <w:vMerge w:val="continue"/>
                  <w:vAlign w:val="center"/>
                </w:tcPr>
                <w:p w14:paraId="5DBDB05C">
                  <w:pPr>
                    <w:rPr>
                      <w:bCs/>
                      <w:color w:val="000000" w:themeColor="text1"/>
                      <w:sz w:val="18"/>
                      <w:szCs w:val="18"/>
                      <w14:textFill>
                        <w14:solidFill>
                          <w14:schemeClr w14:val="tx1"/>
                        </w14:solidFill>
                      </w14:textFill>
                    </w:rPr>
                  </w:pPr>
                </w:p>
              </w:tc>
              <w:tc>
                <w:tcPr>
                  <w:tcW w:w="2653" w:type="pct"/>
                  <w:vAlign w:val="center"/>
                </w:tcPr>
                <w:p w14:paraId="5123A71E">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 xml:space="preserve">第六条 </w:t>
                  </w:r>
                  <w:r>
                    <w:rPr>
                      <w:rFonts w:ascii="Times New Roman" w:hAnsi="Times New Roman" w:eastAsia="宋体"/>
                      <w:bCs/>
                      <w:color w:val="000000" w:themeColor="text1"/>
                      <w:kern w:val="2"/>
                      <w:sz w:val="18"/>
                      <w:szCs w:val="18"/>
                      <w14:textFill>
                        <w14:solidFill>
                          <w14:schemeClr w14:val="tx1"/>
                        </w14:solidFill>
                      </w14:textFill>
                    </w:rPr>
                    <w:t>禁止在风景名胜区核心景区的岸线和河段范围内</w:t>
                  </w:r>
                  <w:r>
                    <w:rPr>
                      <w:rFonts w:hint="eastAsia" w:ascii="Times New Roman" w:hAnsi="Times New Roman" w:eastAsia="宋体"/>
                      <w:bCs/>
                      <w:color w:val="000000" w:themeColor="text1"/>
                      <w:kern w:val="2"/>
                      <w:sz w:val="18"/>
                      <w:szCs w:val="18"/>
                      <w14:textFill>
                        <w14:solidFill>
                          <w14:schemeClr w14:val="tx1"/>
                        </w14:solidFill>
                      </w14:textFill>
                    </w:rPr>
                    <w:t>开展以下行为：（</w:t>
                  </w:r>
                  <w:r>
                    <w:rPr>
                      <w:rFonts w:ascii="Times New Roman" w:hAnsi="Times New Roman" w:eastAsia="宋体"/>
                      <w:bCs/>
                      <w:color w:val="000000" w:themeColor="text1"/>
                      <w:kern w:val="2"/>
                      <w:sz w:val="18"/>
                      <w:szCs w:val="18"/>
                      <w14:textFill>
                        <w14:solidFill>
                          <w14:schemeClr w14:val="tx1"/>
                        </w14:solidFill>
                      </w14:textFill>
                    </w:rPr>
                    <w:t>一</w:t>
                  </w:r>
                  <w:r>
                    <w:rPr>
                      <w:rFonts w:hint="eastAsia" w:ascii="Times New Roman" w:hAnsi="Times New Roman" w:eastAsia="宋体"/>
                      <w:bCs/>
                      <w:color w:val="000000" w:themeColor="text1"/>
                      <w:kern w:val="2"/>
                      <w:sz w:val="18"/>
                      <w:szCs w:val="18"/>
                      <w14:textFill>
                        <w14:solidFill>
                          <w14:schemeClr w14:val="tx1"/>
                        </w14:solidFill>
                      </w14:textFill>
                    </w:rPr>
                    <w:t>）</w:t>
                  </w:r>
                  <w:r>
                    <w:rPr>
                      <w:rFonts w:ascii="Times New Roman" w:hAnsi="Times New Roman" w:eastAsia="宋体"/>
                      <w:bCs/>
                      <w:color w:val="000000" w:themeColor="text1"/>
                      <w:kern w:val="2"/>
                      <w:sz w:val="18"/>
                      <w:szCs w:val="18"/>
                      <w14:textFill>
                        <w14:solidFill>
                          <w14:schemeClr w14:val="tx1"/>
                        </w14:solidFill>
                      </w14:textFill>
                    </w:rPr>
                    <w:t>开山、采石、开矿、开荒、修坟立碑等破坏景观、植被和地形地貌的活动。</w:t>
                  </w:r>
                  <w:r>
                    <w:rPr>
                      <w:rFonts w:hint="eastAsia" w:ascii="Times New Roman" w:hAnsi="Times New Roman" w:eastAsia="宋体"/>
                      <w:bCs/>
                      <w:color w:val="000000" w:themeColor="text1"/>
                      <w:kern w:val="2"/>
                      <w:sz w:val="18"/>
                      <w:szCs w:val="18"/>
                      <w14:textFill>
                        <w14:solidFill>
                          <w14:schemeClr w14:val="tx1"/>
                        </w14:solidFill>
                      </w14:textFill>
                    </w:rPr>
                    <w:t>（二）</w:t>
                  </w:r>
                  <w:r>
                    <w:rPr>
                      <w:rFonts w:ascii="Times New Roman" w:hAnsi="Times New Roman" w:eastAsia="宋体"/>
                      <w:bCs/>
                      <w:color w:val="000000" w:themeColor="text1"/>
                      <w:kern w:val="2"/>
                      <w:sz w:val="18"/>
                      <w:szCs w:val="18"/>
                      <w14:textFill>
                        <w14:solidFill>
                          <w14:schemeClr w14:val="tx1"/>
                        </w14:solidFill>
                      </w14:textFill>
                    </w:rPr>
                    <w:t>修建储存爆炸性、易燃性、放射性、毒害性、腐蚀性物品的设施。</w:t>
                  </w:r>
                  <w:r>
                    <w:rPr>
                      <w:rFonts w:hint="eastAsia" w:ascii="Times New Roman" w:hAnsi="Times New Roman" w:eastAsia="宋体"/>
                      <w:bCs/>
                      <w:color w:val="000000" w:themeColor="text1"/>
                      <w:kern w:val="2"/>
                      <w:sz w:val="18"/>
                      <w:szCs w:val="18"/>
                      <w14:textFill>
                        <w14:solidFill>
                          <w14:schemeClr w14:val="tx1"/>
                        </w14:solidFill>
                      </w14:textFill>
                    </w:rPr>
                    <w:t>（三）</w:t>
                  </w:r>
                  <w:r>
                    <w:rPr>
                      <w:rFonts w:ascii="Times New Roman" w:hAnsi="Times New Roman" w:eastAsia="宋体"/>
                      <w:bCs/>
                      <w:color w:val="000000" w:themeColor="text1"/>
                      <w:kern w:val="2"/>
                      <w:sz w:val="18"/>
                      <w:szCs w:val="18"/>
                      <w14:textFill>
                        <w14:solidFill>
                          <w14:schemeClr w14:val="tx1"/>
                        </w14:solidFill>
                      </w14:textFill>
                    </w:rPr>
                    <w:t>违反风景名胜区规划，建设与风景名胜资源保护无关的设施。</w:t>
                  </w:r>
                </w:p>
              </w:tc>
              <w:tc>
                <w:tcPr>
                  <w:tcW w:w="1411" w:type="pct"/>
                  <w:vAlign w:val="center"/>
                </w:tcPr>
                <w:p w14:paraId="5FCF00BD">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项目不在</w:t>
                  </w:r>
                  <w:r>
                    <w:rPr>
                      <w:rFonts w:ascii="Times New Roman" w:hAnsi="Times New Roman" w:eastAsia="宋体"/>
                      <w:bCs/>
                      <w:color w:val="000000" w:themeColor="text1"/>
                      <w:kern w:val="2"/>
                      <w:sz w:val="18"/>
                      <w:szCs w:val="18"/>
                      <w14:textFill>
                        <w14:solidFill>
                          <w14:schemeClr w14:val="tx1"/>
                        </w14:solidFill>
                      </w14:textFill>
                    </w:rPr>
                    <w:t>风景名胜区核心景区的岸线和河段范围内</w:t>
                  </w:r>
                  <w:r>
                    <w:rPr>
                      <w:rFonts w:hint="eastAsia" w:ascii="Times New Roman" w:hAnsi="Times New Roman" w:eastAsia="宋体"/>
                      <w:bCs/>
                      <w:color w:val="000000" w:themeColor="text1"/>
                      <w:kern w:val="2"/>
                      <w:sz w:val="18"/>
                      <w:szCs w:val="18"/>
                      <w14:textFill>
                        <w14:solidFill>
                          <w14:schemeClr w14:val="tx1"/>
                        </w14:solidFill>
                      </w14:textFill>
                    </w:rPr>
                    <w:t>。</w:t>
                  </w:r>
                </w:p>
              </w:tc>
              <w:tc>
                <w:tcPr>
                  <w:tcW w:w="597" w:type="pct"/>
                  <w:vAlign w:val="center"/>
                </w:tcPr>
                <w:p w14:paraId="235C4082">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011FC9F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9" w:type="pct"/>
                  <w:vMerge w:val="continue"/>
                  <w:vAlign w:val="center"/>
                </w:tcPr>
                <w:p w14:paraId="5CFE6E2E">
                  <w:pPr>
                    <w:rPr>
                      <w:bCs/>
                      <w:color w:val="000000" w:themeColor="text1"/>
                      <w:sz w:val="18"/>
                      <w:szCs w:val="18"/>
                      <w14:textFill>
                        <w14:solidFill>
                          <w14:schemeClr w14:val="tx1"/>
                        </w14:solidFill>
                      </w14:textFill>
                    </w:rPr>
                  </w:pPr>
                </w:p>
              </w:tc>
              <w:tc>
                <w:tcPr>
                  <w:tcW w:w="2653" w:type="pct"/>
                  <w:vAlign w:val="center"/>
                </w:tcPr>
                <w:p w14:paraId="27D5C03E">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第七条 禁止在饮用水水源一级保护区的岸线和河段范围内开展下列行为</w:t>
                  </w:r>
                  <w:r>
                    <w:rPr>
                      <w:rFonts w:hint="eastAsia" w:ascii="Times New Roman" w:hAnsi="Times New Roman" w:eastAsia="宋体"/>
                      <w:bCs/>
                      <w:color w:val="000000" w:themeColor="text1"/>
                      <w:kern w:val="2"/>
                      <w:sz w:val="18"/>
                      <w:szCs w:val="18"/>
                      <w14:textFill>
                        <w14:solidFill>
                          <w14:schemeClr w14:val="tx1"/>
                        </w14:solidFill>
                      </w14:textFill>
                    </w:rPr>
                    <w:t>：（</w:t>
                  </w:r>
                  <w:r>
                    <w:rPr>
                      <w:rFonts w:ascii="Times New Roman" w:hAnsi="Times New Roman" w:eastAsia="宋体"/>
                      <w:bCs/>
                      <w:color w:val="000000" w:themeColor="text1"/>
                      <w:kern w:val="2"/>
                      <w:sz w:val="18"/>
                      <w:szCs w:val="18"/>
                      <w14:textFill>
                        <w14:solidFill>
                          <w14:schemeClr w14:val="tx1"/>
                        </w14:solidFill>
                      </w14:textFill>
                    </w:rPr>
                    <w:t>一</w:t>
                  </w:r>
                  <w:r>
                    <w:rPr>
                      <w:rFonts w:hint="eastAsia" w:ascii="Times New Roman" w:hAnsi="Times New Roman" w:eastAsia="宋体"/>
                      <w:bCs/>
                      <w:color w:val="000000" w:themeColor="text1"/>
                      <w:kern w:val="2"/>
                      <w:sz w:val="18"/>
                      <w:szCs w:val="18"/>
                      <w14:textFill>
                        <w14:solidFill>
                          <w14:schemeClr w14:val="tx1"/>
                        </w14:solidFill>
                      </w14:textFill>
                    </w:rPr>
                    <w:t>）</w:t>
                  </w:r>
                  <w:r>
                    <w:rPr>
                      <w:rFonts w:ascii="Times New Roman" w:hAnsi="Times New Roman" w:eastAsia="宋体"/>
                      <w:bCs/>
                      <w:color w:val="000000" w:themeColor="text1"/>
                      <w:kern w:val="2"/>
                      <w:sz w:val="18"/>
                      <w:szCs w:val="18"/>
                      <w14:textFill>
                        <w14:solidFill>
                          <w14:schemeClr w14:val="tx1"/>
                        </w14:solidFill>
                      </w14:textFill>
                    </w:rPr>
                    <w:t>新建、改建、扩建与供水设施和保护水源无关的建设项目</w:t>
                  </w:r>
                  <w:r>
                    <w:rPr>
                      <w:rFonts w:hint="eastAsia" w:ascii="Times New Roman" w:hAnsi="Times New Roman" w:eastAsia="宋体"/>
                      <w:bCs/>
                      <w:color w:val="000000" w:themeColor="text1"/>
                      <w:kern w:val="2"/>
                      <w:sz w:val="18"/>
                      <w:szCs w:val="18"/>
                      <w14:textFill>
                        <w14:solidFill>
                          <w14:schemeClr w14:val="tx1"/>
                        </w14:solidFill>
                      </w14:textFill>
                    </w:rPr>
                    <w:t>；</w:t>
                  </w:r>
                  <w:r>
                    <w:rPr>
                      <w:rFonts w:ascii="Times New Roman" w:hAnsi="Times New Roman" w:eastAsia="宋体"/>
                      <w:bCs/>
                      <w:color w:val="000000" w:themeColor="text1"/>
                      <w:kern w:val="2"/>
                      <w:sz w:val="18"/>
                      <w:szCs w:val="18"/>
                      <w14:textFill>
                        <w14:solidFill>
                          <w14:schemeClr w14:val="tx1"/>
                        </w14:solidFill>
                      </w14:textFill>
                    </w:rPr>
                    <w:t>已建成的与供水设施和保护水源无关的建设项目，由县级以上人民政府责令拆除或者关闭。</w:t>
                  </w:r>
                  <w:r>
                    <w:rPr>
                      <w:rFonts w:hint="eastAsia" w:ascii="Times New Roman" w:hAnsi="Times New Roman" w:eastAsia="宋体"/>
                      <w:bCs/>
                      <w:color w:val="000000" w:themeColor="text1"/>
                      <w:kern w:val="2"/>
                      <w:sz w:val="18"/>
                      <w:szCs w:val="18"/>
                      <w14:textFill>
                        <w14:solidFill>
                          <w14:schemeClr w14:val="tx1"/>
                        </w14:solidFill>
                      </w14:textFill>
                    </w:rPr>
                    <w:t>（二）</w:t>
                  </w:r>
                  <w:r>
                    <w:rPr>
                      <w:rFonts w:ascii="Times New Roman" w:hAnsi="Times New Roman" w:eastAsia="宋体"/>
                      <w:bCs/>
                      <w:color w:val="000000" w:themeColor="text1"/>
                      <w:kern w:val="2"/>
                      <w:sz w:val="18"/>
                      <w:szCs w:val="18"/>
                      <w14:textFill>
                        <w14:solidFill>
                          <w14:schemeClr w14:val="tx1"/>
                        </w14:solidFill>
                      </w14:textFill>
                    </w:rPr>
                    <w:t>禁止在饮用水水源-级保护区内从事网箱养殖、旅游、垂钓或者其他可能污染饮用水水体的活动。</w:t>
                  </w:r>
                </w:p>
              </w:tc>
              <w:tc>
                <w:tcPr>
                  <w:tcW w:w="1411" w:type="pct"/>
                  <w:vAlign w:val="center"/>
                </w:tcPr>
                <w:p w14:paraId="4E3CC2B8">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项目不</w:t>
                  </w:r>
                  <w:r>
                    <w:rPr>
                      <w:rFonts w:ascii="Times New Roman" w:hAnsi="Times New Roman" w:eastAsia="宋体"/>
                      <w:bCs/>
                      <w:color w:val="000000" w:themeColor="text1"/>
                      <w:kern w:val="2"/>
                      <w:sz w:val="18"/>
                      <w:szCs w:val="18"/>
                      <w14:textFill>
                        <w14:solidFill>
                          <w14:schemeClr w14:val="tx1"/>
                        </w14:solidFill>
                      </w14:textFill>
                    </w:rPr>
                    <w:t>在饮用水水源一级保护区的岸线和河段范围内</w:t>
                  </w:r>
                  <w:r>
                    <w:rPr>
                      <w:rFonts w:hint="eastAsia" w:ascii="Times New Roman" w:hAnsi="Times New Roman" w:eastAsia="宋体"/>
                      <w:bCs/>
                      <w:color w:val="000000" w:themeColor="text1"/>
                      <w:kern w:val="2"/>
                      <w:sz w:val="18"/>
                      <w:szCs w:val="18"/>
                      <w14:textFill>
                        <w14:solidFill>
                          <w14:schemeClr w14:val="tx1"/>
                        </w14:solidFill>
                      </w14:textFill>
                    </w:rPr>
                    <w:t>。</w:t>
                  </w:r>
                </w:p>
              </w:tc>
              <w:tc>
                <w:tcPr>
                  <w:tcW w:w="597" w:type="pct"/>
                  <w:vAlign w:val="center"/>
                </w:tcPr>
                <w:p w14:paraId="0C06EF87">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647E9AD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9" w:type="pct"/>
                  <w:vMerge w:val="continue"/>
                  <w:vAlign w:val="center"/>
                </w:tcPr>
                <w:p w14:paraId="3B94AE60">
                  <w:pPr>
                    <w:rPr>
                      <w:bCs/>
                      <w:color w:val="000000" w:themeColor="text1"/>
                      <w:sz w:val="18"/>
                      <w:szCs w:val="18"/>
                      <w14:textFill>
                        <w14:solidFill>
                          <w14:schemeClr w14:val="tx1"/>
                        </w14:solidFill>
                      </w14:textFill>
                    </w:rPr>
                  </w:pPr>
                </w:p>
              </w:tc>
              <w:tc>
                <w:tcPr>
                  <w:tcW w:w="2653" w:type="pct"/>
                  <w:vAlign w:val="center"/>
                </w:tcPr>
                <w:p w14:paraId="51F26CF2">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第八条 禁止在饮用水水源二级保护 区的岸线和河段范围内开展下列行为</w:t>
                  </w:r>
                  <w:r>
                    <w:rPr>
                      <w:rFonts w:hint="eastAsia" w:ascii="Times New Roman" w:hAnsi="Times New Roman" w:eastAsia="宋体"/>
                      <w:bCs/>
                      <w:color w:val="000000" w:themeColor="text1"/>
                      <w:kern w:val="2"/>
                      <w:sz w:val="18"/>
                      <w:szCs w:val="18"/>
                      <w14:textFill>
                        <w14:solidFill>
                          <w14:schemeClr w14:val="tx1"/>
                        </w14:solidFill>
                      </w14:textFill>
                    </w:rPr>
                    <w:t>：（</w:t>
                  </w:r>
                  <w:r>
                    <w:rPr>
                      <w:rFonts w:ascii="Times New Roman" w:hAnsi="Times New Roman" w:eastAsia="宋体"/>
                      <w:bCs/>
                      <w:color w:val="000000" w:themeColor="text1"/>
                      <w:kern w:val="2"/>
                      <w:sz w:val="18"/>
                      <w:szCs w:val="18"/>
                      <w14:textFill>
                        <w14:solidFill>
                          <w14:schemeClr w14:val="tx1"/>
                        </w14:solidFill>
                      </w14:textFill>
                    </w:rPr>
                    <w:t>一</w:t>
                  </w:r>
                  <w:r>
                    <w:rPr>
                      <w:rFonts w:hint="eastAsia" w:ascii="Times New Roman" w:hAnsi="Times New Roman" w:eastAsia="宋体"/>
                      <w:bCs/>
                      <w:color w:val="000000" w:themeColor="text1"/>
                      <w:kern w:val="2"/>
                      <w:sz w:val="18"/>
                      <w:szCs w:val="18"/>
                      <w14:textFill>
                        <w14:solidFill>
                          <w14:schemeClr w14:val="tx1"/>
                        </w14:solidFill>
                      </w14:textFill>
                    </w:rPr>
                    <w:t>）新建、改建、扩建排放污染物的建设项目;已建成的排放污染物的建设项目，由县级以上人民政府责令拆除或者关闭。（二）在饮用水水源二级保护区内从事网箱养殖、旅游等活动的，应当按照规定采取措施，防止污染饮用水水体。</w:t>
                  </w:r>
                </w:p>
              </w:tc>
              <w:tc>
                <w:tcPr>
                  <w:tcW w:w="1411" w:type="pct"/>
                  <w:vAlign w:val="center"/>
                </w:tcPr>
                <w:p w14:paraId="5C4A5D93">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项目不</w:t>
                  </w:r>
                  <w:r>
                    <w:rPr>
                      <w:rFonts w:ascii="Times New Roman" w:hAnsi="Times New Roman" w:eastAsia="宋体"/>
                      <w:bCs/>
                      <w:color w:val="000000" w:themeColor="text1"/>
                      <w:kern w:val="2"/>
                      <w:sz w:val="18"/>
                      <w:szCs w:val="18"/>
                      <w14:textFill>
                        <w14:solidFill>
                          <w14:schemeClr w14:val="tx1"/>
                        </w14:solidFill>
                      </w14:textFill>
                    </w:rPr>
                    <w:t>在饮用水水源二级保护区的岸线和河段范围内</w:t>
                  </w:r>
                  <w:r>
                    <w:rPr>
                      <w:rFonts w:hint="eastAsia" w:ascii="Times New Roman" w:hAnsi="Times New Roman" w:eastAsia="宋体"/>
                      <w:bCs/>
                      <w:color w:val="000000" w:themeColor="text1"/>
                      <w:kern w:val="2"/>
                      <w:sz w:val="18"/>
                      <w:szCs w:val="18"/>
                      <w14:textFill>
                        <w14:solidFill>
                          <w14:schemeClr w14:val="tx1"/>
                        </w14:solidFill>
                      </w14:textFill>
                    </w:rPr>
                    <w:t>。</w:t>
                  </w:r>
                </w:p>
              </w:tc>
              <w:tc>
                <w:tcPr>
                  <w:tcW w:w="597" w:type="pct"/>
                  <w:vAlign w:val="center"/>
                </w:tcPr>
                <w:p w14:paraId="2BF4AC31">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1B5B8C5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9" w:type="pct"/>
                  <w:vMerge w:val="continue"/>
                  <w:vAlign w:val="center"/>
                </w:tcPr>
                <w:p w14:paraId="6806BEB5">
                  <w:pPr>
                    <w:rPr>
                      <w:bCs/>
                      <w:color w:val="000000" w:themeColor="text1"/>
                      <w:sz w:val="18"/>
                      <w:szCs w:val="18"/>
                      <w14:textFill>
                        <w14:solidFill>
                          <w14:schemeClr w14:val="tx1"/>
                        </w14:solidFill>
                      </w14:textFill>
                    </w:rPr>
                  </w:pPr>
                </w:p>
              </w:tc>
              <w:tc>
                <w:tcPr>
                  <w:tcW w:w="2653" w:type="pct"/>
                  <w:vAlign w:val="center"/>
                </w:tcPr>
                <w:p w14:paraId="65CF2415">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第九条 禁止在水产种质资源保护区的岸 线和河段范围内新建围湖(河)造田(地)等投资建设项目。单位和个人在水产种质资源保护区内从事水生生物资源调查、科学研究、教学实习、参观游览、影视拍摄等活动，应当遵守有关法律法规和保护区管理制度,不得损害水产种质资源及其生存环境。</w:t>
                  </w:r>
                </w:p>
              </w:tc>
              <w:tc>
                <w:tcPr>
                  <w:tcW w:w="1411" w:type="pct"/>
                  <w:vAlign w:val="center"/>
                </w:tcPr>
                <w:p w14:paraId="56A81CE8">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项目不</w:t>
                  </w:r>
                  <w:r>
                    <w:rPr>
                      <w:rFonts w:ascii="Times New Roman" w:hAnsi="Times New Roman" w:eastAsia="宋体"/>
                      <w:bCs/>
                      <w:color w:val="000000" w:themeColor="text1"/>
                      <w:kern w:val="2"/>
                      <w:sz w:val="18"/>
                      <w:szCs w:val="18"/>
                      <w14:textFill>
                        <w14:solidFill>
                          <w14:schemeClr w14:val="tx1"/>
                        </w14:solidFill>
                      </w14:textFill>
                    </w:rPr>
                    <w:t>在水产种质资源保护区的岸线和河段范围内</w:t>
                  </w:r>
                  <w:r>
                    <w:rPr>
                      <w:rFonts w:hint="eastAsia" w:ascii="Times New Roman" w:hAnsi="Times New Roman" w:eastAsia="宋体"/>
                      <w:bCs/>
                      <w:color w:val="000000" w:themeColor="text1"/>
                      <w:kern w:val="2"/>
                      <w:sz w:val="18"/>
                      <w:szCs w:val="18"/>
                      <w14:textFill>
                        <w14:solidFill>
                          <w14:schemeClr w14:val="tx1"/>
                        </w14:solidFill>
                      </w14:textFill>
                    </w:rPr>
                    <w:t>。</w:t>
                  </w:r>
                </w:p>
              </w:tc>
              <w:tc>
                <w:tcPr>
                  <w:tcW w:w="597" w:type="pct"/>
                  <w:vAlign w:val="center"/>
                </w:tcPr>
                <w:p w14:paraId="0A69E3F9">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3972EA9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9" w:type="pct"/>
                  <w:vMerge w:val="continue"/>
                  <w:vAlign w:val="center"/>
                </w:tcPr>
                <w:p w14:paraId="2222D67F">
                  <w:pPr>
                    <w:rPr>
                      <w:bCs/>
                      <w:color w:val="000000" w:themeColor="text1"/>
                      <w:sz w:val="18"/>
                      <w:szCs w:val="18"/>
                      <w14:textFill>
                        <w14:solidFill>
                          <w14:schemeClr w14:val="tx1"/>
                        </w14:solidFill>
                      </w14:textFill>
                    </w:rPr>
                  </w:pPr>
                </w:p>
              </w:tc>
              <w:tc>
                <w:tcPr>
                  <w:tcW w:w="2653" w:type="pct"/>
                  <w:vAlign w:val="center"/>
                </w:tcPr>
                <w:p w14:paraId="2D8B7C29">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第十条 除国家规定的外， 禁止在国家湿地公园的岸线和河段范围内挖沙、采矿以及任何不符合主体功能定位的投资建设项目</w:t>
                  </w:r>
                  <w:r>
                    <w:rPr>
                      <w:rFonts w:hint="eastAsia" w:ascii="Times New Roman" w:hAnsi="Times New Roman" w:eastAsia="宋体"/>
                      <w:bCs/>
                      <w:color w:val="000000" w:themeColor="text1"/>
                      <w:kern w:val="2"/>
                      <w:sz w:val="18"/>
                      <w:szCs w:val="18"/>
                      <w14:textFill>
                        <w14:solidFill>
                          <w14:schemeClr w14:val="tx1"/>
                        </w14:solidFill>
                      </w14:textFill>
                    </w:rPr>
                    <w:t>。</w:t>
                  </w:r>
                </w:p>
              </w:tc>
              <w:tc>
                <w:tcPr>
                  <w:tcW w:w="1411" w:type="pct"/>
                  <w:vAlign w:val="center"/>
                </w:tcPr>
                <w:p w14:paraId="5B27094F">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项目不</w:t>
                  </w:r>
                  <w:r>
                    <w:rPr>
                      <w:rFonts w:ascii="Times New Roman" w:hAnsi="Times New Roman" w:eastAsia="宋体"/>
                      <w:bCs/>
                      <w:color w:val="000000" w:themeColor="text1"/>
                      <w:kern w:val="2"/>
                      <w:sz w:val="18"/>
                      <w:szCs w:val="18"/>
                      <w14:textFill>
                        <w14:solidFill>
                          <w14:schemeClr w14:val="tx1"/>
                        </w14:solidFill>
                      </w14:textFill>
                    </w:rPr>
                    <w:t>在国家湿地公园的岸线和河段范围内</w:t>
                  </w:r>
                  <w:r>
                    <w:rPr>
                      <w:rFonts w:hint="eastAsia" w:ascii="Times New Roman" w:hAnsi="Times New Roman" w:eastAsia="宋体"/>
                      <w:bCs/>
                      <w:color w:val="000000" w:themeColor="text1"/>
                      <w:kern w:val="2"/>
                      <w:sz w:val="18"/>
                      <w:szCs w:val="18"/>
                      <w14:textFill>
                        <w14:solidFill>
                          <w14:schemeClr w14:val="tx1"/>
                        </w14:solidFill>
                      </w14:textFill>
                    </w:rPr>
                    <w:t>。</w:t>
                  </w:r>
                </w:p>
              </w:tc>
              <w:tc>
                <w:tcPr>
                  <w:tcW w:w="597" w:type="pct"/>
                  <w:vAlign w:val="center"/>
                </w:tcPr>
                <w:p w14:paraId="039D026E">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484A3D4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9" w:type="pct"/>
                  <w:vMerge w:val="continue"/>
                  <w:vAlign w:val="center"/>
                </w:tcPr>
                <w:p w14:paraId="089D5D6C">
                  <w:pPr>
                    <w:rPr>
                      <w:bCs/>
                      <w:color w:val="000000" w:themeColor="text1"/>
                      <w:sz w:val="18"/>
                      <w:szCs w:val="18"/>
                      <w14:textFill>
                        <w14:solidFill>
                          <w14:schemeClr w14:val="tx1"/>
                        </w14:solidFill>
                      </w14:textFill>
                    </w:rPr>
                  </w:pPr>
                </w:p>
              </w:tc>
              <w:tc>
                <w:tcPr>
                  <w:tcW w:w="2653" w:type="pct"/>
                  <w:vAlign w:val="center"/>
                </w:tcPr>
                <w:p w14:paraId="1815BA2D">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第十</w:t>
                  </w:r>
                  <w:r>
                    <w:rPr>
                      <w:rFonts w:hint="eastAsia" w:ascii="Times New Roman" w:hAnsi="Times New Roman" w:eastAsia="宋体"/>
                      <w:bCs/>
                      <w:color w:val="000000" w:themeColor="text1"/>
                      <w:kern w:val="2"/>
                      <w:sz w:val="18"/>
                      <w:szCs w:val="18"/>
                      <w14:textFill>
                        <w14:solidFill>
                          <w14:schemeClr w14:val="tx1"/>
                        </w14:solidFill>
                      </w14:textFill>
                    </w:rPr>
                    <w:t xml:space="preserve">一 </w:t>
                  </w:r>
                  <w:r>
                    <w:rPr>
                      <w:rFonts w:ascii="Times New Roman" w:hAnsi="Times New Roman" w:eastAsia="宋体"/>
                      <w:bCs/>
                      <w:color w:val="000000" w:themeColor="text1"/>
                      <w:kern w:val="2"/>
                      <w:sz w:val="18"/>
                      <w:szCs w:val="18"/>
                      <w14:textFill>
                        <w14:solidFill>
                          <w14:schemeClr w14:val="tx1"/>
                        </w14:solidFill>
                      </w14:textFill>
                    </w:rPr>
                    <w:t>条禁止违法利用、 占用长江流域河湖岸线。禁止在《长江岸线保护和开发利用总体规划》划定的岸线保护区和保留区内投资建设除事关公共安全及公众利益的防洪护岸、河道治理、供水、生态环境保护、航道整治、国家重要基础设施以外的</w:t>
                  </w:r>
                  <w:r>
                    <w:rPr>
                      <w:rFonts w:hint="eastAsia" w:ascii="Times New Roman" w:hAnsi="Times New Roman" w:eastAsia="宋体"/>
                      <w:bCs/>
                      <w:color w:val="000000" w:themeColor="text1"/>
                      <w:kern w:val="2"/>
                      <w:sz w:val="18"/>
                      <w:szCs w:val="18"/>
                      <w14:textFill>
                        <w14:solidFill>
                          <w14:schemeClr w14:val="tx1"/>
                        </w14:solidFill>
                      </w14:textFill>
                    </w:rPr>
                    <w:t>项目。</w:t>
                  </w:r>
                </w:p>
              </w:tc>
              <w:tc>
                <w:tcPr>
                  <w:tcW w:w="1411" w:type="pct"/>
                  <w:vAlign w:val="center"/>
                </w:tcPr>
                <w:p w14:paraId="1493FDD5">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项目不在</w:t>
                  </w:r>
                  <w:r>
                    <w:rPr>
                      <w:rFonts w:ascii="Times New Roman" w:hAnsi="Times New Roman" w:eastAsia="宋体"/>
                      <w:bCs/>
                      <w:color w:val="000000" w:themeColor="text1"/>
                      <w:kern w:val="2"/>
                      <w:sz w:val="18"/>
                      <w:szCs w:val="18"/>
                      <w14:textFill>
                        <w14:solidFill>
                          <w14:schemeClr w14:val="tx1"/>
                        </w14:solidFill>
                      </w14:textFill>
                    </w:rPr>
                    <w:t>长江流域河湖岸线</w:t>
                  </w:r>
                  <w:r>
                    <w:rPr>
                      <w:rFonts w:hint="eastAsia" w:ascii="Times New Roman" w:hAnsi="Times New Roman" w:eastAsia="宋体"/>
                      <w:bCs/>
                      <w:color w:val="000000" w:themeColor="text1"/>
                      <w:kern w:val="2"/>
                      <w:sz w:val="18"/>
                      <w:szCs w:val="18"/>
                      <w14:textFill>
                        <w14:solidFill>
                          <w14:schemeClr w14:val="tx1"/>
                        </w14:solidFill>
                      </w14:textFill>
                    </w:rPr>
                    <w:t>、不在</w:t>
                  </w:r>
                  <w:r>
                    <w:rPr>
                      <w:rFonts w:ascii="Times New Roman" w:hAnsi="Times New Roman" w:eastAsia="宋体"/>
                      <w:bCs/>
                      <w:color w:val="000000" w:themeColor="text1"/>
                      <w:kern w:val="2"/>
                      <w:sz w:val="18"/>
                      <w:szCs w:val="18"/>
                      <w14:textFill>
                        <w14:solidFill>
                          <w14:schemeClr w14:val="tx1"/>
                        </w14:solidFill>
                      </w14:textFill>
                    </w:rPr>
                    <w:t>《长江岸线保护和开发利用总体规划》划定的岸线保护区和保留区内</w:t>
                  </w:r>
                  <w:r>
                    <w:rPr>
                      <w:rFonts w:hint="eastAsia" w:ascii="Times New Roman" w:hAnsi="Times New Roman" w:eastAsia="宋体"/>
                      <w:bCs/>
                      <w:color w:val="000000" w:themeColor="text1"/>
                      <w:kern w:val="2"/>
                      <w:sz w:val="18"/>
                      <w:szCs w:val="18"/>
                      <w14:textFill>
                        <w14:solidFill>
                          <w14:schemeClr w14:val="tx1"/>
                        </w14:solidFill>
                      </w14:textFill>
                    </w:rPr>
                    <w:t>。</w:t>
                  </w:r>
                </w:p>
              </w:tc>
              <w:tc>
                <w:tcPr>
                  <w:tcW w:w="597" w:type="pct"/>
                  <w:vAlign w:val="center"/>
                </w:tcPr>
                <w:p w14:paraId="0C7D91AC">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76DC90D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9" w:type="pct"/>
                  <w:vMerge w:val="continue"/>
                  <w:vAlign w:val="center"/>
                </w:tcPr>
                <w:p w14:paraId="631E1680">
                  <w:pPr>
                    <w:rPr>
                      <w:bCs/>
                      <w:color w:val="000000" w:themeColor="text1"/>
                      <w:sz w:val="18"/>
                      <w:szCs w:val="18"/>
                      <w14:textFill>
                        <w14:solidFill>
                          <w14:schemeClr w14:val="tx1"/>
                        </w14:solidFill>
                      </w14:textFill>
                    </w:rPr>
                  </w:pPr>
                </w:p>
              </w:tc>
              <w:tc>
                <w:tcPr>
                  <w:tcW w:w="2653" w:type="pct"/>
                  <w:vAlign w:val="center"/>
                </w:tcPr>
                <w:p w14:paraId="14520571">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第十二条 禁止在《全国重要江河湖泊水功能区划》划定的河段及湖泊保护区、保留区内投资建设不利于水资源及自然生态保护的项目。</w:t>
                  </w:r>
                </w:p>
              </w:tc>
              <w:tc>
                <w:tcPr>
                  <w:tcW w:w="1411" w:type="pct"/>
                  <w:vAlign w:val="center"/>
                </w:tcPr>
                <w:p w14:paraId="29A78AD5">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项目不</w:t>
                  </w:r>
                  <w:r>
                    <w:rPr>
                      <w:rFonts w:ascii="Times New Roman" w:hAnsi="Times New Roman" w:eastAsia="宋体"/>
                      <w:bCs/>
                      <w:color w:val="000000" w:themeColor="text1"/>
                      <w:kern w:val="2"/>
                      <w:sz w:val="18"/>
                      <w:szCs w:val="18"/>
                      <w14:textFill>
                        <w14:solidFill>
                          <w14:schemeClr w14:val="tx1"/>
                        </w14:solidFill>
                      </w14:textFill>
                    </w:rPr>
                    <w:t>在《全国重要江河湖泊水功能区划》划定的河段及湖泊保护区、保留区内</w:t>
                  </w:r>
                  <w:r>
                    <w:rPr>
                      <w:rFonts w:hint="eastAsia" w:ascii="Times New Roman" w:hAnsi="Times New Roman" w:eastAsia="宋体"/>
                      <w:bCs/>
                      <w:color w:val="000000" w:themeColor="text1"/>
                      <w:kern w:val="2"/>
                      <w:sz w:val="18"/>
                      <w:szCs w:val="18"/>
                      <w14:textFill>
                        <w14:solidFill>
                          <w14:schemeClr w14:val="tx1"/>
                        </w14:solidFill>
                      </w14:textFill>
                    </w:rPr>
                    <w:t>。</w:t>
                  </w:r>
                </w:p>
              </w:tc>
              <w:tc>
                <w:tcPr>
                  <w:tcW w:w="597" w:type="pct"/>
                  <w:vAlign w:val="center"/>
                </w:tcPr>
                <w:p w14:paraId="1B85CB7F">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0730738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9" w:type="pct"/>
                  <w:vMerge w:val="restart"/>
                  <w:vAlign w:val="center"/>
                </w:tcPr>
                <w:p w14:paraId="06AE644D">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严格区域管控</w:t>
                  </w:r>
                </w:p>
              </w:tc>
              <w:tc>
                <w:tcPr>
                  <w:tcW w:w="2653" w:type="pct"/>
                  <w:vAlign w:val="center"/>
                </w:tcPr>
                <w:p w14:paraId="6B4A94BE">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第十五条禁止在长江干支流、 重要湖泊岸线一公里范围内新建、扩建化工园区和化工项目。</w:t>
                  </w:r>
                </w:p>
              </w:tc>
              <w:tc>
                <w:tcPr>
                  <w:tcW w:w="1411" w:type="pct"/>
                  <w:vAlign w:val="center"/>
                </w:tcPr>
                <w:p w14:paraId="273934C3">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项目不在长江岸线边界向陆域纵深1公里范围内</w:t>
                  </w:r>
                </w:p>
              </w:tc>
              <w:tc>
                <w:tcPr>
                  <w:tcW w:w="597" w:type="pct"/>
                  <w:vAlign w:val="center"/>
                </w:tcPr>
                <w:p w14:paraId="58A9DA81">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76C8250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9" w:type="pct"/>
                  <w:vMerge w:val="continue"/>
                  <w:vAlign w:val="center"/>
                </w:tcPr>
                <w:p w14:paraId="68CC2A99">
                  <w:pPr>
                    <w:rPr>
                      <w:bCs/>
                      <w:color w:val="000000" w:themeColor="text1"/>
                      <w:sz w:val="18"/>
                      <w:szCs w:val="18"/>
                      <w14:textFill>
                        <w14:solidFill>
                          <w14:schemeClr w14:val="tx1"/>
                        </w14:solidFill>
                      </w14:textFill>
                    </w:rPr>
                  </w:pPr>
                </w:p>
              </w:tc>
              <w:tc>
                <w:tcPr>
                  <w:tcW w:w="2653" w:type="pct"/>
                  <w:vAlign w:val="center"/>
                </w:tcPr>
                <w:p w14:paraId="7B8B30C1">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第十六条禁止在长江干流岸线三公里范围内和重要支流岸线一公里范围内新建、改建、扩建尾矿库、冶炼渣库和磷石膏库，以提升安全、生态环境保护水平为目的的改建除外。</w:t>
                  </w:r>
                </w:p>
              </w:tc>
              <w:tc>
                <w:tcPr>
                  <w:tcW w:w="1411" w:type="pct"/>
                  <w:vAlign w:val="center"/>
                </w:tcPr>
                <w:p w14:paraId="25DA6203">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项目不在</w:t>
                  </w:r>
                  <w:r>
                    <w:rPr>
                      <w:rFonts w:ascii="Times New Roman" w:hAnsi="Times New Roman" w:eastAsia="宋体"/>
                      <w:bCs/>
                      <w:color w:val="000000" w:themeColor="text1"/>
                      <w:kern w:val="2"/>
                      <w:sz w:val="18"/>
                      <w:szCs w:val="18"/>
                      <w14:textFill>
                        <w14:solidFill>
                          <w14:schemeClr w14:val="tx1"/>
                        </w14:solidFill>
                      </w14:textFill>
                    </w:rPr>
                    <w:t>长江干流岸线三公里范围内</w:t>
                  </w:r>
                  <w:r>
                    <w:rPr>
                      <w:rFonts w:hint="eastAsia" w:ascii="Times New Roman" w:hAnsi="Times New Roman" w:eastAsia="宋体"/>
                      <w:bCs/>
                      <w:color w:val="000000" w:themeColor="text1"/>
                      <w:kern w:val="2"/>
                      <w:sz w:val="18"/>
                      <w:szCs w:val="18"/>
                      <w14:textFill>
                        <w14:solidFill>
                          <w14:schemeClr w14:val="tx1"/>
                        </w14:solidFill>
                      </w14:textFill>
                    </w:rPr>
                    <w:t>。</w:t>
                  </w:r>
                </w:p>
              </w:tc>
              <w:tc>
                <w:tcPr>
                  <w:tcW w:w="597" w:type="pct"/>
                  <w:vAlign w:val="center"/>
                </w:tcPr>
                <w:p w14:paraId="45EED758">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2E258F7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9" w:type="pct"/>
                  <w:vMerge w:val="continue"/>
                  <w:vAlign w:val="center"/>
                </w:tcPr>
                <w:p w14:paraId="77418A7B">
                  <w:pPr>
                    <w:rPr>
                      <w:bCs/>
                      <w:color w:val="000000" w:themeColor="text1"/>
                      <w:sz w:val="18"/>
                      <w:szCs w:val="18"/>
                      <w14:textFill>
                        <w14:solidFill>
                          <w14:schemeClr w14:val="tx1"/>
                        </w14:solidFill>
                      </w14:textFill>
                    </w:rPr>
                  </w:pPr>
                </w:p>
              </w:tc>
              <w:tc>
                <w:tcPr>
                  <w:tcW w:w="2653" w:type="pct"/>
                  <w:vAlign w:val="center"/>
                </w:tcPr>
                <w:p w14:paraId="286A8426">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第十七条禁止在合规园区外新建、扩建钢铁、石化、化工、焦化、建材、有色、制浆造纸等高污染项目。</w:t>
                  </w:r>
                </w:p>
              </w:tc>
              <w:tc>
                <w:tcPr>
                  <w:tcW w:w="1411" w:type="pct"/>
                  <w:vAlign w:val="center"/>
                </w:tcPr>
                <w:p w14:paraId="195C7C33">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本项目为</w:t>
                  </w:r>
                  <w:r>
                    <w:rPr>
                      <w:rFonts w:hint="eastAsia" w:ascii="Times New Roman" w:hAnsi="Times New Roman" w:eastAsia="宋体"/>
                      <w:bCs/>
                      <w:color w:val="000000" w:themeColor="text1"/>
                      <w:kern w:val="2"/>
                      <w:sz w:val="18"/>
                      <w:szCs w:val="18"/>
                      <w14:textFill>
                        <w14:solidFill>
                          <w14:schemeClr w14:val="tx1"/>
                        </w14:solidFill>
                      </w14:textFill>
                    </w:rPr>
                    <w:t>其他水泥类似制品制造项目，位于金山工业园内。</w:t>
                  </w:r>
                </w:p>
              </w:tc>
              <w:tc>
                <w:tcPr>
                  <w:tcW w:w="597" w:type="pct"/>
                  <w:vAlign w:val="center"/>
                </w:tcPr>
                <w:p w14:paraId="0C157491">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2ADFE85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9" w:type="pct"/>
                  <w:vMerge w:val="restart"/>
                  <w:vAlign w:val="center"/>
                </w:tcPr>
                <w:p w14:paraId="71FD387E">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严格产业准入</w:t>
                  </w:r>
                </w:p>
              </w:tc>
              <w:tc>
                <w:tcPr>
                  <w:tcW w:w="2653" w:type="pct"/>
                  <w:vAlign w:val="center"/>
                </w:tcPr>
                <w:p w14:paraId="1A6D346F">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第十八条禁止新建、扩建不符合国家石化、现代煤化工等产业布局规划的项目。</w:t>
                  </w:r>
                </w:p>
              </w:tc>
              <w:tc>
                <w:tcPr>
                  <w:tcW w:w="1411" w:type="pct"/>
                  <w:vAlign w:val="center"/>
                </w:tcPr>
                <w:p w14:paraId="6A814723">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本项目为</w:t>
                  </w:r>
                  <w:r>
                    <w:rPr>
                      <w:rFonts w:hint="eastAsia" w:ascii="Times New Roman" w:hAnsi="Times New Roman" w:eastAsia="宋体"/>
                      <w:bCs/>
                      <w:color w:val="000000" w:themeColor="text1"/>
                      <w:kern w:val="2"/>
                      <w:sz w:val="18"/>
                      <w:szCs w:val="18"/>
                      <w14:textFill>
                        <w14:solidFill>
                          <w14:schemeClr w14:val="tx1"/>
                        </w14:solidFill>
                      </w14:textFill>
                    </w:rPr>
                    <w:t>其他水泥类似制品制造项目。</w:t>
                  </w:r>
                </w:p>
              </w:tc>
              <w:tc>
                <w:tcPr>
                  <w:tcW w:w="597" w:type="pct"/>
                  <w:vAlign w:val="center"/>
                </w:tcPr>
                <w:p w14:paraId="7C92E81F">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46F415D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9" w:type="pct"/>
                  <w:vMerge w:val="continue"/>
                  <w:vAlign w:val="center"/>
                </w:tcPr>
                <w:p w14:paraId="6AE248C5">
                  <w:pPr>
                    <w:rPr>
                      <w:bCs/>
                      <w:color w:val="000000" w:themeColor="text1"/>
                      <w:sz w:val="18"/>
                      <w:szCs w:val="18"/>
                      <w14:textFill>
                        <w14:solidFill>
                          <w14:schemeClr w14:val="tx1"/>
                        </w14:solidFill>
                      </w14:textFill>
                    </w:rPr>
                  </w:pPr>
                </w:p>
              </w:tc>
              <w:tc>
                <w:tcPr>
                  <w:tcW w:w="2653" w:type="pct"/>
                  <w:vAlign w:val="center"/>
                </w:tcPr>
                <w:p w14:paraId="060E999E">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第十九条禁止新建、扩建法律法规和相关政策明令禁止的落后产能项目，严格执行《产业结构调整指导目录》中淘汰类和限制类有关规定,禁止开展投资建设属于淘汰类的项目及其相关活动,禁止开展投资新建、扩建属于限制类的项目及其相关活动。对于属于限制类的现有生产能力，允许企业在一定期限内采取措施改造升级，严禁以改造为名扩大产能。</w:t>
                  </w:r>
                </w:p>
              </w:tc>
              <w:tc>
                <w:tcPr>
                  <w:tcW w:w="1411" w:type="pct"/>
                  <w:vAlign w:val="center"/>
                </w:tcPr>
                <w:p w14:paraId="7927F32C">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对照《产业结构调整指导目录（2024年本）》，项目为允许类。</w:t>
                  </w:r>
                </w:p>
              </w:tc>
              <w:tc>
                <w:tcPr>
                  <w:tcW w:w="597" w:type="pct"/>
                  <w:vAlign w:val="center"/>
                </w:tcPr>
                <w:p w14:paraId="0CA8E8B5">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71AFAD5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9" w:type="pct"/>
                  <w:vMerge w:val="continue"/>
                  <w:vAlign w:val="center"/>
                </w:tcPr>
                <w:p w14:paraId="1CF6816B">
                  <w:pPr>
                    <w:rPr>
                      <w:bCs/>
                      <w:color w:val="000000" w:themeColor="text1"/>
                      <w:sz w:val="18"/>
                      <w:szCs w:val="18"/>
                      <w14:textFill>
                        <w14:solidFill>
                          <w14:schemeClr w14:val="tx1"/>
                        </w14:solidFill>
                      </w14:textFill>
                    </w:rPr>
                  </w:pPr>
                </w:p>
              </w:tc>
              <w:tc>
                <w:tcPr>
                  <w:tcW w:w="2653" w:type="pct"/>
                  <w:vAlign w:val="center"/>
                </w:tcPr>
                <w:p w14:paraId="37CFB512">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第二十条禁止新建、扩建不符合国家产能置换要求的钢铁、电解铝、水泥熟料、平板玻璃、船舶等严重过剩产能行业的项目。严格执行《国务院关于化解产能严重过剩矛盾的指导意见》，各地各部门不得以任何名义、任何方式新增产能片;对确有必要建设的，必须严格执行产能置换实施办法，实施减量或等量置换，依法依规办理有关手续。</w:t>
                  </w:r>
                </w:p>
              </w:tc>
              <w:tc>
                <w:tcPr>
                  <w:tcW w:w="1411" w:type="pct"/>
                  <w:vAlign w:val="center"/>
                </w:tcPr>
                <w:p w14:paraId="36624D27">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项目为其他水泥类似制品制造项目，不属于</w:t>
                  </w:r>
                  <w:r>
                    <w:rPr>
                      <w:rFonts w:ascii="Times New Roman" w:hAnsi="Times New Roman" w:eastAsia="宋体"/>
                      <w:bCs/>
                      <w:color w:val="000000" w:themeColor="text1"/>
                      <w:kern w:val="2"/>
                      <w:sz w:val="18"/>
                      <w:szCs w:val="18"/>
                      <w14:textFill>
                        <w14:solidFill>
                          <w14:schemeClr w14:val="tx1"/>
                        </w14:solidFill>
                      </w14:textFill>
                    </w:rPr>
                    <w:t>钢铁、电解铝、水泥熟料、平板玻璃、船舶等严重过剩产能行业的项目</w:t>
                  </w:r>
                  <w:r>
                    <w:rPr>
                      <w:rFonts w:hint="eastAsia" w:ascii="Times New Roman" w:hAnsi="Times New Roman" w:eastAsia="宋体"/>
                      <w:bCs/>
                      <w:color w:val="000000" w:themeColor="text1"/>
                      <w:kern w:val="2"/>
                      <w:sz w:val="18"/>
                      <w:szCs w:val="18"/>
                      <w14:textFill>
                        <w14:solidFill>
                          <w14:schemeClr w14:val="tx1"/>
                        </w14:solidFill>
                      </w14:textFill>
                    </w:rPr>
                    <w:t>。</w:t>
                  </w:r>
                </w:p>
              </w:tc>
              <w:tc>
                <w:tcPr>
                  <w:tcW w:w="597" w:type="pct"/>
                  <w:vAlign w:val="center"/>
                </w:tcPr>
                <w:p w14:paraId="7436B44C">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7D09B74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9" w:type="pct"/>
                  <w:vMerge w:val="continue"/>
                  <w:vAlign w:val="center"/>
                </w:tcPr>
                <w:p w14:paraId="7B9A9608">
                  <w:pPr>
                    <w:rPr>
                      <w:bCs/>
                      <w:color w:val="000000" w:themeColor="text1"/>
                      <w:sz w:val="18"/>
                      <w:szCs w:val="18"/>
                      <w14:textFill>
                        <w14:solidFill>
                          <w14:schemeClr w14:val="tx1"/>
                        </w14:solidFill>
                      </w14:textFill>
                    </w:rPr>
                  </w:pPr>
                </w:p>
              </w:tc>
              <w:tc>
                <w:tcPr>
                  <w:tcW w:w="2653" w:type="pct"/>
                  <w:vAlign w:val="center"/>
                </w:tcPr>
                <w:p w14:paraId="747ABB98">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第二十一条禁止新建、扩建不符合要求的高耗能高排放项目。严格执行《江西省人民政府办公厅关于严格高耗能高排放项目准入管理的实施意见》(赣府厅发[2021]33号)，加强项目审查论证，落实等量、减量替代要求,规范项目行政审批。</w:t>
                  </w:r>
                </w:p>
              </w:tc>
              <w:tc>
                <w:tcPr>
                  <w:tcW w:w="1411" w:type="pct"/>
                  <w:vAlign w:val="center"/>
                </w:tcPr>
                <w:p w14:paraId="237BBED1">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本项目为</w:t>
                  </w:r>
                  <w:r>
                    <w:rPr>
                      <w:rFonts w:hint="eastAsia" w:ascii="Times New Roman" w:hAnsi="Times New Roman" w:eastAsia="宋体"/>
                      <w:bCs/>
                      <w:color w:val="000000" w:themeColor="text1"/>
                      <w:kern w:val="2"/>
                      <w:sz w:val="18"/>
                      <w:szCs w:val="18"/>
                      <w14:textFill>
                        <w14:solidFill>
                          <w14:schemeClr w14:val="tx1"/>
                        </w14:solidFill>
                      </w14:textFill>
                    </w:rPr>
                    <w:t>其他水泥类似制品制造项目。建设性质为扩建，不属于“两高”项目。</w:t>
                  </w:r>
                </w:p>
              </w:tc>
              <w:tc>
                <w:tcPr>
                  <w:tcW w:w="597" w:type="pct"/>
                  <w:vAlign w:val="center"/>
                </w:tcPr>
                <w:p w14:paraId="5D54107F">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bl>
          <w:p w14:paraId="78C9AC4F">
            <w:pPr>
              <w:pStyle w:val="222"/>
              <w:widowControl w:val="0"/>
              <w:autoSpaceDN/>
              <w:snapToGrid w:val="0"/>
              <w:spacing w:line="360" w:lineRule="auto"/>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综上所述，本项目的建设与《江西省长江经济带发展负面清单实施细则（试行）》的通知的相关要求是相符的。</w:t>
            </w:r>
          </w:p>
          <w:p w14:paraId="4B48C179">
            <w:pPr>
              <w:pStyle w:val="222"/>
              <w:widowControl w:val="0"/>
              <w:autoSpaceDN/>
              <w:snapToGrid w:val="0"/>
              <w:spacing w:line="360" w:lineRule="auto"/>
              <w:ind w:firstLine="482"/>
              <w:rPr>
                <w:rFonts w:hint="default" w:ascii="Times New Roman" w:hAnsi="Times New Roman" w:cs="Times New Roman"/>
                <w:b/>
                <w:bCs/>
                <w:color w:val="000000" w:themeColor="text1"/>
                <w14:textFill>
                  <w14:solidFill>
                    <w14:schemeClr w14:val="tx1"/>
                  </w14:solidFill>
                </w14:textFill>
              </w:rPr>
            </w:pPr>
            <w:r>
              <w:rPr>
                <w:rFonts w:hint="default" w:ascii="Times New Roman" w:hAnsi="Times New Roman" w:cs="Times New Roman"/>
                <w:b/>
                <w:bCs/>
                <w:color w:val="000000" w:themeColor="text1"/>
                <w:lang w:val="en-US" w:eastAsia="zh-CN"/>
                <w14:textFill>
                  <w14:solidFill>
                    <w14:schemeClr w14:val="tx1"/>
                  </w14:solidFill>
                </w14:textFill>
              </w:rPr>
              <w:t>六</w:t>
            </w:r>
            <w:r>
              <w:rPr>
                <w:rFonts w:hint="default" w:ascii="Times New Roman" w:hAnsi="Times New Roman" w:cs="Times New Roman"/>
                <w:b/>
                <w:bCs/>
                <w:color w:val="000000" w:themeColor="text1"/>
                <w14:textFill>
                  <w14:solidFill>
                    <w14:schemeClr w14:val="tx1"/>
                  </w14:solidFill>
                </w14:textFill>
              </w:rPr>
              <w:t>、与《江西省预拌混凝土行业规范条件》（赣工信建材字〔202</w:t>
            </w:r>
            <w:r>
              <w:rPr>
                <w:rFonts w:hint="default" w:ascii="Times New Roman" w:hAnsi="Times New Roman" w:cs="Times New Roman"/>
                <w:b/>
                <w:bCs/>
                <w:color w:val="000000" w:themeColor="text1"/>
                <w:lang w:val="en-US" w:eastAsia="zh-CN"/>
                <w14:textFill>
                  <w14:solidFill>
                    <w14:schemeClr w14:val="tx1"/>
                  </w14:solidFill>
                </w14:textFill>
              </w:rPr>
              <w:t>1</w:t>
            </w:r>
            <w:r>
              <w:rPr>
                <w:rFonts w:hint="default" w:ascii="Times New Roman" w:hAnsi="Times New Roman" w:cs="Times New Roman"/>
                <w:b/>
                <w:bCs/>
                <w:color w:val="000000" w:themeColor="text1"/>
                <w14:textFill>
                  <w14:solidFill>
                    <w14:schemeClr w14:val="tx1"/>
                  </w14:solidFill>
                </w14:textFill>
              </w:rPr>
              <w:t>〕</w:t>
            </w:r>
            <w:r>
              <w:rPr>
                <w:rFonts w:hint="default" w:ascii="Times New Roman" w:hAnsi="Times New Roman" w:cs="Times New Roman"/>
                <w:b/>
                <w:bCs/>
                <w:color w:val="000000" w:themeColor="text1"/>
                <w:lang w:val="en-US" w:eastAsia="zh-CN"/>
                <w14:textFill>
                  <w14:solidFill>
                    <w14:schemeClr w14:val="tx1"/>
                  </w14:solidFill>
                </w14:textFill>
              </w:rPr>
              <w:t>304</w:t>
            </w:r>
            <w:r>
              <w:rPr>
                <w:rFonts w:hint="default" w:ascii="Times New Roman" w:hAnsi="Times New Roman" w:cs="Times New Roman"/>
                <w:b/>
                <w:bCs/>
                <w:color w:val="000000" w:themeColor="text1"/>
                <w14:textFill>
                  <w14:solidFill>
                    <w14:schemeClr w14:val="tx1"/>
                  </w14:solidFill>
                </w14:textFill>
              </w:rPr>
              <w:t>号）相符性分析</w:t>
            </w:r>
          </w:p>
          <w:p w14:paraId="30CD1546">
            <w:pPr>
              <w:widowControl/>
              <w:jc w:val="center"/>
              <w:rPr>
                <w:b/>
                <w:bCs/>
                <w:color w:val="000000" w:themeColor="text1"/>
                <w:sz w:val="24"/>
                <w14:textFill>
                  <w14:solidFill>
                    <w14:schemeClr w14:val="tx1"/>
                  </w14:solidFill>
                </w14:textFill>
              </w:rPr>
            </w:pPr>
            <w:r>
              <w:rPr>
                <w:rFonts w:ascii="宋体" w:hAnsi="宋体"/>
                <w:b/>
                <w:bCs/>
                <w:color w:val="000000" w:themeColor="text1"/>
                <w:sz w:val="24"/>
                <w14:textFill>
                  <w14:solidFill>
                    <w14:schemeClr w14:val="tx1"/>
                  </w14:solidFill>
                </w14:textFill>
              </w:rPr>
              <w:t>表</w:t>
            </w:r>
            <w:r>
              <w:rPr>
                <w:b/>
                <w:bCs/>
                <w:color w:val="000000" w:themeColor="text1"/>
                <w:sz w:val="24"/>
                <w14:textFill>
                  <w14:solidFill>
                    <w14:schemeClr w14:val="tx1"/>
                  </w14:solidFill>
                </w14:textFill>
              </w:rPr>
              <w:t>1-</w:t>
            </w:r>
            <w:r>
              <w:rPr>
                <w:rFonts w:hint="eastAsia"/>
                <w:b/>
                <w:bCs/>
                <w:color w:val="000000" w:themeColor="text1"/>
                <w:sz w:val="24"/>
                <w:lang w:val="en-US" w:eastAsia="zh-CN"/>
                <w14:textFill>
                  <w14:solidFill>
                    <w14:schemeClr w14:val="tx1"/>
                  </w14:solidFill>
                </w14:textFill>
              </w:rPr>
              <w:t>8</w:t>
            </w:r>
            <w:r>
              <w:rPr>
                <w:b/>
                <w:bCs/>
                <w:color w:val="000000" w:themeColor="text1"/>
                <w:sz w:val="24"/>
                <w14:textFill>
                  <w14:solidFill>
                    <w14:schemeClr w14:val="tx1"/>
                  </w14:solidFill>
                </w14:textFill>
              </w:rPr>
              <w:t xml:space="preserve"> </w:t>
            </w:r>
            <w:r>
              <w:rPr>
                <w:rFonts w:ascii="宋体" w:hAnsi="宋体"/>
                <w:b/>
                <w:bCs/>
                <w:color w:val="000000" w:themeColor="text1"/>
                <w:sz w:val="24"/>
                <w14:textFill>
                  <w14:solidFill>
                    <w14:schemeClr w14:val="tx1"/>
                  </w14:solidFill>
                </w14:textFill>
              </w:rPr>
              <w:t>与</w:t>
            </w:r>
            <w:r>
              <w:rPr>
                <w:rFonts w:hint="eastAsia" w:ascii="宋体" w:hAnsi="宋体"/>
                <w:b/>
                <w:bCs/>
                <w:color w:val="000000" w:themeColor="text1"/>
                <w:sz w:val="24"/>
                <w14:textFill>
                  <w14:solidFill>
                    <w14:schemeClr w14:val="tx1"/>
                  </w14:solidFill>
                </w14:textFill>
              </w:rPr>
              <w:t>《江西省预拌混凝土行业规范条件》符合性一览表</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531"/>
              <w:gridCol w:w="4168"/>
              <w:gridCol w:w="2215"/>
              <w:gridCol w:w="939"/>
            </w:tblGrid>
            <w:tr w14:paraId="22A900B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2991" w:type="pct"/>
                  <w:gridSpan w:val="2"/>
                  <w:vAlign w:val="center"/>
                </w:tcPr>
                <w:p w14:paraId="54541AD3">
                  <w:pPr>
                    <w:pStyle w:val="464"/>
                    <w:jc w:val="center"/>
                    <w:rPr>
                      <w:rFonts w:ascii="Times New Roman" w:hAnsi="Times New Roman" w:eastAsia="宋体"/>
                      <w:b/>
                      <w:color w:val="000000" w:themeColor="text1"/>
                      <w:kern w:val="2"/>
                      <w:sz w:val="18"/>
                      <w:szCs w:val="18"/>
                      <w14:textFill>
                        <w14:solidFill>
                          <w14:schemeClr w14:val="tx1"/>
                        </w14:solidFill>
                      </w14:textFill>
                    </w:rPr>
                  </w:pPr>
                  <w:r>
                    <w:rPr>
                      <w:rFonts w:ascii="Times New Roman" w:hAnsi="Times New Roman" w:eastAsia="宋体"/>
                      <w:b/>
                      <w:color w:val="000000" w:themeColor="text1"/>
                      <w:kern w:val="2"/>
                      <w:sz w:val="18"/>
                      <w:szCs w:val="18"/>
                      <w14:textFill>
                        <w14:solidFill>
                          <w14:schemeClr w14:val="tx1"/>
                        </w14:solidFill>
                      </w14:textFill>
                    </w:rPr>
                    <w:t>内容</w:t>
                  </w:r>
                </w:p>
              </w:tc>
              <w:tc>
                <w:tcPr>
                  <w:tcW w:w="1410" w:type="pct"/>
                  <w:vAlign w:val="center"/>
                </w:tcPr>
                <w:p w14:paraId="2C6FC7BB">
                  <w:pPr>
                    <w:pStyle w:val="464"/>
                    <w:jc w:val="center"/>
                    <w:rPr>
                      <w:rFonts w:ascii="Times New Roman" w:hAnsi="Times New Roman" w:eastAsia="宋体"/>
                      <w:b/>
                      <w:color w:val="000000" w:themeColor="text1"/>
                      <w:kern w:val="2"/>
                      <w:sz w:val="18"/>
                      <w:szCs w:val="18"/>
                      <w14:textFill>
                        <w14:solidFill>
                          <w14:schemeClr w14:val="tx1"/>
                        </w14:solidFill>
                      </w14:textFill>
                    </w:rPr>
                  </w:pPr>
                  <w:r>
                    <w:rPr>
                      <w:rFonts w:ascii="Times New Roman" w:hAnsi="Times New Roman" w:eastAsia="宋体"/>
                      <w:b/>
                      <w:color w:val="000000" w:themeColor="text1"/>
                      <w:kern w:val="2"/>
                      <w:sz w:val="18"/>
                      <w:szCs w:val="18"/>
                      <w14:textFill>
                        <w14:solidFill>
                          <w14:schemeClr w14:val="tx1"/>
                        </w14:solidFill>
                      </w14:textFill>
                    </w:rPr>
                    <w:t>项目情况</w:t>
                  </w:r>
                </w:p>
              </w:tc>
              <w:tc>
                <w:tcPr>
                  <w:tcW w:w="597" w:type="pct"/>
                  <w:vAlign w:val="center"/>
                </w:tcPr>
                <w:p w14:paraId="69E47795">
                  <w:pPr>
                    <w:pStyle w:val="464"/>
                    <w:jc w:val="center"/>
                    <w:rPr>
                      <w:rFonts w:ascii="Times New Roman" w:hAnsi="Times New Roman" w:eastAsia="宋体"/>
                      <w:b/>
                      <w:color w:val="000000" w:themeColor="text1"/>
                      <w:kern w:val="2"/>
                      <w:sz w:val="18"/>
                      <w:szCs w:val="18"/>
                      <w14:textFill>
                        <w14:solidFill>
                          <w14:schemeClr w14:val="tx1"/>
                        </w14:solidFill>
                      </w14:textFill>
                    </w:rPr>
                  </w:pPr>
                  <w:r>
                    <w:rPr>
                      <w:rFonts w:ascii="Times New Roman" w:hAnsi="Times New Roman" w:eastAsia="宋体"/>
                      <w:b/>
                      <w:color w:val="000000" w:themeColor="text1"/>
                      <w:kern w:val="2"/>
                      <w:sz w:val="18"/>
                      <w:szCs w:val="18"/>
                      <w14:textFill>
                        <w14:solidFill>
                          <w14:schemeClr w14:val="tx1"/>
                        </w14:solidFill>
                      </w14:textFill>
                    </w:rPr>
                    <w:t>符合性</w:t>
                  </w:r>
                </w:p>
              </w:tc>
            </w:tr>
            <w:tr w14:paraId="16637F4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8" w:type="pct"/>
                  <w:vMerge w:val="restart"/>
                  <w:vAlign w:val="center"/>
                </w:tcPr>
                <w:p w14:paraId="6D97DAC3">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绿</w:t>
                  </w:r>
                </w:p>
                <w:p w14:paraId="221954C1">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色</w:t>
                  </w:r>
                </w:p>
                <w:p w14:paraId="5572B024">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生</w:t>
                  </w:r>
                </w:p>
                <w:p w14:paraId="7C91700D">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产</w:t>
                  </w:r>
                </w:p>
                <w:p w14:paraId="26F85492">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与</w:t>
                  </w:r>
                </w:p>
                <w:p w14:paraId="6C2C96B6">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环</w:t>
                  </w:r>
                </w:p>
                <w:p w14:paraId="77980A5E">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境</w:t>
                  </w:r>
                </w:p>
                <w:p w14:paraId="4C92F088">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保</w:t>
                  </w:r>
                </w:p>
                <w:p w14:paraId="3C8F4BFA">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护</w:t>
                  </w:r>
                </w:p>
              </w:tc>
              <w:tc>
                <w:tcPr>
                  <w:tcW w:w="2653" w:type="pct"/>
                  <w:vAlign w:val="center"/>
                </w:tcPr>
                <w:p w14:paraId="63C13782">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预拌混凝土生产企业须符合《预拌混凝土绿色生产及管理技术规程》(JGJ/T328)要求，厂址选择、厂区要求、设备设施、控制要求和监测控制等指标要满足一星级以上(含一星级)评价要求</w:t>
                  </w:r>
                  <w:r>
                    <w:rPr>
                      <w:rFonts w:ascii="Times New Roman" w:hAnsi="Times New Roman" w:eastAsia="宋体"/>
                      <w:bCs/>
                      <w:color w:val="000000" w:themeColor="text1"/>
                      <w:kern w:val="2"/>
                      <w:sz w:val="18"/>
                      <w:szCs w:val="18"/>
                      <w14:textFill>
                        <w14:solidFill>
                          <w14:schemeClr w14:val="tx1"/>
                        </w14:solidFill>
                      </w14:textFill>
                    </w:rPr>
                    <w:t>。</w:t>
                  </w:r>
                </w:p>
              </w:tc>
              <w:tc>
                <w:tcPr>
                  <w:tcW w:w="1410" w:type="pct"/>
                  <w:vAlign w:val="center"/>
                </w:tcPr>
                <w:p w14:paraId="43B4B397">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本项目符合(JGJ/T28)要求，且位于乐平市金山工业园金一路CH-1地块，厂区要求、设备设施、控制要求和监测控制等指标能满足一星级以上评价要求。</w:t>
                  </w:r>
                </w:p>
              </w:tc>
              <w:tc>
                <w:tcPr>
                  <w:tcW w:w="597" w:type="pct"/>
                  <w:vAlign w:val="center"/>
                </w:tcPr>
                <w:p w14:paraId="41490F69">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5102AC0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8" w:type="pct"/>
                  <w:vMerge w:val="continue"/>
                  <w:vAlign w:val="center"/>
                </w:tcPr>
                <w:p w14:paraId="44B0E127">
                  <w:pPr>
                    <w:rPr>
                      <w:bCs/>
                      <w:color w:val="000000" w:themeColor="text1"/>
                      <w:sz w:val="18"/>
                      <w:szCs w:val="18"/>
                      <w14:textFill>
                        <w14:solidFill>
                          <w14:schemeClr w14:val="tx1"/>
                        </w14:solidFill>
                      </w14:textFill>
                    </w:rPr>
                  </w:pPr>
                </w:p>
              </w:tc>
              <w:tc>
                <w:tcPr>
                  <w:tcW w:w="2653" w:type="pct"/>
                  <w:vAlign w:val="center"/>
                </w:tcPr>
                <w:p w14:paraId="021411D7">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预拌混凝土生产线应达到以下环保要求：</w:t>
                  </w:r>
                </w:p>
                <w:p w14:paraId="63E7DBCD">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1.搅拌主楼应实施全封闭，搅拌主机等扬尘点应设置收尘装置。</w:t>
                  </w:r>
                </w:p>
                <w:p w14:paraId="4D899AEB">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2.粉状原料应散装充罐使用，单线粉料储存罐不宜少于4个。粉料储存罐顶部配备有效收尘设备。</w:t>
                  </w:r>
                </w:p>
                <w:p w14:paraId="369DFFDC">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3.应设置封闭型砂石原料仓，不同原料之间应设置挡墙进行有效隔离，砂石配料、上料等环节应实施封闭</w:t>
                  </w:r>
                  <w:r>
                    <w:rPr>
                      <w:rFonts w:ascii="Times New Roman" w:hAnsi="Times New Roman" w:eastAsia="宋体"/>
                      <w:bCs/>
                      <w:color w:val="000000" w:themeColor="text1"/>
                      <w:kern w:val="2"/>
                      <w:sz w:val="18"/>
                      <w:szCs w:val="18"/>
                      <w14:textFill>
                        <w14:solidFill>
                          <w14:schemeClr w14:val="tx1"/>
                        </w14:solidFill>
                      </w14:textFill>
                    </w:rPr>
                    <w:t>。</w:t>
                  </w:r>
                </w:p>
              </w:tc>
              <w:tc>
                <w:tcPr>
                  <w:tcW w:w="1410" w:type="pct"/>
                  <w:vAlign w:val="center"/>
                </w:tcPr>
                <w:p w14:paraId="5D3D38C5">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本项目搅拌主楼密闭，且在扬尘点设有收尘装置；已设置原料</w:t>
                  </w:r>
                  <w:r>
                    <w:rPr>
                      <w:rFonts w:hint="eastAsia" w:ascii="Times New Roman" w:hAnsi="Times New Roman" w:eastAsia="宋体"/>
                      <w:bCs/>
                      <w:color w:val="000000" w:themeColor="text1"/>
                      <w:kern w:val="2"/>
                      <w:sz w:val="18"/>
                      <w:szCs w:val="18"/>
                      <w:lang w:val="en-US" w:eastAsia="zh-CN"/>
                      <w14:textFill>
                        <w14:solidFill>
                          <w14:schemeClr w14:val="tx1"/>
                        </w14:solidFill>
                      </w14:textFill>
                    </w:rPr>
                    <w:t>堆放区等</w:t>
                  </w:r>
                  <w:r>
                    <w:rPr>
                      <w:rFonts w:hint="eastAsia" w:ascii="Times New Roman" w:hAnsi="Times New Roman" w:eastAsia="宋体"/>
                      <w:bCs/>
                      <w:color w:val="000000" w:themeColor="text1"/>
                      <w:kern w:val="2"/>
                      <w:sz w:val="18"/>
                      <w:szCs w:val="18"/>
                      <w14:textFill>
                        <w14:solidFill>
                          <w14:schemeClr w14:val="tx1"/>
                        </w14:solidFill>
                      </w14:textFill>
                    </w:rPr>
                    <w:t>，且分别设有挡墙进行有效隔离，砂石配料、上料等环节实施封闭。</w:t>
                  </w:r>
                </w:p>
              </w:tc>
              <w:tc>
                <w:tcPr>
                  <w:tcW w:w="597" w:type="pct"/>
                  <w:vAlign w:val="center"/>
                </w:tcPr>
                <w:p w14:paraId="77E5ED90">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31CF62C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8" w:type="pct"/>
                  <w:vMerge w:val="continue"/>
                  <w:vAlign w:val="center"/>
                </w:tcPr>
                <w:p w14:paraId="268B4E8A">
                  <w:pPr>
                    <w:rPr>
                      <w:bCs/>
                      <w:color w:val="000000" w:themeColor="text1"/>
                      <w:sz w:val="18"/>
                      <w:szCs w:val="18"/>
                      <w14:textFill>
                        <w14:solidFill>
                          <w14:schemeClr w14:val="tx1"/>
                        </w14:solidFill>
                      </w14:textFill>
                    </w:rPr>
                  </w:pPr>
                </w:p>
              </w:tc>
              <w:tc>
                <w:tcPr>
                  <w:tcW w:w="2653" w:type="pct"/>
                  <w:vAlign w:val="center"/>
                </w:tcPr>
                <w:p w14:paraId="3B41275B">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预拌混凝土生产企业应依法制订环境突发事件应急预案。鼓励企业建立系统化和规范化的环境保护管理体系并有效运行，宜通过环境管理体系认证。污染物排放应符合国家和地方相应标准</w:t>
                  </w:r>
                  <w:r>
                    <w:rPr>
                      <w:rFonts w:ascii="Times New Roman" w:hAnsi="Times New Roman" w:eastAsia="宋体"/>
                      <w:bCs/>
                      <w:color w:val="000000" w:themeColor="text1"/>
                      <w:kern w:val="2"/>
                      <w:sz w:val="18"/>
                      <w:szCs w:val="18"/>
                      <w14:textFill>
                        <w14:solidFill>
                          <w14:schemeClr w14:val="tx1"/>
                        </w14:solidFill>
                      </w14:textFill>
                    </w:rPr>
                    <w:t>。</w:t>
                  </w:r>
                </w:p>
              </w:tc>
              <w:tc>
                <w:tcPr>
                  <w:tcW w:w="1410" w:type="pct"/>
                  <w:vAlign w:val="center"/>
                </w:tcPr>
                <w:p w14:paraId="360E6B5F">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本项目污染物排放均符合国家和地方相应标准</w:t>
                  </w:r>
                </w:p>
              </w:tc>
              <w:tc>
                <w:tcPr>
                  <w:tcW w:w="597" w:type="pct"/>
                  <w:vAlign w:val="center"/>
                </w:tcPr>
                <w:p w14:paraId="5BD908BC">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12517E0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8" w:type="pct"/>
                  <w:vMerge w:val="restart"/>
                  <w:vAlign w:val="center"/>
                </w:tcPr>
                <w:p w14:paraId="76473AC9">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节</w:t>
                  </w:r>
                </w:p>
                <w:p w14:paraId="24C4396A">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能</w:t>
                  </w:r>
                </w:p>
                <w:p w14:paraId="36D199C7">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与</w:t>
                  </w:r>
                </w:p>
                <w:p w14:paraId="21C15A87">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资</w:t>
                  </w:r>
                </w:p>
                <w:p w14:paraId="0D777AC6">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源</w:t>
                  </w:r>
                </w:p>
                <w:p w14:paraId="143F937A">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综</w:t>
                  </w:r>
                </w:p>
                <w:p w14:paraId="5E19092A">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合</w:t>
                  </w:r>
                </w:p>
                <w:p w14:paraId="76E808FC">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利</w:t>
                  </w:r>
                </w:p>
                <w:p w14:paraId="5E45BC4C">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用</w:t>
                  </w:r>
                </w:p>
              </w:tc>
              <w:tc>
                <w:tcPr>
                  <w:tcW w:w="2653" w:type="pct"/>
                  <w:vAlign w:val="center"/>
                </w:tcPr>
                <w:p w14:paraId="6373512F">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预拌混凝土生产企业应根据用能情况，建立完善的能源管理制度体系，落实能源计量、能源消费统计和能源利用状况报告制度。单位产品生产能耗应不高于1.1kgce/m3，单位产品运输能耗不高于2.9kgce/m3，具体能耗统计计算方法参照标准《预拌混凝土单位产品能源消耗限额》(GB36888)执行</w:t>
                  </w:r>
                  <w:r>
                    <w:rPr>
                      <w:rFonts w:ascii="Times New Roman" w:hAnsi="Times New Roman" w:eastAsia="宋体"/>
                      <w:bCs/>
                      <w:color w:val="000000" w:themeColor="text1"/>
                      <w:kern w:val="2"/>
                      <w:sz w:val="18"/>
                      <w:szCs w:val="18"/>
                      <w14:textFill>
                        <w14:solidFill>
                          <w14:schemeClr w14:val="tx1"/>
                        </w14:solidFill>
                      </w14:textFill>
                    </w:rPr>
                    <w:t>。</w:t>
                  </w:r>
                </w:p>
              </w:tc>
              <w:tc>
                <w:tcPr>
                  <w:tcW w:w="1410" w:type="pct"/>
                  <w:vAlign w:val="center"/>
                </w:tcPr>
                <w:p w14:paraId="64E7EE4F">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本项目能耗能满足《预拌混凝土单位产品能源消耗限额》(GB36888)要求</w:t>
                  </w:r>
                </w:p>
              </w:tc>
              <w:tc>
                <w:tcPr>
                  <w:tcW w:w="597" w:type="pct"/>
                  <w:vAlign w:val="center"/>
                </w:tcPr>
                <w:p w14:paraId="43A51533">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6E0810A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8" w:type="pct"/>
                  <w:vMerge w:val="continue"/>
                  <w:vAlign w:val="center"/>
                </w:tcPr>
                <w:p w14:paraId="4C4D2C5E">
                  <w:pPr>
                    <w:rPr>
                      <w:bCs/>
                      <w:color w:val="000000" w:themeColor="text1"/>
                      <w:sz w:val="18"/>
                      <w:szCs w:val="18"/>
                      <w14:textFill>
                        <w14:solidFill>
                          <w14:schemeClr w14:val="tx1"/>
                        </w14:solidFill>
                      </w14:textFill>
                    </w:rPr>
                  </w:pPr>
                </w:p>
              </w:tc>
              <w:tc>
                <w:tcPr>
                  <w:tcW w:w="2653" w:type="pct"/>
                  <w:vAlign w:val="center"/>
                </w:tcPr>
                <w:p w14:paraId="538702BC">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预拌混凝土生产企业应当对废弃混凝土及场内废水进行处理和利用，不得对外排放。</w:t>
                  </w:r>
                </w:p>
              </w:tc>
              <w:tc>
                <w:tcPr>
                  <w:tcW w:w="1410" w:type="pct"/>
                  <w:vAlign w:val="center"/>
                </w:tcPr>
                <w:p w14:paraId="00099C67">
                  <w:pPr>
                    <w:pStyle w:val="464"/>
                    <w:rPr>
                      <w:rFonts w:hint="default" w:ascii="Times New Roman" w:hAnsi="Times New Roman" w:eastAsia="宋体"/>
                      <w:bCs/>
                      <w:color w:val="000000" w:themeColor="text1"/>
                      <w:kern w:val="2"/>
                      <w:sz w:val="18"/>
                      <w:szCs w:val="18"/>
                      <w:lang w:val="en-US" w:eastAsia="zh-CN"/>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本项目外排废水仅为生活污水</w:t>
                  </w:r>
                  <w:r>
                    <w:rPr>
                      <w:rFonts w:hint="eastAsia" w:ascii="Times New Roman" w:hAnsi="Times New Roman" w:eastAsia="宋体"/>
                      <w:bCs/>
                      <w:color w:val="000000" w:themeColor="text1"/>
                      <w:kern w:val="2"/>
                      <w:sz w:val="18"/>
                      <w:szCs w:val="18"/>
                      <w:lang w:eastAsia="zh-CN"/>
                      <w14:textFill>
                        <w14:solidFill>
                          <w14:schemeClr w14:val="tx1"/>
                        </w14:solidFill>
                      </w14:textFill>
                    </w:rPr>
                    <w:t>，</w:t>
                  </w:r>
                  <w:r>
                    <w:rPr>
                      <w:rFonts w:hint="eastAsia" w:ascii="Times New Roman" w:hAnsi="Times New Roman" w:eastAsia="宋体"/>
                      <w:bCs/>
                      <w:color w:val="000000" w:themeColor="text1"/>
                      <w:kern w:val="2"/>
                      <w:sz w:val="18"/>
                      <w:szCs w:val="18"/>
                      <w:lang w:val="en-US" w:eastAsia="zh-CN"/>
                      <w14:textFill>
                        <w14:solidFill>
                          <w14:schemeClr w14:val="tx1"/>
                        </w14:solidFill>
                      </w14:textFill>
                    </w:rPr>
                    <w:t>生产废水回用不外排</w:t>
                  </w:r>
                </w:p>
              </w:tc>
              <w:tc>
                <w:tcPr>
                  <w:tcW w:w="597" w:type="pct"/>
                  <w:vAlign w:val="center"/>
                </w:tcPr>
                <w:p w14:paraId="70851AA8">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190B1F4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338" w:type="pct"/>
                  <w:vMerge w:val="continue"/>
                  <w:vAlign w:val="center"/>
                </w:tcPr>
                <w:p w14:paraId="6D8D6F07">
                  <w:pPr>
                    <w:rPr>
                      <w:bCs/>
                      <w:color w:val="000000" w:themeColor="text1"/>
                      <w:sz w:val="18"/>
                      <w:szCs w:val="18"/>
                      <w14:textFill>
                        <w14:solidFill>
                          <w14:schemeClr w14:val="tx1"/>
                        </w14:solidFill>
                      </w14:textFill>
                    </w:rPr>
                  </w:pPr>
                </w:p>
              </w:tc>
              <w:tc>
                <w:tcPr>
                  <w:tcW w:w="2653" w:type="pct"/>
                  <w:vAlign w:val="center"/>
                </w:tcPr>
                <w:p w14:paraId="4A2E664A">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对于工业固体废弃物、尾矿、废石、建筑废弃物，鼓励预拌混凝土企业在满足国家或行业相关标准要求的前提下，积极消纳并合理利用其生产预拌混凝土</w:t>
                  </w:r>
                </w:p>
              </w:tc>
              <w:tc>
                <w:tcPr>
                  <w:tcW w:w="1410" w:type="pct"/>
                  <w:vAlign w:val="center"/>
                </w:tcPr>
                <w:p w14:paraId="6212B3DD">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本项目会在满足国家或行业相关标准要求的前提下，愿意积极消纳并合理</w:t>
                  </w:r>
                </w:p>
                <w:p w14:paraId="6EB4376E">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利用其生产预拌混凝土</w:t>
                  </w:r>
                </w:p>
              </w:tc>
              <w:tc>
                <w:tcPr>
                  <w:tcW w:w="597" w:type="pct"/>
                  <w:vAlign w:val="center"/>
                </w:tcPr>
                <w:p w14:paraId="3AD1218F">
                  <w:pPr>
                    <w:pStyle w:val="464"/>
                    <w:rPr>
                      <w:rFonts w:ascii="Times New Roman" w:hAnsi="Times New Roman" w:eastAsia="宋体"/>
                      <w:bCs/>
                      <w:color w:val="000000" w:themeColor="text1"/>
                      <w:kern w:val="2"/>
                      <w:sz w:val="18"/>
                      <w:szCs w:val="18"/>
                      <w14:textFill>
                        <w14:solidFill>
                          <w14:schemeClr w14:val="tx1"/>
                        </w14:solidFill>
                      </w14:textFill>
                    </w:rPr>
                  </w:pPr>
                </w:p>
              </w:tc>
            </w:tr>
            <w:tr w14:paraId="0E412F4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PrEx>
              <w:trPr>
                <w:trHeight w:val="90" w:hRule="atLeast"/>
                <w:jc w:val="center"/>
              </w:trPr>
              <w:tc>
                <w:tcPr>
                  <w:tcW w:w="338" w:type="pct"/>
                  <w:vMerge w:val="continue"/>
                  <w:vAlign w:val="center"/>
                </w:tcPr>
                <w:p w14:paraId="45EC6BF4">
                  <w:pPr>
                    <w:rPr>
                      <w:bCs/>
                      <w:color w:val="000000" w:themeColor="text1"/>
                      <w:sz w:val="18"/>
                      <w:szCs w:val="18"/>
                      <w14:textFill>
                        <w14:solidFill>
                          <w14:schemeClr w14:val="tx1"/>
                        </w14:solidFill>
                      </w14:textFill>
                    </w:rPr>
                  </w:pPr>
                </w:p>
              </w:tc>
              <w:tc>
                <w:tcPr>
                  <w:tcW w:w="2653" w:type="pct"/>
                  <w:vAlign w:val="center"/>
                </w:tcPr>
                <w:p w14:paraId="350097B8">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鼓励预拌混凝土生产企业参照建材行业绿色制造相关标准要求申请绿色建材产品认证、进行绿色生产评价、创建绿色工厂等</w:t>
                  </w:r>
                  <w:r>
                    <w:rPr>
                      <w:rFonts w:ascii="Times New Roman" w:hAnsi="Times New Roman" w:eastAsia="宋体"/>
                      <w:bCs/>
                      <w:color w:val="000000" w:themeColor="text1"/>
                      <w:kern w:val="2"/>
                      <w:sz w:val="18"/>
                      <w:szCs w:val="18"/>
                      <w14:textFill>
                        <w14:solidFill>
                          <w14:schemeClr w14:val="tx1"/>
                        </w14:solidFill>
                      </w14:textFill>
                    </w:rPr>
                    <w:t>。</w:t>
                  </w:r>
                </w:p>
              </w:tc>
              <w:tc>
                <w:tcPr>
                  <w:tcW w:w="1410" w:type="pct"/>
                  <w:vAlign w:val="center"/>
                </w:tcPr>
                <w:p w14:paraId="356CE45E">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本项目为混凝土制造项目，</w:t>
                  </w:r>
                  <w:r>
                    <w:rPr>
                      <w:rFonts w:hint="eastAsia" w:ascii="Times New Roman" w:hAnsi="Times New Roman" w:eastAsia="宋体"/>
                      <w:bCs/>
                      <w:color w:val="000000" w:themeColor="text1"/>
                      <w:kern w:val="2"/>
                      <w:sz w:val="18"/>
                      <w:szCs w:val="18"/>
                      <w:lang w:val="en-US" w:eastAsia="zh-CN"/>
                      <w14:textFill>
                        <w14:solidFill>
                          <w14:schemeClr w14:val="tx1"/>
                        </w14:solidFill>
                      </w14:textFill>
                    </w:rPr>
                    <w:t>积极</w:t>
                  </w:r>
                  <w:r>
                    <w:rPr>
                      <w:rFonts w:hint="eastAsia" w:ascii="Times New Roman" w:hAnsi="Times New Roman" w:eastAsia="宋体"/>
                      <w:bCs/>
                      <w:color w:val="000000" w:themeColor="text1"/>
                      <w:kern w:val="2"/>
                      <w:sz w:val="18"/>
                      <w:szCs w:val="18"/>
                      <w14:textFill>
                        <w14:solidFill>
                          <w14:schemeClr w14:val="tx1"/>
                        </w14:solidFill>
                      </w14:textFill>
                    </w:rPr>
                    <w:t>参照建材行业绿色制造相关标准要求申请绿色建材产品认证、进行绿色生产评价、创建绿色工厂等。</w:t>
                  </w:r>
                </w:p>
              </w:tc>
              <w:tc>
                <w:tcPr>
                  <w:tcW w:w="597" w:type="pct"/>
                  <w:vAlign w:val="center"/>
                </w:tcPr>
                <w:p w14:paraId="16B5093B">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bl>
          <w:p w14:paraId="634B9B29">
            <w:pPr>
              <w:pStyle w:val="222"/>
              <w:widowControl w:val="0"/>
              <w:autoSpaceDN/>
              <w:snapToGrid w:val="0"/>
              <w:spacing w:line="360" w:lineRule="auto"/>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对照《江西省预拌混凝土行业规范条件》，本项目为混凝土制造项目，位于乐平市金山工业园金一路CH-1地块，厂址选择、厂区要求、设备设施、控制要求和监测控制等指标均满足《预拌混凝土绿色生产及管理技术规程》(JGJ/T328)要求。</w:t>
            </w:r>
          </w:p>
          <w:p w14:paraId="61C0292C">
            <w:pPr>
              <w:pStyle w:val="222"/>
              <w:widowControl w:val="0"/>
              <w:autoSpaceDN/>
              <w:snapToGrid w:val="0"/>
              <w:spacing w:line="360" w:lineRule="auto"/>
              <w:ind w:firstLine="482"/>
              <w:rPr>
                <w:rFonts w:hint="default" w:ascii="Times New Roman" w:hAnsi="Times New Roman" w:cs="Times New Roman"/>
                <w:b/>
                <w:bCs/>
                <w:color w:val="000000" w:themeColor="text1"/>
                <w14:textFill>
                  <w14:solidFill>
                    <w14:schemeClr w14:val="tx1"/>
                  </w14:solidFill>
                </w14:textFill>
              </w:rPr>
            </w:pPr>
            <w:r>
              <w:rPr>
                <w:rFonts w:hint="eastAsia" w:cs="Times New Roman"/>
                <w:b/>
                <w:bCs/>
                <w:color w:val="000000" w:themeColor="text1"/>
                <w:lang w:val="en-US" w:eastAsia="zh-CN"/>
                <w14:textFill>
                  <w14:solidFill>
                    <w14:schemeClr w14:val="tx1"/>
                  </w14:solidFill>
                </w14:textFill>
              </w:rPr>
              <w:t>七</w:t>
            </w:r>
            <w:r>
              <w:rPr>
                <w:rFonts w:hint="default" w:ascii="Times New Roman" w:hAnsi="Times New Roman" w:cs="Times New Roman"/>
                <w:b/>
                <w:bCs/>
                <w:color w:val="000000" w:themeColor="text1"/>
                <w14:textFill>
                  <w14:solidFill>
                    <w14:schemeClr w14:val="tx1"/>
                  </w14:solidFill>
                </w14:textFill>
              </w:rPr>
              <w:t>、与《空气质量持续改善行动计划》（国发〔20</w:t>
            </w:r>
            <w:r>
              <w:rPr>
                <w:rFonts w:hint="eastAsia" w:cs="Times New Roman"/>
                <w:b/>
                <w:bCs/>
                <w:color w:val="000000" w:themeColor="text1"/>
                <w:lang w:val="en-US" w:eastAsia="zh-CN"/>
                <w14:textFill>
                  <w14:solidFill>
                    <w14:schemeClr w14:val="tx1"/>
                  </w14:solidFill>
                </w14:textFill>
              </w:rPr>
              <w:t>13</w:t>
            </w:r>
            <w:r>
              <w:rPr>
                <w:rFonts w:hint="default" w:ascii="Times New Roman" w:hAnsi="Times New Roman" w:cs="Times New Roman"/>
                <w:b/>
                <w:bCs/>
                <w:color w:val="000000" w:themeColor="text1"/>
                <w14:textFill>
                  <w14:solidFill>
                    <w14:schemeClr w14:val="tx1"/>
                  </w14:solidFill>
                </w14:textFill>
              </w:rPr>
              <w:t>〕</w:t>
            </w:r>
            <w:r>
              <w:rPr>
                <w:rFonts w:hint="eastAsia" w:cs="Times New Roman"/>
                <w:b/>
                <w:bCs/>
                <w:color w:val="000000" w:themeColor="text1"/>
                <w:lang w:val="en-US" w:eastAsia="zh-CN"/>
                <w14:textFill>
                  <w14:solidFill>
                    <w14:schemeClr w14:val="tx1"/>
                  </w14:solidFill>
                </w14:textFill>
              </w:rPr>
              <w:t>24</w:t>
            </w:r>
            <w:r>
              <w:rPr>
                <w:rFonts w:hint="default" w:ascii="Times New Roman" w:hAnsi="Times New Roman" w:cs="Times New Roman"/>
                <w:b/>
                <w:bCs/>
                <w:color w:val="000000" w:themeColor="text1"/>
                <w14:textFill>
                  <w14:solidFill>
                    <w14:schemeClr w14:val="tx1"/>
                  </w14:solidFill>
                </w14:textFill>
              </w:rPr>
              <w:t>号）相符性分析</w:t>
            </w:r>
          </w:p>
          <w:p w14:paraId="46D0AD6A">
            <w:pPr>
              <w:widowControl/>
              <w:jc w:val="center"/>
              <w:rPr>
                <w:b/>
                <w:bCs/>
                <w:color w:val="000000" w:themeColor="text1"/>
                <w:sz w:val="24"/>
                <w14:textFill>
                  <w14:solidFill>
                    <w14:schemeClr w14:val="tx1"/>
                  </w14:solidFill>
                </w14:textFill>
              </w:rPr>
            </w:pPr>
            <w:r>
              <w:rPr>
                <w:rFonts w:ascii="宋体" w:hAnsi="宋体"/>
                <w:b/>
                <w:bCs/>
                <w:color w:val="000000" w:themeColor="text1"/>
                <w:sz w:val="24"/>
                <w14:textFill>
                  <w14:solidFill>
                    <w14:schemeClr w14:val="tx1"/>
                  </w14:solidFill>
                </w14:textFill>
              </w:rPr>
              <w:t>表</w:t>
            </w:r>
            <w:r>
              <w:rPr>
                <w:b/>
                <w:bCs/>
                <w:color w:val="000000" w:themeColor="text1"/>
                <w:sz w:val="24"/>
                <w14:textFill>
                  <w14:solidFill>
                    <w14:schemeClr w14:val="tx1"/>
                  </w14:solidFill>
                </w14:textFill>
              </w:rPr>
              <w:t>1-</w:t>
            </w:r>
            <w:r>
              <w:rPr>
                <w:rFonts w:hint="eastAsia"/>
                <w:b/>
                <w:bCs/>
                <w:color w:val="000000" w:themeColor="text1"/>
                <w:sz w:val="24"/>
                <w:lang w:val="en-US" w:eastAsia="zh-CN"/>
                <w14:textFill>
                  <w14:solidFill>
                    <w14:schemeClr w14:val="tx1"/>
                  </w14:solidFill>
                </w14:textFill>
              </w:rPr>
              <w:t>9</w:t>
            </w:r>
            <w:r>
              <w:rPr>
                <w:b/>
                <w:bCs/>
                <w:color w:val="000000" w:themeColor="text1"/>
                <w:sz w:val="24"/>
                <w14:textFill>
                  <w14:solidFill>
                    <w14:schemeClr w14:val="tx1"/>
                  </w14:solidFill>
                </w14:textFill>
              </w:rPr>
              <w:t xml:space="preserve"> </w:t>
            </w:r>
            <w:r>
              <w:rPr>
                <w:rFonts w:ascii="宋体" w:hAnsi="宋体"/>
                <w:b/>
                <w:bCs/>
                <w:color w:val="000000" w:themeColor="text1"/>
                <w:sz w:val="24"/>
                <w14:textFill>
                  <w14:solidFill>
                    <w14:schemeClr w14:val="tx1"/>
                  </w14:solidFill>
                </w14:textFill>
              </w:rPr>
              <w:t>与</w:t>
            </w:r>
            <w:r>
              <w:rPr>
                <w:rFonts w:hint="default" w:ascii="Times New Roman" w:hAnsi="Times New Roman" w:cs="Times New Roman"/>
                <w:b/>
                <w:bCs/>
                <w:color w:val="000000" w:themeColor="text1"/>
                <w:sz w:val="24"/>
                <w:szCs w:val="24"/>
                <w14:textFill>
                  <w14:solidFill>
                    <w14:schemeClr w14:val="tx1"/>
                  </w14:solidFill>
                </w14:textFill>
              </w:rPr>
              <w:t>国发〔20</w:t>
            </w:r>
            <w:r>
              <w:rPr>
                <w:rFonts w:hint="eastAsia" w:cs="Times New Roman"/>
                <w:b/>
                <w:bCs/>
                <w:color w:val="000000" w:themeColor="text1"/>
                <w:sz w:val="24"/>
                <w:szCs w:val="24"/>
                <w:lang w:val="en-US" w:eastAsia="zh-CN"/>
                <w14:textFill>
                  <w14:solidFill>
                    <w14:schemeClr w14:val="tx1"/>
                  </w14:solidFill>
                </w14:textFill>
              </w:rPr>
              <w:t>13</w:t>
            </w:r>
            <w:r>
              <w:rPr>
                <w:rFonts w:hint="default" w:ascii="Times New Roman" w:hAnsi="Times New Roman" w:cs="Times New Roman"/>
                <w:b/>
                <w:bCs/>
                <w:color w:val="000000" w:themeColor="text1"/>
                <w:sz w:val="24"/>
                <w:szCs w:val="24"/>
                <w14:textFill>
                  <w14:solidFill>
                    <w14:schemeClr w14:val="tx1"/>
                  </w14:solidFill>
                </w14:textFill>
              </w:rPr>
              <w:t>〕</w:t>
            </w:r>
            <w:r>
              <w:rPr>
                <w:rFonts w:hint="eastAsia" w:cs="Times New Roman"/>
                <w:b/>
                <w:bCs/>
                <w:color w:val="000000" w:themeColor="text1"/>
                <w:sz w:val="24"/>
                <w:szCs w:val="24"/>
                <w:lang w:val="en-US" w:eastAsia="zh-CN"/>
                <w14:textFill>
                  <w14:solidFill>
                    <w14:schemeClr w14:val="tx1"/>
                  </w14:solidFill>
                </w14:textFill>
              </w:rPr>
              <w:t>24</w:t>
            </w:r>
            <w:r>
              <w:rPr>
                <w:rFonts w:hint="default" w:ascii="Times New Roman" w:hAnsi="Times New Roman" w:cs="Times New Roman"/>
                <w:b/>
                <w:bCs/>
                <w:color w:val="000000" w:themeColor="text1"/>
                <w:sz w:val="24"/>
                <w:szCs w:val="24"/>
                <w14:textFill>
                  <w14:solidFill>
                    <w14:schemeClr w14:val="tx1"/>
                  </w14:solidFill>
                </w14:textFill>
              </w:rPr>
              <w:t>号</w:t>
            </w:r>
            <w:r>
              <w:rPr>
                <w:rFonts w:hint="eastAsia" w:ascii="宋体" w:hAnsi="宋体"/>
                <w:b/>
                <w:bCs/>
                <w:color w:val="000000" w:themeColor="text1"/>
                <w:sz w:val="24"/>
                <w14:textFill>
                  <w14:solidFill>
                    <w14:schemeClr w14:val="tx1"/>
                  </w14:solidFill>
                </w14:textFill>
              </w:rPr>
              <w:t>符合性一览表</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4179"/>
              <w:gridCol w:w="2750"/>
              <w:gridCol w:w="924"/>
            </w:tblGrid>
            <w:tr w14:paraId="5D03517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2660" w:type="pct"/>
                  <w:vAlign w:val="center"/>
                </w:tcPr>
                <w:p w14:paraId="366C5A02">
                  <w:pPr>
                    <w:pStyle w:val="464"/>
                    <w:jc w:val="center"/>
                    <w:rPr>
                      <w:rFonts w:ascii="Times New Roman" w:hAnsi="Times New Roman" w:eastAsia="宋体"/>
                      <w:b/>
                      <w:color w:val="000000" w:themeColor="text1"/>
                      <w:kern w:val="2"/>
                      <w:sz w:val="18"/>
                      <w:szCs w:val="18"/>
                      <w14:textFill>
                        <w14:solidFill>
                          <w14:schemeClr w14:val="tx1"/>
                        </w14:solidFill>
                      </w14:textFill>
                    </w:rPr>
                  </w:pPr>
                  <w:r>
                    <w:rPr>
                      <w:rFonts w:ascii="Times New Roman" w:hAnsi="Times New Roman" w:eastAsia="宋体"/>
                      <w:b/>
                      <w:color w:val="000000" w:themeColor="text1"/>
                      <w:kern w:val="2"/>
                      <w:sz w:val="18"/>
                      <w:szCs w:val="18"/>
                      <w14:textFill>
                        <w14:solidFill>
                          <w14:schemeClr w14:val="tx1"/>
                        </w14:solidFill>
                      </w14:textFill>
                    </w:rPr>
                    <w:t>内容</w:t>
                  </w:r>
                </w:p>
              </w:tc>
              <w:tc>
                <w:tcPr>
                  <w:tcW w:w="1750" w:type="pct"/>
                  <w:vAlign w:val="center"/>
                </w:tcPr>
                <w:p w14:paraId="34923967">
                  <w:pPr>
                    <w:pStyle w:val="464"/>
                    <w:jc w:val="center"/>
                    <w:rPr>
                      <w:rFonts w:ascii="Times New Roman" w:hAnsi="Times New Roman" w:eastAsia="宋体"/>
                      <w:b/>
                      <w:color w:val="000000" w:themeColor="text1"/>
                      <w:kern w:val="2"/>
                      <w:sz w:val="18"/>
                      <w:szCs w:val="18"/>
                      <w14:textFill>
                        <w14:solidFill>
                          <w14:schemeClr w14:val="tx1"/>
                        </w14:solidFill>
                      </w14:textFill>
                    </w:rPr>
                  </w:pPr>
                  <w:r>
                    <w:rPr>
                      <w:rFonts w:ascii="Times New Roman" w:hAnsi="Times New Roman" w:eastAsia="宋体"/>
                      <w:b/>
                      <w:color w:val="000000" w:themeColor="text1"/>
                      <w:kern w:val="2"/>
                      <w:sz w:val="18"/>
                      <w:szCs w:val="18"/>
                      <w14:textFill>
                        <w14:solidFill>
                          <w14:schemeClr w14:val="tx1"/>
                        </w14:solidFill>
                      </w14:textFill>
                    </w:rPr>
                    <w:t>项目情况</w:t>
                  </w:r>
                </w:p>
              </w:tc>
              <w:tc>
                <w:tcPr>
                  <w:tcW w:w="588" w:type="pct"/>
                  <w:vAlign w:val="center"/>
                </w:tcPr>
                <w:p w14:paraId="2E49C8F9">
                  <w:pPr>
                    <w:pStyle w:val="464"/>
                    <w:jc w:val="center"/>
                    <w:rPr>
                      <w:rFonts w:ascii="Times New Roman" w:hAnsi="Times New Roman" w:eastAsia="宋体"/>
                      <w:b/>
                      <w:color w:val="000000" w:themeColor="text1"/>
                      <w:kern w:val="2"/>
                      <w:sz w:val="18"/>
                      <w:szCs w:val="18"/>
                      <w14:textFill>
                        <w14:solidFill>
                          <w14:schemeClr w14:val="tx1"/>
                        </w14:solidFill>
                      </w14:textFill>
                    </w:rPr>
                  </w:pPr>
                  <w:r>
                    <w:rPr>
                      <w:rFonts w:ascii="Times New Roman" w:hAnsi="Times New Roman" w:eastAsia="宋体"/>
                      <w:b/>
                      <w:color w:val="000000" w:themeColor="text1"/>
                      <w:kern w:val="2"/>
                      <w:sz w:val="18"/>
                      <w:szCs w:val="18"/>
                      <w14:textFill>
                        <w14:solidFill>
                          <w14:schemeClr w14:val="tx1"/>
                        </w14:solidFill>
                      </w14:textFill>
                    </w:rPr>
                    <w:t>符合性</w:t>
                  </w:r>
                </w:p>
              </w:tc>
            </w:tr>
            <w:tr w14:paraId="4B2B427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2660" w:type="pct"/>
                  <w:vAlign w:val="center"/>
                </w:tcPr>
                <w:p w14:paraId="7CCFB195">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坚决遏制高耗能、高排放、低水平项目盲目上马。新改扩建项目严格落实国家产业规划、产业政策、生态环境分区管控方案、规划环评、项目环评、节能审查、产能置换、重点污染物总量控制、污染物排放区域削减、碳排放达峰目标等相关要求，原则上采用清洁运输方式。涉及产能置换的项目，被置换产能及其配套设施关停后，新建项目方可投产。</w:t>
                  </w:r>
                </w:p>
              </w:tc>
              <w:tc>
                <w:tcPr>
                  <w:tcW w:w="1750" w:type="pct"/>
                  <w:vAlign w:val="center"/>
                </w:tcPr>
                <w:p w14:paraId="10DAE37E">
                  <w:pPr>
                    <w:pStyle w:val="464"/>
                    <w:rPr>
                      <w:rFonts w:hint="eastAsia" w:ascii="Times New Roman" w:hAnsi="Times New Roman" w:eastAsia="宋体"/>
                      <w:bCs/>
                      <w:color w:val="000000" w:themeColor="text1"/>
                      <w:kern w:val="2"/>
                      <w:sz w:val="18"/>
                      <w:szCs w:val="18"/>
                      <w:lang w:val="en-US" w:eastAsia="zh-CN"/>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项目未列入高耗能、高排放、低水平淘汰类项目，</w:t>
                  </w:r>
                  <w:r>
                    <w:rPr>
                      <w:rFonts w:hint="eastAsia" w:ascii="Times New Roman" w:hAnsi="Times New Roman" w:eastAsia="宋体"/>
                      <w:bCs/>
                      <w:color w:val="000000" w:themeColor="text1"/>
                      <w:kern w:val="2"/>
                      <w:sz w:val="18"/>
                      <w:szCs w:val="18"/>
                      <w:lang w:val="en-US" w:eastAsia="zh-CN"/>
                      <w14:textFill>
                        <w14:solidFill>
                          <w14:schemeClr w14:val="tx1"/>
                        </w14:solidFill>
                      </w14:textFill>
                    </w:rPr>
                    <w:t>正积极完善</w:t>
                  </w:r>
                  <w:r>
                    <w:rPr>
                      <w:rFonts w:hint="eastAsia" w:ascii="Times New Roman" w:hAnsi="Times New Roman" w:eastAsia="宋体"/>
                      <w:bCs/>
                      <w:color w:val="000000" w:themeColor="text1"/>
                      <w:kern w:val="2"/>
                      <w:sz w:val="18"/>
                      <w:szCs w:val="18"/>
                      <w14:textFill>
                        <w14:solidFill>
                          <w14:schemeClr w14:val="tx1"/>
                        </w14:solidFill>
                      </w14:textFill>
                    </w:rPr>
                    <w:t>项目环评、节能审查、产能备案等手续，</w:t>
                  </w:r>
                  <w:r>
                    <w:rPr>
                      <w:rFonts w:hint="eastAsia" w:ascii="Times New Roman" w:hAnsi="Times New Roman" w:eastAsia="宋体"/>
                      <w:bCs/>
                      <w:color w:val="000000" w:themeColor="text1"/>
                      <w:kern w:val="2"/>
                      <w:sz w:val="18"/>
                      <w:szCs w:val="18"/>
                      <w:lang w:val="en-US" w:eastAsia="zh-CN"/>
                      <w14:textFill>
                        <w14:solidFill>
                          <w14:schemeClr w14:val="tx1"/>
                        </w14:solidFill>
                      </w14:textFill>
                    </w:rPr>
                    <w:t>项目</w:t>
                  </w:r>
                  <w:r>
                    <w:rPr>
                      <w:rFonts w:hint="eastAsia" w:ascii="Times New Roman" w:hAnsi="Times New Roman" w:eastAsia="宋体"/>
                      <w:bCs/>
                      <w:color w:val="000000" w:themeColor="text1"/>
                      <w:kern w:val="2"/>
                      <w:sz w:val="18"/>
                      <w:szCs w:val="18"/>
                      <w14:textFill>
                        <w14:solidFill>
                          <w14:schemeClr w14:val="tx1"/>
                        </w14:solidFill>
                      </w14:textFill>
                    </w:rPr>
                    <w:t>严格落实污染物总量控制要求，厂区运输优先选用新能源车辆，原则采用清洁运输方式。</w:t>
                  </w:r>
                  <w:r>
                    <w:rPr>
                      <w:rFonts w:hint="eastAsia" w:ascii="Times New Roman" w:hAnsi="Times New Roman" w:eastAsia="宋体"/>
                      <w:bCs/>
                      <w:color w:val="000000" w:themeColor="text1"/>
                      <w:kern w:val="2"/>
                      <w:sz w:val="18"/>
                      <w:szCs w:val="18"/>
                      <w:lang w:val="en-US" w:eastAsia="zh-CN"/>
                      <w14:textFill>
                        <w14:solidFill>
                          <w14:schemeClr w14:val="tx1"/>
                        </w14:solidFill>
                      </w14:textFill>
                    </w:rPr>
                    <w:t>本项目不涉及</w:t>
                  </w:r>
                  <w:r>
                    <w:rPr>
                      <w:rFonts w:hint="eastAsia" w:ascii="Times New Roman" w:hAnsi="Times New Roman" w:eastAsia="宋体"/>
                      <w:bCs/>
                      <w:color w:val="000000" w:themeColor="text1"/>
                      <w:kern w:val="2"/>
                      <w:sz w:val="18"/>
                      <w:szCs w:val="18"/>
                      <w14:textFill>
                        <w14:solidFill>
                          <w14:schemeClr w14:val="tx1"/>
                        </w14:solidFill>
                      </w14:textFill>
                    </w:rPr>
                    <w:t>产能置换</w:t>
                  </w:r>
                  <w:r>
                    <w:rPr>
                      <w:rFonts w:hint="eastAsia" w:ascii="Times New Roman" w:hAnsi="Times New Roman" w:eastAsia="宋体"/>
                      <w:bCs/>
                      <w:color w:val="000000" w:themeColor="text1"/>
                      <w:kern w:val="2"/>
                      <w:sz w:val="18"/>
                      <w:szCs w:val="18"/>
                      <w:lang w:eastAsia="zh-CN"/>
                      <w14:textFill>
                        <w14:solidFill>
                          <w14:schemeClr w14:val="tx1"/>
                        </w14:solidFill>
                      </w14:textFill>
                    </w:rPr>
                    <w:t>。</w:t>
                  </w:r>
                </w:p>
              </w:tc>
              <w:tc>
                <w:tcPr>
                  <w:tcW w:w="588" w:type="pct"/>
                  <w:vAlign w:val="center"/>
                </w:tcPr>
                <w:p w14:paraId="4478D89C">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4F6B255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2660" w:type="pct"/>
                  <w:vAlign w:val="center"/>
                </w:tcPr>
                <w:p w14:paraId="24D15BC6">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深化扬尘污染综合治理。鼓励经济发达地区5000平方米及以上建筑工地安装视频监控并接入当地监管平台；重点区域道路、水务等长距离线性工程实行分段施工。将防治扬尘污染费用纳入工程造价。到2025年，装配式建筑占新建建筑面积比例达30%；地级及以上城市建成区道路机械化清扫率达80%左右，县城达70%左右。对城市公共裸地进行排查建档并采取防尘措施。城市大型煤炭、矿石等干散货码头物料堆场基本完成抑尘设施建设和物料输送系统封闭改造。</w:t>
                  </w:r>
                </w:p>
              </w:tc>
              <w:tc>
                <w:tcPr>
                  <w:tcW w:w="1750" w:type="pct"/>
                  <w:vAlign w:val="center"/>
                </w:tcPr>
                <w:p w14:paraId="20CF067F">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项目针对建材行业扬尘管控核心要求，建设全封闭搅拌主楼、全封闭原料</w:t>
                  </w:r>
                  <w:r>
                    <w:rPr>
                      <w:rFonts w:hint="eastAsia" w:ascii="Times New Roman" w:hAnsi="Times New Roman" w:eastAsia="宋体"/>
                      <w:bCs/>
                      <w:color w:val="000000" w:themeColor="text1"/>
                      <w:kern w:val="2"/>
                      <w:sz w:val="18"/>
                      <w:szCs w:val="18"/>
                      <w:lang w:val="en-US" w:eastAsia="zh-CN"/>
                      <w14:textFill>
                        <w14:solidFill>
                          <w14:schemeClr w14:val="tx1"/>
                        </w14:solidFill>
                      </w14:textFill>
                    </w:rPr>
                    <w:t>堆放区</w:t>
                  </w:r>
                  <w:r>
                    <w:rPr>
                      <w:rFonts w:hint="eastAsia" w:ascii="Times New Roman" w:hAnsi="Times New Roman" w:eastAsia="宋体"/>
                      <w:bCs/>
                      <w:color w:val="000000" w:themeColor="text1"/>
                      <w:kern w:val="2"/>
                      <w:sz w:val="18"/>
                      <w:szCs w:val="18"/>
                      <w14:textFill>
                        <w14:solidFill>
                          <w14:schemeClr w14:val="tx1"/>
                        </w14:solidFill>
                      </w14:textFill>
                    </w:rPr>
                    <w:t>，粉料筒仓配套脉冲布袋除尘器，原料</w:t>
                  </w:r>
                  <w:r>
                    <w:rPr>
                      <w:rFonts w:hint="eastAsia" w:ascii="Times New Roman" w:hAnsi="Times New Roman" w:eastAsia="宋体"/>
                      <w:bCs/>
                      <w:color w:val="000000" w:themeColor="text1"/>
                      <w:kern w:val="2"/>
                      <w:sz w:val="18"/>
                      <w:szCs w:val="18"/>
                      <w:lang w:val="en-US" w:eastAsia="zh-CN"/>
                      <w14:textFill>
                        <w14:solidFill>
                          <w14:schemeClr w14:val="tx1"/>
                        </w14:solidFill>
                      </w14:textFill>
                    </w:rPr>
                    <w:t>堆放区</w:t>
                  </w:r>
                  <w:r>
                    <w:rPr>
                      <w:rFonts w:hint="eastAsia" w:ascii="Times New Roman" w:hAnsi="Times New Roman" w:eastAsia="宋体"/>
                      <w:bCs/>
                      <w:color w:val="000000" w:themeColor="text1"/>
                      <w:kern w:val="2"/>
                      <w:sz w:val="18"/>
                      <w:szCs w:val="18"/>
                      <w14:textFill>
                        <w14:solidFill>
                          <w14:schemeClr w14:val="tx1"/>
                        </w14:solidFill>
                      </w14:textFill>
                    </w:rPr>
                    <w:t>及厂区道路设置喷淋降尘系统，物料输送采用全封闭皮带廊道，全方位严控无组织粉尘排放。</w:t>
                  </w:r>
                </w:p>
              </w:tc>
              <w:tc>
                <w:tcPr>
                  <w:tcW w:w="588" w:type="pct"/>
                  <w:vAlign w:val="center"/>
                </w:tcPr>
                <w:p w14:paraId="0C349FB5">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555F63A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2660" w:type="pct"/>
                  <w:vAlign w:val="center"/>
                </w:tcPr>
                <w:p w14:paraId="0DEDEB6B">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建立健全省市县三级重污染天气应急预案体系，明确地方各级政府部门责任分工，规范重污染天气预警启动、响应、解除工作流程。优化重污染天气预警启动标准。完善重点行业企业绩效分级指标体系，规范企业绩效分级管理流程，鼓励开展绩效等级提升行动。结合排污许可制度，确保应急减排清单覆盖所有涉气企业。位于同一区域的城市要按照区域预警提示信息，依法依规同步采取应急响应措施。</w:t>
                  </w:r>
                </w:p>
              </w:tc>
              <w:tc>
                <w:tcPr>
                  <w:tcW w:w="1750" w:type="pct"/>
                  <w:vAlign w:val="center"/>
                </w:tcPr>
                <w:p w14:paraId="263CEEB3">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本项目</w:t>
                  </w:r>
                  <w:r>
                    <w:rPr>
                      <w:rFonts w:hint="eastAsia" w:ascii="Times New Roman" w:hAnsi="Times New Roman" w:eastAsia="宋体"/>
                      <w:bCs/>
                      <w:color w:val="000000" w:themeColor="text1"/>
                      <w:kern w:val="2"/>
                      <w:sz w:val="18"/>
                      <w:szCs w:val="18"/>
                      <w:lang w:val="en-US" w:eastAsia="zh-CN"/>
                      <w14:textFill>
                        <w14:solidFill>
                          <w14:schemeClr w14:val="tx1"/>
                        </w14:solidFill>
                      </w14:textFill>
                    </w:rPr>
                    <w:t>正在</w:t>
                  </w:r>
                  <w:r>
                    <w:rPr>
                      <w:rFonts w:hint="eastAsia" w:ascii="Times New Roman" w:hAnsi="Times New Roman" w:eastAsia="宋体"/>
                      <w:bCs/>
                      <w:color w:val="000000" w:themeColor="text1"/>
                      <w:kern w:val="2"/>
                      <w:sz w:val="18"/>
                      <w:szCs w:val="18"/>
                      <w14:textFill>
                        <w14:solidFill>
                          <w14:schemeClr w14:val="tx1"/>
                        </w14:solidFill>
                      </w14:textFill>
                    </w:rPr>
                    <w:t>编制专项重污染天气应急减排预案，明确不同预警级别下的减排措施、责任分工和应急流程，配套完善污染治理设施运维体系，污染治理绩效满足行业管控标准，符合政策应急减排与绩效提升要求</w:t>
                  </w:r>
                </w:p>
              </w:tc>
              <w:tc>
                <w:tcPr>
                  <w:tcW w:w="588" w:type="pct"/>
                  <w:vAlign w:val="center"/>
                </w:tcPr>
                <w:p w14:paraId="76D66653">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bl>
          <w:p w14:paraId="21E08739">
            <w:pPr>
              <w:pStyle w:val="222"/>
              <w:widowControl w:val="0"/>
              <w:autoSpaceDN/>
              <w:snapToGrid w:val="0"/>
              <w:spacing w:line="360" w:lineRule="auto"/>
              <w:ind w:firstLine="482"/>
              <w:rPr>
                <w:rFonts w:hint="default" w:ascii="Times New Roman" w:hAnsi="Times New Roman" w:cs="Times New Roman"/>
                <w:b/>
                <w:bCs/>
                <w:color w:val="000000" w:themeColor="text1"/>
                <w14:textFill>
                  <w14:solidFill>
                    <w14:schemeClr w14:val="tx1"/>
                  </w14:solidFill>
                </w14:textFill>
              </w:rPr>
            </w:pPr>
            <w:r>
              <w:rPr>
                <w:rFonts w:hint="eastAsia" w:cs="Times New Roman"/>
                <w:b/>
                <w:bCs/>
                <w:color w:val="000000" w:themeColor="text1"/>
                <w:lang w:val="en-US" w:eastAsia="zh-CN"/>
                <w14:textFill>
                  <w14:solidFill>
                    <w14:schemeClr w14:val="tx1"/>
                  </w14:solidFill>
                </w14:textFill>
              </w:rPr>
              <w:t>八</w:t>
            </w:r>
            <w:r>
              <w:rPr>
                <w:rFonts w:hint="default" w:ascii="Times New Roman" w:hAnsi="Times New Roman" w:cs="Times New Roman"/>
                <w:b/>
                <w:bCs/>
                <w:color w:val="000000" w:themeColor="text1"/>
                <w14:textFill>
                  <w14:solidFill>
                    <w14:schemeClr w14:val="tx1"/>
                  </w14:solidFill>
                </w14:textFill>
              </w:rPr>
              <w:t>、与《关于深入打好污染防治攻坚战的意见》（中共中央、国务院印发，中发〔2021〕40号）相符性分析</w:t>
            </w:r>
          </w:p>
          <w:p w14:paraId="425A03FC">
            <w:pPr>
              <w:widowControl/>
              <w:jc w:val="center"/>
              <w:rPr>
                <w:b/>
                <w:bCs/>
                <w:color w:val="000000" w:themeColor="text1"/>
                <w:sz w:val="24"/>
                <w14:textFill>
                  <w14:solidFill>
                    <w14:schemeClr w14:val="tx1"/>
                  </w14:solidFill>
                </w14:textFill>
              </w:rPr>
            </w:pPr>
            <w:r>
              <w:rPr>
                <w:rFonts w:ascii="宋体" w:hAnsi="宋体"/>
                <w:b/>
                <w:bCs/>
                <w:color w:val="000000" w:themeColor="text1"/>
                <w:sz w:val="24"/>
                <w14:textFill>
                  <w14:solidFill>
                    <w14:schemeClr w14:val="tx1"/>
                  </w14:solidFill>
                </w14:textFill>
              </w:rPr>
              <w:t>表</w:t>
            </w:r>
            <w:r>
              <w:rPr>
                <w:b/>
                <w:bCs/>
                <w:color w:val="000000" w:themeColor="text1"/>
                <w:sz w:val="24"/>
                <w14:textFill>
                  <w14:solidFill>
                    <w14:schemeClr w14:val="tx1"/>
                  </w14:solidFill>
                </w14:textFill>
              </w:rPr>
              <w:t>1-</w:t>
            </w:r>
            <w:r>
              <w:rPr>
                <w:rFonts w:hint="eastAsia"/>
                <w:b/>
                <w:bCs/>
                <w:color w:val="000000" w:themeColor="text1"/>
                <w:sz w:val="24"/>
                <w:lang w:val="en-US" w:eastAsia="zh-CN"/>
                <w14:textFill>
                  <w14:solidFill>
                    <w14:schemeClr w14:val="tx1"/>
                  </w14:solidFill>
                </w14:textFill>
              </w:rPr>
              <w:t>10</w:t>
            </w:r>
            <w:r>
              <w:rPr>
                <w:b/>
                <w:bCs/>
                <w:color w:val="000000" w:themeColor="text1"/>
                <w:sz w:val="24"/>
                <w14:textFill>
                  <w14:solidFill>
                    <w14:schemeClr w14:val="tx1"/>
                  </w14:solidFill>
                </w14:textFill>
              </w:rPr>
              <w:t xml:space="preserve"> </w:t>
            </w:r>
            <w:r>
              <w:rPr>
                <w:rFonts w:ascii="宋体" w:hAnsi="宋体"/>
                <w:b/>
                <w:bCs/>
                <w:color w:val="000000" w:themeColor="text1"/>
                <w:sz w:val="24"/>
                <w14:textFill>
                  <w14:solidFill>
                    <w14:schemeClr w14:val="tx1"/>
                  </w14:solidFill>
                </w14:textFill>
              </w:rPr>
              <w:t>与</w:t>
            </w:r>
            <w:r>
              <w:rPr>
                <w:rFonts w:hint="eastAsia" w:ascii="宋体" w:hAnsi="宋体"/>
                <w:b/>
                <w:bCs/>
                <w:color w:val="000000" w:themeColor="text1"/>
                <w:sz w:val="24"/>
                <w14:textFill>
                  <w14:solidFill>
                    <w14:schemeClr w14:val="tx1"/>
                  </w14:solidFill>
                </w14:textFill>
              </w:rPr>
              <w:t>（</w:t>
            </w:r>
            <w:r>
              <w:rPr>
                <w:rFonts w:hint="default" w:ascii="Times New Roman" w:hAnsi="Times New Roman" w:cs="Times New Roman"/>
                <w:b/>
                <w:bCs/>
                <w:color w:val="000000" w:themeColor="text1"/>
                <w:sz w:val="24"/>
                <w14:textFill>
                  <w14:solidFill>
                    <w14:schemeClr w14:val="tx1"/>
                  </w14:solidFill>
                </w14:textFill>
              </w:rPr>
              <w:t>中共中央、国务院印发，中发〔2021〕40号）符</w:t>
            </w:r>
            <w:r>
              <w:rPr>
                <w:rFonts w:hint="eastAsia" w:ascii="宋体" w:hAnsi="宋体"/>
                <w:b/>
                <w:bCs/>
                <w:color w:val="000000" w:themeColor="text1"/>
                <w:sz w:val="24"/>
                <w14:textFill>
                  <w14:solidFill>
                    <w14:schemeClr w14:val="tx1"/>
                  </w14:solidFill>
                </w14:textFill>
              </w:rPr>
              <w:t>合性一览表</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3924"/>
              <w:gridCol w:w="3005"/>
              <w:gridCol w:w="924"/>
            </w:tblGrid>
            <w:tr w14:paraId="3843B2C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2498" w:type="pct"/>
                  <w:vAlign w:val="center"/>
                </w:tcPr>
                <w:p w14:paraId="512D8C61">
                  <w:pPr>
                    <w:pStyle w:val="464"/>
                    <w:jc w:val="center"/>
                    <w:rPr>
                      <w:rFonts w:ascii="Times New Roman" w:hAnsi="Times New Roman" w:eastAsia="宋体"/>
                      <w:b/>
                      <w:color w:val="000000" w:themeColor="text1"/>
                      <w:kern w:val="2"/>
                      <w:sz w:val="18"/>
                      <w:szCs w:val="18"/>
                      <w14:textFill>
                        <w14:solidFill>
                          <w14:schemeClr w14:val="tx1"/>
                        </w14:solidFill>
                      </w14:textFill>
                    </w:rPr>
                  </w:pPr>
                  <w:r>
                    <w:rPr>
                      <w:rFonts w:ascii="Times New Roman" w:hAnsi="Times New Roman" w:eastAsia="宋体"/>
                      <w:b/>
                      <w:color w:val="000000" w:themeColor="text1"/>
                      <w:kern w:val="2"/>
                      <w:sz w:val="18"/>
                      <w:szCs w:val="18"/>
                      <w14:textFill>
                        <w14:solidFill>
                          <w14:schemeClr w14:val="tx1"/>
                        </w14:solidFill>
                      </w14:textFill>
                    </w:rPr>
                    <w:t>内容</w:t>
                  </w:r>
                </w:p>
              </w:tc>
              <w:tc>
                <w:tcPr>
                  <w:tcW w:w="1913" w:type="pct"/>
                  <w:vAlign w:val="center"/>
                </w:tcPr>
                <w:p w14:paraId="4A44C11C">
                  <w:pPr>
                    <w:pStyle w:val="464"/>
                    <w:jc w:val="center"/>
                    <w:rPr>
                      <w:rFonts w:ascii="Times New Roman" w:hAnsi="Times New Roman" w:eastAsia="宋体"/>
                      <w:b/>
                      <w:color w:val="000000" w:themeColor="text1"/>
                      <w:kern w:val="2"/>
                      <w:sz w:val="18"/>
                      <w:szCs w:val="18"/>
                      <w14:textFill>
                        <w14:solidFill>
                          <w14:schemeClr w14:val="tx1"/>
                        </w14:solidFill>
                      </w14:textFill>
                    </w:rPr>
                  </w:pPr>
                  <w:r>
                    <w:rPr>
                      <w:rFonts w:ascii="Times New Roman" w:hAnsi="Times New Roman" w:eastAsia="宋体"/>
                      <w:b/>
                      <w:color w:val="000000" w:themeColor="text1"/>
                      <w:kern w:val="2"/>
                      <w:sz w:val="18"/>
                      <w:szCs w:val="18"/>
                      <w14:textFill>
                        <w14:solidFill>
                          <w14:schemeClr w14:val="tx1"/>
                        </w14:solidFill>
                      </w14:textFill>
                    </w:rPr>
                    <w:t>项目情况</w:t>
                  </w:r>
                </w:p>
              </w:tc>
              <w:tc>
                <w:tcPr>
                  <w:tcW w:w="588" w:type="pct"/>
                  <w:vAlign w:val="center"/>
                </w:tcPr>
                <w:p w14:paraId="07DC02E6">
                  <w:pPr>
                    <w:pStyle w:val="464"/>
                    <w:jc w:val="center"/>
                    <w:rPr>
                      <w:rFonts w:ascii="Times New Roman" w:hAnsi="Times New Roman" w:eastAsia="宋体"/>
                      <w:b/>
                      <w:color w:val="000000" w:themeColor="text1"/>
                      <w:kern w:val="2"/>
                      <w:sz w:val="18"/>
                      <w:szCs w:val="18"/>
                      <w14:textFill>
                        <w14:solidFill>
                          <w14:schemeClr w14:val="tx1"/>
                        </w14:solidFill>
                      </w14:textFill>
                    </w:rPr>
                  </w:pPr>
                  <w:r>
                    <w:rPr>
                      <w:rFonts w:ascii="Times New Roman" w:hAnsi="Times New Roman" w:eastAsia="宋体"/>
                      <w:b/>
                      <w:color w:val="000000" w:themeColor="text1"/>
                      <w:kern w:val="2"/>
                      <w:sz w:val="18"/>
                      <w:szCs w:val="18"/>
                      <w14:textFill>
                        <w14:solidFill>
                          <w14:schemeClr w14:val="tx1"/>
                        </w14:solidFill>
                      </w14:textFill>
                    </w:rPr>
                    <w:t>符合性</w:t>
                  </w:r>
                </w:p>
              </w:tc>
            </w:tr>
            <w:tr w14:paraId="4EB22F8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2498" w:type="pct"/>
                  <w:vAlign w:val="center"/>
                </w:tcPr>
                <w:p w14:paraId="2C18B4CA">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坚决遏制高耗能高排放项目盲目发展。严把高耗能高排放项目准入关口，严格落实污染物排放区域削减要求，对不符合规定的项目坚决停批停建。依法依规淘汰落后产能和化解过剩产能。推动高炉－转炉长流程炼钢转型为电炉短流程炼钢。重点区域严禁新增钢铁、焦化、水泥熟料、平板玻璃、电解铝、氧化铝、煤化工产能，合理控制煤制油气产能规模，严控新增炼油产能。</w:t>
                  </w:r>
                </w:p>
              </w:tc>
              <w:tc>
                <w:tcPr>
                  <w:tcW w:w="1913" w:type="pct"/>
                  <w:vAlign w:val="center"/>
                </w:tcPr>
                <w:p w14:paraId="1CB1048A">
                  <w:pPr>
                    <w:pStyle w:val="464"/>
                    <w:numPr>
                      <w:ilvl w:val="0"/>
                      <w:numId w:val="7"/>
                    </w:numPr>
                    <w:rPr>
                      <w:rFonts w:hint="eastAsia" w:ascii="Times New Roman" w:hAnsi="Times New Roman" w:eastAsia="宋体"/>
                      <w:bCs/>
                      <w:color w:val="000000" w:themeColor="text1"/>
                      <w:kern w:val="2"/>
                      <w:sz w:val="18"/>
                      <w:szCs w:val="18"/>
                      <w:lang w:eastAsia="zh-CN"/>
                      <w14:textFill>
                        <w14:solidFill>
                          <w14:schemeClr w14:val="tx1"/>
                        </w14:solidFill>
                      </w14:textFill>
                    </w:rPr>
                  </w:pPr>
                  <w:r>
                    <w:rPr>
                      <w:rFonts w:hint="eastAsia" w:ascii="Times New Roman" w:hAnsi="Times New Roman" w:eastAsia="宋体"/>
                      <w:bCs/>
                      <w:color w:val="000000" w:themeColor="text1"/>
                      <w:kern w:val="2"/>
                      <w:sz w:val="18"/>
                      <w:szCs w:val="18"/>
                      <w:lang w:val="en-US" w:eastAsia="zh-CN"/>
                      <w14:textFill>
                        <w14:solidFill>
                          <w14:schemeClr w14:val="tx1"/>
                        </w14:solidFill>
                      </w14:textFill>
                    </w:rPr>
                    <w:t>本项目为</w:t>
                  </w:r>
                  <w:r>
                    <w:rPr>
                      <w:rFonts w:hint="eastAsia" w:ascii="Times New Roman" w:hAnsi="Times New Roman" w:eastAsia="宋体"/>
                      <w:bCs/>
                      <w:color w:val="000000" w:themeColor="text1"/>
                      <w:kern w:val="2"/>
                      <w:sz w:val="18"/>
                      <w:szCs w:val="18"/>
                      <w:lang w:eastAsia="zh-CN"/>
                      <w14:textFill>
                        <w14:solidFill>
                          <w14:schemeClr w14:val="tx1"/>
                        </w14:solidFill>
                      </w14:textFill>
                    </w:rPr>
                    <w:t>预拌混凝土项目不属于高耗能高排放项目，未列入淘汰类产能，</w:t>
                  </w:r>
                  <w:r>
                    <w:rPr>
                      <w:rFonts w:hint="eastAsia" w:ascii="Times New Roman" w:hAnsi="Times New Roman" w:eastAsia="宋体"/>
                      <w:bCs/>
                      <w:color w:val="000000" w:themeColor="text1"/>
                      <w:kern w:val="2"/>
                      <w:sz w:val="18"/>
                      <w:szCs w:val="18"/>
                      <w:lang w:val="en-US" w:eastAsia="zh-CN"/>
                      <w14:textFill>
                        <w14:solidFill>
                          <w14:schemeClr w14:val="tx1"/>
                        </w14:solidFill>
                      </w14:textFill>
                    </w:rPr>
                    <w:t>正积极办理</w:t>
                  </w:r>
                  <w:r>
                    <w:rPr>
                      <w:rFonts w:hint="eastAsia" w:ascii="Times New Roman" w:hAnsi="Times New Roman" w:eastAsia="宋体"/>
                      <w:bCs/>
                      <w:color w:val="000000" w:themeColor="text1"/>
                      <w:kern w:val="2"/>
                      <w:sz w:val="18"/>
                      <w:szCs w:val="18"/>
                      <w:lang w:eastAsia="zh-CN"/>
                      <w14:textFill>
                        <w14:solidFill>
                          <w14:schemeClr w14:val="tx1"/>
                        </w14:solidFill>
                      </w14:textFill>
                    </w:rPr>
                    <w:t>环评、节能审查等手续，严格落实污染物总量控制及区域削减要求，符合准入管控</w:t>
                  </w:r>
                  <w:r>
                    <w:rPr>
                      <w:rFonts w:hint="eastAsia" w:ascii="Times New Roman" w:hAnsi="Times New Roman" w:eastAsia="宋体"/>
                      <w:bCs/>
                      <w:color w:val="000000" w:themeColor="text1"/>
                      <w:kern w:val="2"/>
                      <w:sz w:val="18"/>
                      <w:szCs w:val="18"/>
                      <w:lang w:val="en-US" w:eastAsia="zh-CN"/>
                      <w14:textFill>
                        <w14:solidFill>
                          <w14:schemeClr w14:val="tx1"/>
                        </w14:solidFill>
                      </w14:textFill>
                    </w:rPr>
                    <w:t>要求</w:t>
                  </w:r>
                  <w:r>
                    <w:rPr>
                      <w:rFonts w:hint="eastAsia" w:ascii="Times New Roman" w:hAnsi="Times New Roman" w:eastAsia="宋体"/>
                      <w:bCs/>
                      <w:color w:val="000000" w:themeColor="text1"/>
                      <w:kern w:val="2"/>
                      <w:sz w:val="18"/>
                      <w:szCs w:val="18"/>
                      <w:lang w:eastAsia="zh-CN"/>
                      <w14:textFill>
                        <w14:solidFill>
                          <w14:schemeClr w14:val="tx1"/>
                        </w14:solidFill>
                      </w14:textFill>
                    </w:rPr>
                    <w:t>；</w:t>
                  </w:r>
                </w:p>
                <w:p w14:paraId="7B6EE5CB">
                  <w:pPr>
                    <w:pStyle w:val="464"/>
                    <w:numPr>
                      <w:ilvl w:val="0"/>
                      <w:numId w:val="7"/>
                    </w:numPr>
                    <w:rPr>
                      <w:rFonts w:hint="eastAsia" w:ascii="Times New Roman" w:hAnsi="Times New Roman" w:eastAsia="宋体"/>
                      <w:bCs/>
                      <w:color w:val="000000" w:themeColor="text1"/>
                      <w:kern w:val="2"/>
                      <w:sz w:val="18"/>
                      <w:szCs w:val="18"/>
                      <w:lang w:val="en-US" w:eastAsia="zh-CN"/>
                      <w14:textFill>
                        <w14:solidFill>
                          <w14:schemeClr w14:val="tx1"/>
                        </w14:solidFill>
                      </w14:textFill>
                    </w:rPr>
                  </w:pPr>
                  <w:r>
                    <w:rPr>
                      <w:rFonts w:hint="eastAsia" w:ascii="Times New Roman" w:hAnsi="Times New Roman" w:eastAsia="宋体"/>
                      <w:bCs/>
                      <w:color w:val="000000" w:themeColor="text1"/>
                      <w:kern w:val="2"/>
                      <w:sz w:val="18"/>
                      <w:szCs w:val="18"/>
                      <w:lang w:eastAsia="zh-CN"/>
                      <w14:textFill>
                        <w14:solidFill>
                          <w14:schemeClr w14:val="tx1"/>
                        </w14:solidFill>
                      </w14:textFill>
                    </w:rPr>
                    <w:t>项目核心产品为预拌混凝土，不涉及钢铁、焦化、水泥熟料等严禁新增产能的行业，不违反产能管控要求；</w:t>
                  </w:r>
                </w:p>
                <w:p w14:paraId="4FD49F61">
                  <w:pPr>
                    <w:pStyle w:val="464"/>
                    <w:numPr>
                      <w:ilvl w:val="0"/>
                      <w:numId w:val="7"/>
                    </w:numPr>
                    <w:rPr>
                      <w:rFonts w:hint="eastAsia" w:ascii="Times New Roman" w:hAnsi="Times New Roman" w:eastAsia="宋体"/>
                      <w:bCs/>
                      <w:color w:val="000000" w:themeColor="text1"/>
                      <w:kern w:val="2"/>
                      <w:sz w:val="18"/>
                      <w:szCs w:val="18"/>
                      <w:lang w:val="en-US" w:eastAsia="zh-CN"/>
                      <w14:textFill>
                        <w14:solidFill>
                          <w14:schemeClr w14:val="tx1"/>
                        </w14:solidFill>
                      </w14:textFill>
                    </w:rPr>
                  </w:pPr>
                  <w:r>
                    <w:rPr>
                      <w:rFonts w:hint="eastAsia" w:ascii="Times New Roman" w:hAnsi="Times New Roman" w:eastAsia="宋体"/>
                      <w:bCs/>
                      <w:color w:val="000000" w:themeColor="text1"/>
                      <w:kern w:val="2"/>
                      <w:sz w:val="18"/>
                      <w:szCs w:val="18"/>
                      <w:lang w:eastAsia="zh-CN"/>
                      <w14:textFill>
                        <w14:solidFill>
                          <w14:schemeClr w14:val="tx1"/>
                        </w14:solidFill>
                      </w14:textFill>
                    </w:rPr>
                    <w:t>采用先进节能装备，无落后产能，依法合规生产。</w:t>
                  </w:r>
                </w:p>
              </w:tc>
              <w:tc>
                <w:tcPr>
                  <w:tcW w:w="588" w:type="pct"/>
                  <w:vAlign w:val="center"/>
                </w:tcPr>
                <w:p w14:paraId="1D74C483">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75277E9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2498" w:type="pct"/>
                  <w:vAlign w:val="center"/>
                </w:tcPr>
                <w:p w14:paraId="563938FB">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推进清洁生产和能源资源节约高效利用。引导重点行业深入实施清洁生产改造，依法开展自愿性清洁生产评价认证。大力推行绿色制造，构建资源循环利用体系。推动煤炭等化石能源清洁高效利用。加强重点领域节能，提高能源使用效率。实施国家节水行动，强化农业节水增效、工业节水减排、城镇节水降损。推进污水资源化利用和海水淡化规模化利用。</w:t>
                  </w:r>
                </w:p>
              </w:tc>
              <w:tc>
                <w:tcPr>
                  <w:tcW w:w="1913" w:type="pct"/>
                  <w:vAlign w:val="center"/>
                </w:tcPr>
                <w:p w14:paraId="37B166BE">
                  <w:pPr>
                    <w:pStyle w:val="464"/>
                    <w:numPr>
                      <w:ilvl w:val="0"/>
                      <w:numId w:val="8"/>
                    </w:numPr>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项目实施全流程清洁生产改造，采用全封闭生产、高效除尘等绿色生产工艺，可依法开展自愿性清洁生产评价认证；</w:t>
                  </w:r>
                </w:p>
                <w:p w14:paraId="06690699">
                  <w:pPr>
                    <w:pStyle w:val="464"/>
                    <w:numPr>
                      <w:ilvl w:val="0"/>
                      <w:numId w:val="8"/>
                    </w:numPr>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 xml:space="preserve"> </w:t>
                  </w:r>
                  <w:r>
                    <w:rPr>
                      <w:rFonts w:hint="eastAsia" w:ascii="Times New Roman" w:hAnsi="Times New Roman" w:eastAsia="宋体"/>
                      <w:bCs/>
                      <w:color w:val="000000" w:themeColor="text1"/>
                      <w:kern w:val="2"/>
                      <w:sz w:val="18"/>
                      <w:szCs w:val="18"/>
                      <w:lang w:val="en-US" w:eastAsia="zh-CN"/>
                      <w14:textFill>
                        <w14:solidFill>
                          <w14:schemeClr w14:val="tx1"/>
                        </w14:solidFill>
                      </w14:textFill>
                    </w:rPr>
                    <w:t>项目</w:t>
                  </w:r>
                  <w:r>
                    <w:rPr>
                      <w:rFonts w:hint="eastAsia" w:ascii="Times New Roman" w:hAnsi="Times New Roman" w:eastAsia="宋体"/>
                      <w:bCs/>
                      <w:color w:val="000000" w:themeColor="text1"/>
                      <w:kern w:val="2"/>
                      <w:sz w:val="18"/>
                      <w:szCs w:val="18"/>
                      <w14:textFill>
                        <w14:solidFill>
                          <w14:schemeClr w14:val="tx1"/>
                        </w14:solidFill>
                      </w14:textFill>
                    </w:rPr>
                    <w:t>构建完善的资源循环体系，生产废水经砂石分离、多级沉淀后回用；</w:t>
                  </w:r>
                </w:p>
                <w:p w14:paraId="52737AFD">
                  <w:pPr>
                    <w:pStyle w:val="464"/>
                    <w:numPr>
                      <w:ilvl w:val="0"/>
                      <w:numId w:val="8"/>
                    </w:numPr>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lang w:val="en-US" w:eastAsia="zh-CN"/>
                      <w14:textFill>
                        <w14:solidFill>
                          <w14:schemeClr w14:val="tx1"/>
                        </w14:solidFill>
                      </w14:textFill>
                    </w:rPr>
                    <w:t>项目</w:t>
                  </w:r>
                  <w:r>
                    <w:rPr>
                      <w:rFonts w:hint="eastAsia" w:ascii="Times New Roman" w:hAnsi="Times New Roman" w:eastAsia="宋体"/>
                      <w:bCs/>
                      <w:color w:val="000000" w:themeColor="text1"/>
                      <w:kern w:val="2"/>
                      <w:sz w:val="18"/>
                      <w:szCs w:val="18"/>
                      <w14:textFill>
                        <w14:solidFill>
                          <w14:schemeClr w14:val="tx1"/>
                        </w14:solidFill>
                      </w14:textFill>
                    </w:rPr>
                    <w:t>选用低能耗设备，加强厂区节能管理，生产用水循环回用，契合节能、节水及污水资源化要求。</w:t>
                  </w:r>
                </w:p>
              </w:tc>
              <w:tc>
                <w:tcPr>
                  <w:tcW w:w="588" w:type="pct"/>
                  <w:vAlign w:val="center"/>
                </w:tcPr>
                <w:p w14:paraId="116DBCF0">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56F6996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2498" w:type="pct"/>
                  <w:vAlign w:val="center"/>
                </w:tcPr>
                <w:p w14:paraId="1F63F203">
                  <w:pPr>
                    <w:pStyle w:val="464"/>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着力打好重污染天气消除攻坚战。聚焦秋冬季细颗粒物污染，加大重点区域、重点行业结构调整和污染治理力度。京津冀及周边地区、汾渭平原持续开展秋冬季大气污染综合治理专项行动。东北地区加强秸秆禁烧管控和采暖燃煤污染治理。天山北坡城市群加强兵地协作，钢铁、有色金属、化工等行业参照重点区域执行重污染天气应急减排措施。科学调整大气污染防治重点区域范围，构建省市县三级重污染天气应急预案体系，实施重点行业企业绩效分级管理，依法严厉打击不落实应急减排措施行为。到2025年，全国重度及以上污染天数比率控制在1%以内。</w:t>
                  </w:r>
                </w:p>
              </w:tc>
              <w:tc>
                <w:tcPr>
                  <w:tcW w:w="1913" w:type="pct"/>
                  <w:vAlign w:val="center"/>
                </w:tcPr>
                <w:p w14:paraId="0406E236">
                  <w:pPr>
                    <w:pStyle w:val="464"/>
                    <w:numPr>
                      <w:ilvl w:val="0"/>
                      <w:numId w:val="9"/>
                    </w:numPr>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lang w:val="en-US" w:eastAsia="zh-CN"/>
                      <w14:textFill>
                        <w14:solidFill>
                          <w14:schemeClr w14:val="tx1"/>
                        </w14:solidFill>
                      </w14:textFill>
                    </w:rPr>
                    <w:t>本</w:t>
                  </w:r>
                  <w:r>
                    <w:rPr>
                      <w:rFonts w:hint="eastAsia" w:ascii="Times New Roman" w:hAnsi="Times New Roman" w:eastAsia="宋体"/>
                      <w:bCs/>
                      <w:color w:val="000000" w:themeColor="text1"/>
                      <w:kern w:val="2"/>
                      <w:sz w:val="18"/>
                      <w:szCs w:val="18"/>
                      <w14:textFill>
                        <w14:solidFill>
                          <w14:schemeClr w14:val="tx1"/>
                        </w14:solidFill>
                      </w14:textFill>
                    </w:rPr>
                    <w:t>项目属于建材行业重点污染管控范畴，针对细颗粒物污染，配套高效除尘、喷淋抑尘设施，严控粉尘排放，助力秋冬季污染治理；</w:t>
                  </w:r>
                </w:p>
                <w:p w14:paraId="00304A20">
                  <w:pPr>
                    <w:pStyle w:val="464"/>
                    <w:numPr>
                      <w:ilvl w:val="0"/>
                      <w:numId w:val="9"/>
                    </w:numPr>
                    <w:rPr>
                      <w:rFonts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 xml:space="preserve"> </w:t>
                  </w:r>
                  <w:r>
                    <w:rPr>
                      <w:rFonts w:hint="eastAsia" w:ascii="Times New Roman" w:hAnsi="Times New Roman" w:eastAsia="宋体"/>
                      <w:bCs/>
                      <w:color w:val="000000" w:themeColor="text1"/>
                      <w:kern w:val="2"/>
                      <w:sz w:val="18"/>
                      <w:szCs w:val="18"/>
                      <w:lang w:val="en-US" w:eastAsia="zh-CN"/>
                      <w14:textFill>
                        <w14:solidFill>
                          <w14:schemeClr w14:val="tx1"/>
                        </w14:solidFill>
                      </w14:textFill>
                    </w:rPr>
                    <w:t>项目正在</w:t>
                  </w:r>
                  <w:r>
                    <w:rPr>
                      <w:rFonts w:hint="eastAsia" w:ascii="Times New Roman" w:hAnsi="Times New Roman" w:eastAsia="宋体"/>
                      <w:bCs/>
                      <w:color w:val="000000" w:themeColor="text1"/>
                      <w:kern w:val="2"/>
                      <w:sz w:val="18"/>
                      <w:szCs w:val="18"/>
                      <w14:textFill>
                        <w14:solidFill>
                          <w14:schemeClr w14:val="tx1"/>
                        </w14:solidFill>
                      </w14:textFill>
                    </w:rPr>
                    <w:t>编制重污染天气应急减排预案，明确不同预警等级的减排措施，纳入行业绩效分级管理，严格落实应急减排要求，杜绝违规排放行为；3. 各项污染治理措施可有效降低污染物排放，助力实现2025年重度及以上污染天数控制目标。</w:t>
                  </w:r>
                </w:p>
              </w:tc>
              <w:tc>
                <w:tcPr>
                  <w:tcW w:w="588" w:type="pct"/>
                  <w:vAlign w:val="center"/>
                </w:tcPr>
                <w:p w14:paraId="58C22874">
                  <w:pPr>
                    <w:pStyle w:val="464"/>
                    <w:rPr>
                      <w:rFonts w:ascii="Times New Roman" w:hAnsi="Times New Roman" w:eastAsia="宋体"/>
                      <w:bCs/>
                      <w:color w:val="000000" w:themeColor="text1"/>
                      <w:kern w:val="2"/>
                      <w:sz w:val="18"/>
                      <w:szCs w:val="18"/>
                      <w14:textFill>
                        <w14:solidFill>
                          <w14:schemeClr w14:val="tx1"/>
                        </w14:solidFill>
                      </w14:textFill>
                    </w:rPr>
                  </w:pPr>
                  <w:r>
                    <w:rPr>
                      <w:rFonts w:ascii="Times New Roman" w:hAnsi="Times New Roman" w:eastAsia="宋体"/>
                      <w:bCs/>
                      <w:color w:val="000000" w:themeColor="text1"/>
                      <w:kern w:val="2"/>
                      <w:sz w:val="18"/>
                      <w:szCs w:val="18"/>
                      <w14:textFill>
                        <w14:solidFill>
                          <w14:schemeClr w14:val="tx1"/>
                        </w14:solidFill>
                      </w14:textFill>
                    </w:rPr>
                    <w:t>符合</w:t>
                  </w:r>
                </w:p>
              </w:tc>
            </w:tr>
            <w:tr w14:paraId="7978726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2498" w:type="pct"/>
                  <w:vAlign w:val="center"/>
                </w:tcPr>
                <w:p w14:paraId="2DA7A863">
                  <w:pPr>
                    <w:pStyle w:val="464"/>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加强大气面源和噪声污染治理。强化施工、道路、堆场、裸露地面等扬尘管控，加强城市保洁和清扫。加大餐饮油烟污染、恶臭异味治理力度。强化秸秆综合利用和禁烧管控。到2025年，京津冀及周边地区大型规模化养殖场氨排放总量比2020年下降5%。深化消耗臭氧层物质和氢氟碳化物环境管理。实施噪声污染防治行动，加快解决群众关心的突出噪声问题。到2025年，地级及以上城市全面实现功能区声环境质量自动监测，全国声环境功能区夜间达标率达到85%。</w:t>
                  </w:r>
                </w:p>
              </w:tc>
              <w:tc>
                <w:tcPr>
                  <w:tcW w:w="1913" w:type="pct"/>
                  <w:vAlign w:val="center"/>
                </w:tcPr>
                <w:p w14:paraId="020CF616">
                  <w:pPr>
                    <w:pStyle w:val="464"/>
                    <w:numPr>
                      <w:ilvl w:val="0"/>
                      <w:numId w:val="10"/>
                    </w:numPr>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扬尘管控方面：</w:t>
                  </w:r>
                  <w:r>
                    <w:rPr>
                      <w:rFonts w:hint="eastAsia" w:ascii="Times New Roman" w:hAnsi="Times New Roman" w:eastAsia="宋体"/>
                      <w:bCs/>
                      <w:color w:val="000000" w:themeColor="text1"/>
                      <w:kern w:val="2"/>
                      <w:sz w:val="18"/>
                      <w:szCs w:val="18"/>
                      <w:lang w:val="en-US" w:eastAsia="zh-CN"/>
                      <w14:textFill>
                        <w14:solidFill>
                          <w14:schemeClr w14:val="tx1"/>
                        </w14:solidFill>
                      </w14:textFill>
                    </w:rPr>
                    <w:t>项目原料</w:t>
                  </w:r>
                  <w:r>
                    <w:rPr>
                      <w:rFonts w:hint="eastAsia" w:ascii="Times New Roman" w:hAnsi="Times New Roman" w:eastAsia="宋体"/>
                      <w:bCs/>
                      <w:color w:val="000000" w:themeColor="text1"/>
                      <w:kern w:val="2"/>
                      <w:sz w:val="18"/>
                      <w:szCs w:val="18"/>
                      <w14:textFill>
                        <w14:solidFill>
                          <w14:schemeClr w14:val="tx1"/>
                        </w14:solidFill>
                      </w14:textFill>
                    </w:rPr>
                    <w:t>全封闭储存，堆场设置喷淋抑尘设施，物料输送全封闭，施工及厂区道路定期洒水降尘，全面强化扬尘精细化管控；</w:t>
                  </w:r>
                </w:p>
                <w:p w14:paraId="50FB6F5A">
                  <w:pPr>
                    <w:pStyle w:val="464"/>
                    <w:numPr>
                      <w:ilvl w:val="0"/>
                      <w:numId w:val="10"/>
                    </w:numPr>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 xml:space="preserve"> 噪声治理方面：优先选用低噪声设备，采取隔声、消声、减振等措施</w:t>
                  </w:r>
                  <w:r>
                    <w:rPr>
                      <w:rFonts w:hint="eastAsia" w:ascii="Times New Roman" w:hAnsi="Times New Roman" w:eastAsia="宋体"/>
                      <w:bCs/>
                      <w:color w:val="000000" w:themeColor="text1"/>
                      <w:kern w:val="2"/>
                      <w:sz w:val="18"/>
                      <w:szCs w:val="18"/>
                      <w:lang w:eastAsia="zh-CN"/>
                      <w14:textFill>
                        <w14:solidFill>
                          <w14:schemeClr w14:val="tx1"/>
                        </w14:solidFill>
                      </w14:textFill>
                    </w:rPr>
                    <w:t>。</w:t>
                  </w:r>
                </w:p>
                <w:p w14:paraId="05F9A3D9">
                  <w:pPr>
                    <w:pStyle w:val="464"/>
                    <w:numPr>
                      <w:ilvl w:val="0"/>
                      <w:numId w:val="10"/>
                    </w:numPr>
                    <w:rPr>
                      <w:rFonts w:hint="eastAsia" w:ascii="Times New Roman" w:hAnsi="Times New Roman" w:eastAsia="宋体"/>
                      <w:bCs/>
                      <w:color w:val="000000" w:themeColor="text1"/>
                      <w:kern w:val="2"/>
                      <w:sz w:val="18"/>
                      <w:szCs w:val="18"/>
                      <w14:textFill>
                        <w14:solidFill>
                          <w14:schemeClr w14:val="tx1"/>
                        </w14:solidFill>
                      </w14:textFill>
                    </w:rPr>
                  </w:pPr>
                  <w:r>
                    <w:rPr>
                      <w:rFonts w:hint="eastAsia" w:ascii="Times New Roman" w:hAnsi="Times New Roman" w:eastAsia="宋体"/>
                      <w:bCs/>
                      <w:color w:val="000000" w:themeColor="text1"/>
                      <w:kern w:val="2"/>
                      <w:sz w:val="18"/>
                      <w:szCs w:val="18"/>
                      <w14:textFill>
                        <w14:solidFill>
                          <w14:schemeClr w14:val="tx1"/>
                        </w14:solidFill>
                      </w14:textFill>
                    </w:rPr>
                    <w:t xml:space="preserve"> 不涉及餐饮油烟、恶臭异味及秸秆焚烧等管控内容，无相关环境隐患。</w:t>
                  </w:r>
                </w:p>
              </w:tc>
              <w:tc>
                <w:tcPr>
                  <w:tcW w:w="588" w:type="pct"/>
                  <w:vAlign w:val="center"/>
                </w:tcPr>
                <w:p w14:paraId="67FCAFFE">
                  <w:pPr>
                    <w:pStyle w:val="464"/>
                    <w:rPr>
                      <w:rFonts w:ascii="Times New Roman" w:hAnsi="Times New Roman" w:eastAsia="宋体"/>
                      <w:bCs/>
                      <w:color w:val="000000" w:themeColor="text1"/>
                      <w:kern w:val="2"/>
                      <w:sz w:val="18"/>
                      <w:szCs w:val="18"/>
                      <w14:textFill>
                        <w14:solidFill>
                          <w14:schemeClr w14:val="tx1"/>
                        </w14:solidFill>
                      </w14:textFill>
                    </w:rPr>
                  </w:pPr>
                </w:p>
              </w:tc>
            </w:tr>
          </w:tbl>
          <w:p w14:paraId="6BE43A79">
            <w:pPr>
              <w:pStyle w:val="6"/>
              <w:spacing w:before="0" w:after="0"/>
              <w:ind w:firstLine="498" w:firstLineChars="200"/>
              <w:rPr>
                <w:rFonts w:ascii="Times New Roman"/>
                <w:b/>
                <w:bCs/>
                <w:color w:val="000000" w:themeColor="text1"/>
                <w:kern w:val="2"/>
                <w:sz w:val="28"/>
                <w:szCs w:val="28"/>
                <w14:textFill>
                  <w14:solidFill>
                    <w14:schemeClr w14:val="tx1"/>
                  </w14:solidFill>
                </w14:textFill>
              </w:rPr>
            </w:pPr>
            <w:r>
              <w:rPr>
                <w:rFonts w:hint="eastAsia" w:ascii="Times New Roman"/>
                <w:b/>
                <w:bCs/>
                <w:color w:val="000000" w:themeColor="text1"/>
                <w:lang w:val="en-US" w:eastAsia="zh-CN"/>
                <w14:textFill>
                  <w14:solidFill>
                    <w14:schemeClr w14:val="tx1"/>
                  </w14:solidFill>
                </w14:textFill>
              </w:rPr>
              <w:t>九</w:t>
            </w:r>
            <w:r>
              <w:rPr>
                <w:rFonts w:ascii="Times New Roman"/>
                <w:b/>
                <w:bCs/>
                <w:color w:val="000000" w:themeColor="text1"/>
                <w14:textFill>
                  <w14:solidFill>
                    <w14:schemeClr w14:val="tx1"/>
                  </w14:solidFill>
                </w14:textFill>
              </w:rPr>
              <w:t>、项目选址可行性分析</w:t>
            </w:r>
          </w:p>
          <w:p w14:paraId="2DA423D4">
            <w:pPr>
              <w:pStyle w:val="99"/>
              <w:ind w:firstLine="480"/>
              <w:jc w:val="left"/>
              <w:rPr>
                <w:color w:val="000000" w:themeColor="text1"/>
                <w14:textFill>
                  <w14:solidFill>
                    <w14:schemeClr w14:val="tx1"/>
                  </w14:solidFill>
                </w14:textFill>
              </w:rPr>
            </w:pPr>
            <w:r>
              <w:rPr>
                <w:color w:val="000000" w:themeColor="text1"/>
                <w14:textFill>
                  <w14:solidFill>
                    <w14:schemeClr w14:val="tx1"/>
                  </w14:solidFill>
                </w14:textFill>
              </w:rPr>
              <w:t>本项目位于</w:t>
            </w:r>
            <w:r>
              <w:rPr>
                <w:rFonts w:hint="eastAsia"/>
                <w:color w:val="000000" w:themeColor="text1"/>
                <w14:textFill>
                  <w14:solidFill>
                    <w14:schemeClr w14:val="tx1"/>
                  </w14:solidFill>
                </w14:textFill>
              </w:rPr>
              <w:t>江西省景德镇市乐平市金山工业园金一路CH-1地块</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根据乐平市自然资源和规划局出具的本项目用地情况的说明，项目用地性质为工业用地。</w:t>
            </w:r>
          </w:p>
          <w:p w14:paraId="0CFF36D6">
            <w:pPr>
              <w:pStyle w:val="99"/>
              <w:ind w:firstLine="480"/>
              <w:jc w:val="left"/>
              <w:rPr>
                <w:color w:val="000000" w:themeColor="text1"/>
                <w14:textFill>
                  <w14:solidFill>
                    <w14:schemeClr w14:val="tx1"/>
                  </w14:solidFill>
                </w14:textFill>
              </w:rPr>
            </w:pPr>
            <w:r>
              <w:rPr>
                <w:color w:val="000000" w:themeColor="text1"/>
                <w14:textFill>
                  <w14:solidFill>
                    <w14:schemeClr w14:val="tx1"/>
                  </w14:solidFill>
                </w14:textFill>
              </w:rPr>
              <w:t>根据现场调查，项目位于</w:t>
            </w:r>
            <w:r>
              <w:rPr>
                <w:rFonts w:hint="eastAsia"/>
                <w:color w:val="000000" w:themeColor="text1"/>
                <w14:textFill>
                  <w14:solidFill>
                    <w14:schemeClr w14:val="tx1"/>
                  </w14:solidFill>
                </w14:textFill>
              </w:rPr>
              <w:t>江西省景德镇市乐平市金山工业园金一路CH-1地块</w:t>
            </w:r>
            <w:r>
              <w:rPr>
                <w:color w:val="000000" w:themeColor="text1"/>
                <w14:textFill>
                  <w14:solidFill>
                    <w14:schemeClr w14:val="tx1"/>
                  </w14:solidFill>
                </w14:textFill>
              </w:rPr>
              <w:t>，本项目</w:t>
            </w:r>
            <w:r>
              <w:rPr>
                <w:rFonts w:hint="eastAsia"/>
                <w:color w:val="000000" w:themeColor="text1"/>
                <w14:textFill>
                  <w14:solidFill>
                    <w14:schemeClr w14:val="tx1"/>
                  </w14:solidFill>
                </w14:textFill>
              </w:rPr>
              <w:t>最近敏感点为厂界北侧80m的张家边，</w:t>
            </w:r>
            <w:r>
              <w:rPr>
                <w:color w:val="000000" w:themeColor="text1"/>
                <w14:textFill>
                  <w14:solidFill>
                    <w14:schemeClr w14:val="tx1"/>
                  </w14:solidFill>
                </w14:textFill>
              </w:rPr>
              <w:t>厂界外50米范围内无自然保护区、风景名胜区、居住区、文化区和农村地区中人群较集中的区域等保护目标。</w:t>
            </w:r>
          </w:p>
          <w:p w14:paraId="35E779C6">
            <w:pPr>
              <w:pStyle w:val="99"/>
              <w:ind w:firstLine="480"/>
              <w:jc w:val="left"/>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本项目附近无自然保护区、风景名胜区、世界文化和自然遗产地、饮用水水源保护区等，项目选址不属于生态保</w:t>
            </w:r>
            <w:r>
              <w:rPr>
                <w:rFonts w:ascii="宋体" w:hAnsi="宋体"/>
                <w:color w:val="000000" w:themeColor="text1"/>
                <w14:textFill>
                  <w14:solidFill>
                    <w14:schemeClr w14:val="tx1"/>
                  </w14:solidFill>
                </w14:textFill>
              </w:rPr>
              <w:t>护区，周边不存在受保护动植物。</w:t>
            </w:r>
          </w:p>
          <w:p w14:paraId="0C376618">
            <w:pPr>
              <w:pStyle w:val="99"/>
              <w:ind w:firstLine="480"/>
              <w:rPr>
                <w:rFonts w:hint="eastAsia"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综上所述，本项目选址可行。</w:t>
            </w:r>
          </w:p>
          <w:p w14:paraId="2CE2CEE7">
            <w:pPr>
              <w:pStyle w:val="99"/>
              <w:rPr>
                <w:color w:val="000000" w:themeColor="text1"/>
                <w:spacing w:val="6"/>
                <w14:textFill>
                  <w14:solidFill>
                    <w14:schemeClr w14:val="tx1"/>
                  </w14:solidFill>
                </w14:textFill>
              </w:rPr>
            </w:pPr>
          </w:p>
          <w:p w14:paraId="642B7779">
            <w:pPr>
              <w:pStyle w:val="99"/>
              <w:ind w:firstLine="504"/>
              <w:rPr>
                <w:color w:val="000000" w:themeColor="text1"/>
                <w:spacing w:val="6"/>
                <w14:textFill>
                  <w14:solidFill>
                    <w14:schemeClr w14:val="tx1"/>
                  </w14:solidFill>
                </w14:textFill>
              </w:rPr>
            </w:pPr>
          </w:p>
          <w:p w14:paraId="172B04F2">
            <w:pPr>
              <w:pStyle w:val="99"/>
              <w:ind w:firstLine="504"/>
              <w:rPr>
                <w:color w:val="000000" w:themeColor="text1"/>
                <w:spacing w:val="6"/>
                <w14:textFill>
                  <w14:solidFill>
                    <w14:schemeClr w14:val="tx1"/>
                  </w14:solidFill>
                </w14:textFill>
              </w:rPr>
            </w:pPr>
          </w:p>
          <w:p w14:paraId="2F7D6AAC">
            <w:pPr>
              <w:pStyle w:val="99"/>
              <w:ind w:firstLine="504"/>
              <w:rPr>
                <w:color w:val="000000" w:themeColor="text1"/>
                <w:spacing w:val="6"/>
                <w14:textFill>
                  <w14:solidFill>
                    <w14:schemeClr w14:val="tx1"/>
                  </w14:solidFill>
                </w14:textFill>
              </w:rPr>
            </w:pPr>
          </w:p>
          <w:p w14:paraId="2AEC1834">
            <w:pPr>
              <w:pStyle w:val="99"/>
              <w:ind w:firstLine="504"/>
              <w:rPr>
                <w:color w:val="000000" w:themeColor="text1"/>
                <w:spacing w:val="6"/>
                <w14:textFill>
                  <w14:solidFill>
                    <w14:schemeClr w14:val="tx1"/>
                  </w14:solidFill>
                </w14:textFill>
              </w:rPr>
            </w:pPr>
          </w:p>
          <w:p w14:paraId="6B0044A3">
            <w:pPr>
              <w:pStyle w:val="99"/>
              <w:ind w:firstLine="504"/>
              <w:rPr>
                <w:color w:val="000000" w:themeColor="text1"/>
                <w:spacing w:val="6"/>
                <w14:textFill>
                  <w14:solidFill>
                    <w14:schemeClr w14:val="tx1"/>
                  </w14:solidFill>
                </w14:textFill>
              </w:rPr>
            </w:pPr>
          </w:p>
          <w:p w14:paraId="766CA1B4">
            <w:pPr>
              <w:pStyle w:val="99"/>
              <w:ind w:firstLine="504"/>
              <w:rPr>
                <w:color w:val="000000" w:themeColor="text1"/>
                <w:spacing w:val="6"/>
                <w14:textFill>
                  <w14:solidFill>
                    <w14:schemeClr w14:val="tx1"/>
                  </w14:solidFill>
                </w14:textFill>
              </w:rPr>
            </w:pPr>
          </w:p>
          <w:p w14:paraId="322E74C4">
            <w:pPr>
              <w:pStyle w:val="99"/>
              <w:ind w:firstLine="504"/>
              <w:rPr>
                <w:color w:val="000000" w:themeColor="text1"/>
                <w:spacing w:val="6"/>
                <w14:textFill>
                  <w14:solidFill>
                    <w14:schemeClr w14:val="tx1"/>
                  </w14:solidFill>
                </w14:textFill>
              </w:rPr>
            </w:pPr>
          </w:p>
          <w:p w14:paraId="7AD5EDBA">
            <w:pPr>
              <w:pStyle w:val="99"/>
              <w:ind w:firstLine="504"/>
              <w:rPr>
                <w:color w:val="000000" w:themeColor="text1"/>
                <w:spacing w:val="6"/>
                <w14:textFill>
                  <w14:solidFill>
                    <w14:schemeClr w14:val="tx1"/>
                  </w14:solidFill>
                </w14:textFill>
              </w:rPr>
            </w:pPr>
          </w:p>
          <w:p w14:paraId="3E1F0056">
            <w:pPr>
              <w:pStyle w:val="99"/>
              <w:ind w:firstLine="504"/>
              <w:rPr>
                <w:color w:val="000000" w:themeColor="text1"/>
                <w:spacing w:val="6"/>
                <w14:textFill>
                  <w14:solidFill>
                    <w14:schemeClr w14:val="tx1"/>
                  </w14:solidFill>
                </w14:textFill>
              </w:rPr>
            </w:pPr>
          </w:p>
          <w:p w14:paraId="6E44A682">
            <w:pPr>
              <w:pStyle w:val="99"/>
              <w:ind w:firstLine="504"/>
              <w:rPr>
                <w:color w:val="000000" w:themeColor="text1"/>
                <w:spacing w:val="6"/>
                <w14:textFill>
                  <w14:solidFill>
                    <w14:schemeClr w14:val="tx1"/>
                  </w14:solidFill>
                </w14:textFill>
              </w:rPr>
            </w:pPr>
          </w:p>
          <w:p w14:paraId="5FB54B5A">
            <w:pPr>
              <w:pStyle w:val="99"/>
              <w:ind w:firstLine="504"/>
              <w:rPr>
                <w:color w:val="000000" w:themeColor="text1"/>
                <w:spacing w:val="6"/>
                <w14:textFill>
                  <w14:solidFill>
                    <w14:schemeClr w14:val="tx1"/>
                  </w14:solidFill>
                </w14:textFill>
              </w:rPr>
            </w:pPr>
          </w:p>
          <w:p w14:paraId="50724BD4">
            <w:pPr>
              <w:pStyle w:val="99"/>
              <w:ind w:firstLine="504"/>
              <w:rPr>
                <w:color w:val="000000" w:themeColor="text1"/>
                <w:spacing w:val="6"/>
                <w14:textFill>
                  <w14:solidFill>
                    <w14:schemeClr w14:val="tx1"/>
                  </w14:solidFill>
                </w14:textFill>
              </w:rPr>
            </w:pPr>
          </w:p>
          <w:p w14:paraId="19159631">
            <w:pPr>
              <w:pStyle w:val="99"/>
              <w:ind w:firstLine="504"/>
              <w:rPr>
                <w:color w:val="000000" w:themeColor="text1"/>
                <w:spacing w:val="6"/>
                <w14:textFill>
                  <w14:solidFill>
                    <w14:schemeClr w14:val="tx1"/>
                  </w14:solidFill>
                </w14:textFill>
              </w:rPr>
            </w:pPr>
          </w:p>
          <w:p w14:paraId="78308943">
            <w:pPr>
              <w:pStyle w:val="99"/>
              <w:ind w:firstLine="504"/>
              <w:rPr>
                <w:color w:val="000000" w:themeColor="text1"/>
                <w:spacing w:val="6"/>
                <w14:textFill>
                  <w14:solidFill>
                    <w14:schemeClr w14:val="tx1"/>
                  </w14:solidFill>
                </w14:textFill>
              </w:rPr>
            </w:pPr>
          </w:p>
          <w:p w14:paraId="4687ECE6">
            <w:pPr>
              <w:pStyle w:val="99"/>
              <w:ind w:firstLine="504"/>
              <w:rPr>
                <w:color w:val="000000" w:themeColor="text1"/>
                <w:spacing w:val="6"/>
                <w14:textFill>
                  <w14:solidFill>
                    <w14:schemeClr w14:val="tx1"/>
                  </w14:solidFill>
                </w14:textFill>
              </w:rPr>
            </w:pPr>
          </w:p>
          <w:p w14:paraId="2C68432C">
            <w:pPr>
              <w:pStyle w:val="99"/>
              <w:ind w:left="0" w:leftChars="0" w:firstLine="0" w:firstLineChars="0"/>
              <w:rPr>
                <w:color w:val="000000" w:themeColor="text1"/>
                <w:spacing w:val="6"/>
                <w14:textFill>
                  <w14:solidFill>
                    <w14:schemeClr w14:val="tx1"/>
                  </w14:solidFill>
                </w14:textFill>
              </w:rPr>
            </w:pPr>
          </w:p>
          <w:p w14:paraId="44544CEF">
            <w:pPr>
              <w:pStyle w:val="99"/>
              <w:ind w:firstLine="504"/>
              <w:rPr>
                <w:color w:val="000000" w:themeColor="text1"/>
                <w:spacing w:val="6"/>
                <w14:textFill>
                  <w14:solidFill>
                    <w14:schemeClr w14:val="tx1"/>
                  </w14:solidFill>
                </w14:textFill>
              </w:rPr>
            </w:pPr>
          </w:p>
        </w:tc>
      </w:tr>
    </w:tbl>
    <w:p w14:paraId="4945117C">
      <w:pPr>
        <w:spacing w:line="360" w:lineRule="auto"/>
        <w:outlineLvl w:val="0"/>
        <w:rPr>
          <w:color w:val="000000" w:themeColor="text1"/>
          <w:sz w:val="30"/>
          <w14:textFill>
            <w14:solidFill>
              <w14:schemeClr w14:val="tx1"/>
            </w14:solidFill>
          </w14:textFill>
        </w:rPr>
        <w:sectPr>
          <w:footerReference r:id="rId5" w:type="default"/>
          <w:pgSz w:w="11906" w:h="16838"/>
          <w:pgMar w:top="1134" w:right="1134" w:bottom="1134" w:left="1134" w:header="851" w:footer="851" w:gutter="0"/>
          <w:pgNumType w:start="1"/>
          <w:cols w:space="720" w:num="1"/>
          <w:docGrid w:linePitch="312" w:charSpace="0"/>
        </w:sectPr>
      </w:pPr>
    </w:p>
    <w:p w14:paraId="79BC9AAF">
      <w:pPr>
        <w:pStyle w:val="40"/>
        <w:spacing w:before="0" w:beforeAutospacing="0" w:after="0" w:afterAutospacing="0"/>
        <w:outlineLvl w:val="0"/>
        <w:rPr>
          <w:rFonts w:ascii="Times New Roman" w:hAnsi="Times New Roman"/>
          <w:b/>
          <w:bCs/>
          <w:snapToGrid w:val="0"/>
          <w:color w:val="000000" w:themeColor="text1"/>
          <w:sz w:val="30"/>
          <w:szCs w:val="30"/>
          <w14:textFill>
            <w14:solidFill>
              <w14:schemeClr w14:val="tx1"/>
            </w14:solidFill>
          </w14:textFill>
        </w:rPr>
      </w:pPr>
      <w:bookmarkStart w:id="14" w:name="_Toc16992"/>
      <w:bookmarkStart w:id="15" w:name="_Toc71641910"/>
      <w:r>
        <w:rPr>
          <w:rFonts w:ascii="Times New Roman" w:hAnsi="Times New Roman"/>
          <w:b/>
          <w:bCs/>
          <w:snapToGrid w:val="0"/>
          <w:color w:val="000000" w:themeColor="text1"/>
          <w:sz w:val="30"/>
          <w:szCs w:val="30"/>
          <w14:textFill>
            <w14:solidFill>
              <w14:schemeClr w14:val="tx1"/>
            </w14:solidFill>
          </w14:textFill>
        </w:rPr>
        <w:t>二、建设项目工程分析</w:t>
      </w:r>
      <w:bookmarkEnd w:id="14"/>
      <w:bookmarkEnd w:id="15"/>
    </w:p>
    <w:tbl>
      <w:tblPr>
        <w:tblStyle w:val="45"/>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57"/>
        <w:gridCol w:w="9283"/>
      </w:tblGrid>
      <w:tr w14:paraId="67B274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7" w:type="dxa"/>
            <w:vAlign w:val="center"/>
          </w:tcPr>
          <w:p w14:paraId="53872734">
            <w:pPr>
              <w:pStyle w:val="40"/>
              <w:adjustRightInd w:val="0"/>
              <w:snapToGrid w:val="0"/>
              <w:spacing w:before="0" w:beforeAutospacing="0" w:after="0" w:afterAutospacing="0"/>
              <w:jc w:val="center"/>
              <w:rPr>
                <w:rFonts w:ascii="Times New Roman" w:hAnsi="Times New Roman"/>
                <w:b/>
                <w:bCs/>
                <w:color w:val="000000" w:themeColor="text1"/>
                <w:szCs w:val="24"/>
                <w14:textFill>
                  <w14:solidFill>
                    <w14:schemeClr w14:val="tx1"/>
                  </w14:solidFill>
                </w14:textFill>
              </w:rPr>
            </w:pPr>
            <w:r>
              <w:rPr>
                <w:rFonts w:ascii="Times New Roman" w:hAnsi="Times New Roman"/>
                <w:b/>
                <w:bCs/>
                <w:color w:val="000000" w:themeColor="text1"/>
                <w:szCs w:val="24"/>
                <w14:textFill>
                  <w14:solidFill>
                    <w14:schemeClr w14:val="tx1"/>
                  </w14:solidFill>
                </w14:textFill>
              </w:rPr>
              <w:t>建设内容</w:t>
            </w:r>
          </w:p>
        </w:tc>
        <w:tc>
          <w:tcPr>
            <w:tcW w:w="9283" w:type="dxa"/>
            <w:vAlign w:val="center"/>
          </w:tcPr>
          <w:p w14:paraId="02F7EB02">
            <w:pPr>
              <w:spacing w:line="360" w:lineRule="auto"/>
              <w:ind w:firstLine="482" w:firstLineChars="200"/>
              <w:jc w:val="left"/>
              <w:rPr>
                <w:b/>
                <w:color w:val="000000" w:themeColor="text1"/>
                <w:sz w:val="24"/>
                <w14:textFill>
                  <w14:solidFill>
                    <w14:schemeClr w14:val="tx1"/>
                  </w14:solidFill>
                </w14:textFill>
              </w:rPr>
            </w:pPr>
            <w:r>
              <w:rPr>
                <w:b/>
                <w:color w:val="000000" w:themeColor="text1"/>
                <w:sz w:val="24"/>
                <w14:textFill>
                  <w14:solidFill>
                    <w14:schemeClr w14:val="tx1"/>
                  </w14:solidFill>
                </w14:textFill>
              </w:rPr>
              <w:t>一、项目基本情况</w:t>
            </w:r>
          </w:p>
          <w:p w14:paraId="7BFF5B87">
            <w:pPr>
              <w:pStyle w:val="107"/>
              <w:ind w:firstLine="480"/>
              <w:rPr>
                <w:color w:val="000000" w:themeColor="text1"/>
                <w14:textFill>
                  <w14:solidFill>
                    <w14:schemeClr w14:val="tx1"/>
                  </w14:solidFill>
                </w14:textFill>
              </w:rPr>
            </w:pPr>
            <w:r>
              <w:rPr>
                <w:color w:val="000000" w:themeColor="text1"/>
                <w14:textFill>
                  <w14:solidFill>
                    <w14:schemeClr w14:val="tx1"/>
                  </w14:solidFill>
                </w14:textFill>
              </w:rPr>
              <w:t>项目名称：</w:t>
            </w:r>
            <w:r>
              <w:rPr>
                <w:rFonts w:hint="eastAsia"/>
                <w:color w:val="000000" w:themeColor="text1"/>
                <w14:textFill>
                  <w14:solidFill>
                    <w14:schemeClr w14:val="tx1"/>
                  </w14:solidFill>
                </w14:textFill>
              </w:rPr>
              <w:t>江西承诚实业有限公司年产100万吨水稳拌合料二期项目</w:t>
            </w:r>
            <w:r>
              <w:rPr>
                <w:color w:val="000000" w:themeColor="text1"/>
                <w14:textFill>
                  <w14:solidFill>
                    <w14:schemeClr w14:val="tx1"/>
                  </w14:solidFill>
                </w14:textFill>
              </w:rPr>
              <w:t>；</w:t>
            </w:r>
          </w:p>
          <w:p w14:paraId="0E6745E8">
            <w:pPr>
              <w:pStyle w:val="107"/>
              <w:ind w:firstLine="480"/>
              <w:rPr>
                <w:color w:val="000000" w:themeColor="text1"/>
                <w14:textFill>
                  <w14:solidFill>
                    <w14:schemeClr w14:val="tx1"/>
                  </w14:solidFill>
                </w14:textFill>
              </w:rPr>
            </w:pPr>
            <w:r>
              <w:rPr>
                <w:color w:val="000000" w:themeColor="text1"/>
                <w14:textFill>
                  <w14:solidFill>
                    <w14:schemeClr w14:val="tx1"/>
                  </w14:solidFill>
                </w14:textFill>
              </w:rPr>
              <w:t>建设单位：</w:t>
            </w:r>
            <w:r>
              <w:rPr>
                <w:rFonts w:hint="eastAsia"/>
                <w:color w:val="000000" w:themeColor="text1"/>
                <w14:textFill>
                  <w14:solidFill>
                    <w14:schemeClr w14:val="tx1"/>
                  </w14:solidFill>
                </w14:textFill>
              </w:rPr>
              <w:t>江西承诚实业有限公司</w:t>
            </w:r>
            <w:r>
              <w:rPr>
                <w:color w:val="000000" w:themeColor="text1"/>
                <w14:textFill>
                  <w14:solidFill>
                    <w14:schemeClr w14:val="tx1"/>
                  </w14:solidFill>
                </w14:textFill>
              </w:rPr>
              <w:t>；</w:t>
            </w:r>
          </w:p>
          <w:p w14:paraId="2AF18310">
            <w:pPr>
              <w:pStyle w:val="107"/>
              <w:ind w:firstLine="480"/>
              <w:rPr>
                <w:color w:val="000000" w:themeColor="text1"/>
                <w14:textFill>
                  <w14:solidFill>
                    <w14:schemeClr w14:val="tx1"/>
                  </w14:solidFill>
                </w14:textFill>
              </w:rPr>
            </w:pPr>
            <w:r>
              <w:rPr>
                <w:color w:val="000000" w:themeColor="text1"/>
                <w14:textFill>
                  <w14:solidFill>
                    <w14:schemeClr w14:val="tx1"/>
                  </w14:solidFill>
                </w14:textFill>
              </w:rPr>
              <w:t>建设性质 ：</w:t>
            </w:r>
            <w:r>
              <w:rPr>
                <w:rFonts w:hint="eastAsia"/>
                <w:color w:val="000000" w:themeColor="text1"/>
                <w14:textFill>
                  <w14:solidFill>
                    <w14:schemeClr w14:val="tx1"/>
                  </w14:solidFill>
                </w14:textFill>
              </w:rPr>
              <w:t>扩建</w:t>
            </w:r>
            <w:r>
              <w:rPr>
                <w:color w:val="000000" w:themeColor="text1"/>
                <w14:textFill>
                  <w14:solidFill>
                    <w14:schemeClr w14:val="tx1"/>
                  </w14:solidFill>
                </w14:textFill>
              </w:rPr>
              <w:t>；</w:t>
            </w:r>
          </w:p>
          <w:p w14:paraId="0E3DD5FB">
            <w:pPr>
              <w:pStyle w:val="107"/>
              <w:ind w:firstLine="480"/>
              <w:rPr>
                <w:color w:val="000000" w:themeColor="text1"/>
                <w14:textFill>
                  <w14:solidFill>
                    <w14:schemeClr w14:val="tx1"/>
                  </w14:solidFill>
                </w14:textFill>
              </w:rPr>
            </w:pPr>
            <w:r>
              <w:rPr>
                <w:color w:val="000000" w:themeColor="text1"/>
                <w14:textFill>
                  <w14:solidFill>
                    <w14:schemeClr w14:val="tx1"/>
                  </w14:solidFill>
                </w14:textFill>
              </w:rPr>
              <w:t>建设地点：</w:t>
            </w:r>
            <w:bookmarkStart w:id="16" w:name="_Toc240116999"/>
            <w:bookmarkStart w:id="17" w:name="_Toc227638286"/>
            <w:bookmarkStart w:id="18" w:name="_Toc185849013"/>
            <w:bookmarkStart w:id="19" w:name="_Toc225049973"/>
            <w:bookmarkStart w:id="20" w:name="_Toc235680610"/>
            <w:bookmarkStart w:id="21" w:name="_Toc236998001"/>
            <w:bookmarkStart w:id="22" w:name="_Toc235680015"/>
            <w:bookmarkStart w:id="23" w:name="_Toc185843204"/>
            <w:bookmarkStart w:id="24" w:name="_Toc259197340"/>
            <w:bookmarkStart w:id="25" w:name="_Toc228761291"/>
            <w:bookmarkStart w:id="26" w:name="_Toc242927706"/>
            <w:bookmarkStart w:id="27" w:name="_Toc235680328"/>
            <w:bookmarkStart w:id="28" w:name="_Toc235679754"/>
            <w:bookmarkStart w:id="29" w:name="_Toc236714109"/>
            <w:bookmarkStart w:id="30" w:name="_Toc231651731"/>
            <w:bookmarkStart w:id="31" w:name="_Toc186256635"/>
            <w:bookmarkStart w:id="32" w:name="_Toc185149848"/>
            <w:r>
              <w:rPr>
                <w:rFonts w:hint="eastAsia"/>
                <w:color w:val="000000" w:themeColor="text1"/>
                <w14:textFill>
                  <w14:solidFill>
                    <w14:schemeClr w14:val="tx1"/>
                  </w14:solidFill>
                </w14:textFill>
              </w:rPr>
              <w:t>江西省景德镇市乐平市金山工业园金一路CH-1地块</w:t>
            </w:r>
            <w:r>
              <w:rPr>
                <w:color w:val="000000" w:themeColor="text1"/>
                <w14:textFill>
                  <w14:solidFill>
                    <w14:schemeClr w14:val="tx1"/>
                  </w14:solidFill>
                </w14:textFill>
              </w:rPr>
              <w:t>；</w:t>
            </w:r>
          </w:p>
          <w:p w14:paraId="7546B780">
            <w:pPr>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总投资</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r>
              <w:rPr>
                <w:color w:val="000000" w:themeColor="text1"/>
                <w:sz w:val="24"/>
                <w14:textFill>
                  <w14:solidFill>
                    <w14:schemeClr w14:val="tx1"/>
                  </w14:solidFill>
                </w14:textFill>
              </w:rPr>
              <w:t>：项目总投资</w:t>
            </w: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000万元人民币，其中环保投资</w:t>
            </w:r>
            <w:r>
              <w:rPr>
                <w:rFonts w:hint="eastAsia"/>
                <w:color w:val="000000" w:themeColor="text1"/>
                <w:sz w:val="24"/>
                <w14:textFill>
                  <w14:solidFill>
                    <w14:schemeClr w14:val="tx1"/>
                  </w14:solidFill>
                </w14:textFill>
              </w:rPr>
              <w:t>30</w:t>
            </w:r>
            <w:r>
              <w:rPr>
                <w:color w:val="000000" w:themeColor="text1"/>
                <w:sz w:val="24"/>
                <w14:textFill>
                  <w14:solidFill>
                    <w14:schemeClr w14:val="tx1"/>
                  </w14:solidFill>
                </w14:textFill>
              </w:rPr>
              <w:t>万元，占总投资</w:t>
            </w:r>
            <w:r>
              <w:rPr>
                <w:rFonts w:hint="eastAsia"/>
                <w:color w:val="000000" w:themeColor="text1"/>
                <w:sz w:val="24"/>
                <w14:textFill>
                  <w14:solidFill>
                    <w14:schemeClr w14:val="tx1"/>
                  </w14:solidFill>
                </w14:textFill>
              </w:rPr>
              <w:t>3</w:t>
            </w:r>
            <w:r>
              <w:rPr>
                <w:color w:val="000000" w:themeColor="text1"/>
                <w:sz w:val="24"/>
                <w14:textFill>
                  <w14:solidFill>
                    <w14:schemeClr w14:val="tx1"/>
                  </w14:solidFill>
                </w14:textFill>
              </w:rPr>
              <w:t>%。</w:t>
            </w:r>
          </w:p>
          <w:p w14:paraId="34FAA7FB">
            <w:pPr>
              <w:adjustRightInd w:val="0"/>
              <w:spacing w:line="360" w:lineRule="auto"/>
              <w:ind w:firstLine="482" w:firstLineChars="200"/>
              <w:jc w:val="left"/>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二、</w:t>
            </w:r>
            <w:r>
              <w:rPr>
                <w:b/>
                <w:bCs/>
                <w:color w:val="000000" w:themeColor="text1"/>
                <w:sz w:val="24"/>
                <w14:textFill>
                  <w14:solidFill>
                    <w14:schemeClr w14:val="tx1"/>
                  </w14:solidFill>
                </w14:textFill>
              </w:rPr>
              <w:t>项目情况说明：</w:t>
            </w:r>
          </w:p>
          <w:p w14:paraId="0F0B130A">
            <w:pPr>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1、江西承诚实业有限公司位于江西省景德镇市乐平市金山工业园金一路CH-1地块</w:t>
            </w:r>
            <w:r>
              <w:rPr>
                <w:color w:val="000000" w:themeColor="text1"/>
                <w:sz w:val="24"/>
                <w14:textFill>
                  <w14:solidFill>
                    <w14:schemeClr w14:val="tx1"/>
                  </w14:solidFill>
                </w14:textFill>
              </w:rPr>
              <w:t>内</w:t>
            </w:r>
            <w:r>
              <w:rPr>
                <w:rFonts w:hint="eastAsia"/>
                <w:color w:val="000000" w:themeColor="text1"/>
                <w:sz w:val="24"/>
                <w14:textFill>
                  <w14:solidFill>
                    <w14:schemeClr w14:val="tx1"/>
                  </w14:solidFill>
                </w14:textFill>
              </w:rPr>
              <w:t>，总占地面积100.5亩（即67006.8m</w:t>
            </w:r>
            <w:r>
              <w:rPr>
                <w:rFonts w:hint="eastAsia"/>
                <w:color w:val="000000" w:themeColor="text1"/>
                <w:sz w:val="24"/>
                <w:vertAlign w:val="superscript"/>
                <w14:textFill>
                  <w14:solidFill>
                    <w14:schemeClr w14:val="tx1"/>
                  </w14:solidFill>
                </w14:textFill>
              </w:rPr>
              <w:t>2</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20</w:t>
            </w:r>
            <w:r>
              <w:rPr>
                <w:rFonts w:hint="eastAsia"/>
                <w:color w:val="000000" w:themeColor="text1"/>
                <w:sz w:val="24"/>
                <w14:textFill>
                  <w14:solidFill>
                    <w14:schemeClr w14:val="tx1"/>
                  </w14:solidFill>
                </w14:textFill>
              </w:rPr>
              <w:t>20</w:t>
            </w:r>
            <w:r>
              <w:rPr>
                <w:color w:val="000000" w:themeColor="text1"/>
                <w:sz w:val="24"/>
                <w14:textFill>
                  <w14:solidFill>
                    <w14:schemeClr w14:val="tx1"/>
                  </w14:solidFill>
                </w14:textFill>
              </w:rPr>
              <w:t>年</w:t>
            </w:r>
            <w:r>
              <w:rPr>
                <w:rFonts w:hint="eastAsia"/>
                <w:color w:val="000000" w:themeColor="text1"/>
                <w:sz w:val="24"/>
                <w14:textFill>
                  <w14:solidFill>
                    <w14:schemeClr w14:val="tx1"/>
                  </w14:solidFill>
                </w14:textFill>
              </w:rPr>
              <w:t>3</w:t>
            </w:r>
            <w:r>
              <w:rPr>
                <w:color w:val="000000" w:themeColor="text1"/>
                <w:sz w:val="24"/>
                <w14:textFill>
                  <w14:solidFill>
                    <w14:schemeClr w14:val="tx1"/>
                  </w14:solidFill>
                </w14:textFill>
              </w:rPr>
              <w:t>月，</w:t>
            </w:r>
            <w:r>
              <w:rPr>
                <w:rFonts w:hint="eastAsia"/>
                <w:color w:val="000000" w:themeColor="text1"/>
                <w:sz w:val="24"/>
                <w14:textFill>
                  <w14:solidFill>
                    <w14:schemeClr w14:val="tx1"/>
                  </w14:solidFill>
                </w14:textFill>
              </w:rPr>
              <w:t>江西承诚实业有限公司</w:t>
            </w:r>
            <w:r>
              <w:rPr>
                <w:color w:val="000000" w:themeColor="text1"/>
                <w:sz w:val="24"/>
                <w14:textFill>
                  <w14:solidFill>
                    <w14:schemeClr w14:val="tx1"/>
                  </w14:solidFill>
                </w14:textFill>
              </w:rPr>
              <w:t>委托</w:t>
            </w:r>
            <w:r>
              <w:rPr>
                <w:rFonts w:hint="eastAsia"/>
                <w:color w:val="000000" w:themeColor="text1"/>
                <w:sz w:val="24"/>
                <w14:textFill>
                  <w14:solidFill>
                    <w14:schemeClr w14:val="tx1"/>
                  </w14:solidFill>
                </w14:textFill>
              </w:rPr>
              <w:t>江西悦成环保技术服务有限公司</w:t>
            </w:r>
            <w:r>
              <w:rPr>
                <w:color w:val="000000" w:themeColor="text1"/>
                <w:sz w:val="24"/>
                <w14:textFill>
                  <w14:solidFill>
                    <w14:schemeClr w14:val="tx1"/>
                  </w14:solidFill>
                </w14:textFill>
              </w:rPr>
              <w:t>编制完成《</w:t>
            </w:r>
            <w:r>
              <w:rPr>
                <w:rFonts w:hint="eastAsia"/>
                <w:color w:val="000000" w:themeColor="text1"/>
                <w:sz w:val="24"/>
                <w14:textFill>
                  <w14:solidFill>
                    <w14:schemeClr w14:val="tx1"/>
                  </w14:solidFill>
                </w14:textFill>
              </w:rPr>
              <w:t>江西承诚实业有限公司300万件混凝土预制件、90万立方商品混凝土、170万立方柏油沥青、200万吨水泥稳定碎石（首期）项目</w:t>
            </w:r>
            <w:r>
              <w:rPr>
                <w:color w:val="000000" w:themeColor="text1"/>
                <w:sz w:val="24"/>
                <w14:textFill>
                  <w14:solidFill>
                    <w14:schemeClr w14:val="tx1"/>
                  </w14:solidFill>
                </w14:textFill>
              </w:rPr>
              <w:t>环境影响报告表》</w:t>
            </w:r>
            <w:r>
              <w:rPr>
                <w:rFonts w:hint="eastAsia"/>
                <w:color w:val="000000" w:themeColor="text1"/>
                <w:sz w:val="24"/>
                <w14:textFill>
                  <w14:solidFill>
                    <w14:schemeClr w14:val="tx1"/>
                  </w14:solidFill>
                </w14:textFill>
              </w:rPr>
              <w:t>，该报告表仅针对建设单位首期（即一期工程）项目进行评价，一期工程生产内容为“年产300万件混凝土预制件、90万立方商品混凝土”。</w:t>
            </w:r>
            <w:r>
              <w:rPr>
                <w:color w:val="000000" w:themeColor="text1"/>
                <w:sz w:val="24"/>
                <w14:textFill>
                  <w14:solidFill>
                    <w14:schemeClr w14:val="tx1"/>
                  </w14:solidFill>
                </w14:textFill>
              </w:rPr>
              <w:t>20</w:t>
            </w:r>
            <w:r>
              <w:rPr>
                <w:rFonts w:hint="eastAsia"/>
                <w:color w:val="000000" w:themeColor="text1"/>
                <w:sz w:val="24"/>
                <w14:textFill>
                  <w14:solidFill>
                    <w14:schemeClr w14:val="tx1"/>
                  </w14:solidFill>
                </w14:textFill>
              </w:rPr>
              <w:t>20</w:t>
            </w:r>
            <w:r>
              <w:rPr>
                <w:color w:val="000000" w:themeColor="text1"/>
                <w:sz w:val="24"/>
                <w14:textFill>
                  <w14:solidFill>
                    <w14:schemeClr w14:val="tx1"/>
                  </w14:solidFill>
                </w14:textFill>
              </w:rPr>
              <w:t>年</w:t>
            </w:r>
            <w:r>
              <w:rPr>
                <w:rFonts w:hint="eastAsia"/>
                <w:color w:val="000000" w:themeColor="text1"/>
                <w:sz w:val="24"/>
                <w14:textFill>
                  <w14:solidFill>
                    <w14:schemeClr w14:val="tx1"/>
                  </w14:solidFill>
                </w14:textFill>
              </w:rPr>
              <w:t>3</w:t>
            </w:r>
            <w:r>
              <w:rPr>
                <w:color w:val="000000" w:themeColor="text1"/>
                <w:sz w:val="24"/>
                <w14:textFill>
                  <w14:solidFill>
                    <w14:schemeClr w14:val="tx1"/>
                  </w14:solidFill>
                </w14:textFill>
              </w:rPr>
              <w:t>月</w:t>
            </w:r>
            <w:r>
              <w:rPr>
                <w:rFonts w:hint="eastAsia"/>
                <w:color w:val="000000" w:themeColor="text1"/>
                <w:sz w:val="24"/>
                <w14:textFill>
                  <w14:solidFill>
                    <w14:schemeClr w14:val="tx1"/>
                  </w14:solidFill>
                </w14:textFill>
              </w:rPr>
              <w:t>23</w:t>
            </w:r>
            <w:r>
              <w:rPr>
                <w:color w:val="000000" w:themeColor="text1"/>
                <w:sz w:val="24"/>
                <w14:textFill>
                  <w14:solidFill>
                    <w14:schemeClr w14:val="tx1"/>
                  </w14:solidFill>
                </w14:textFill>
              </w:rPr>
              <w:t>日，</w:t>
            </w:r>
            <w:r>
              <w:rPr>
                <w:rFonts w:hint="eastAsia"/>
                <w:color w:val="000000" w:themeColor="text1"/>
                <w:sz w:val="24"/>
                <w14:textFill>
                  <w14:solidFill>
                    <w14:schemeClr w14:val="tx1"/>
                  </w14:solidFill>
                </w14:textFill>
              </w:rPr>
              <w:t>一期</w:t>
            </w:r>
            <w:r>
              <w:rPr>
                <w:color w:val="000000" w:themeColor="text1"/>
                <w:sz w:val="24"/>
                <w14:textFill>
                  <w14:solidFill>
                    <w14:schemeClr w14:val="tx1"/>
                  </w14:solidFill>
                </w14:textFill>
              </w:rPr>
              <w:t>项目取得</w:t>
            </w:r>
            <w:r>
              <w:rPr>
                <w:rFonts w:hint="eastAsia"/>
                <w:color w:val="000000" w:themeColor="text1"/>
                <w:sz w:val="24"/>
                <w14:textFill>
                  <w14:solidFill>
                    <w14:schemeClr w14:val="tx1"/>
                  </w14:solidFill>
                </w14:textFill>
              </w:rPr>
              <w:t>景德镇市乐平生态环境局的</w:t>
            </w:r>
            <w:r>
              <w:rPr>
                <w:color w:val="000000" w:themeColor="text1"/>
                <w:sz w:val="24"/>
                <w14:textFill>
                  <w14:solidFill>
                    <w14:schemeClr w14:val="tx1"/>
                  </w14:solidFill>
                </w14:textFill>
              </w:rPr>
              <w:t>批复（</w:t>
            </w:r>
            <w:r>
              <w:rPr>
                <w:rFonts w:hint="eastAsia"/>
                <w:color w:val="000000" w:themeColor="text1"/>
                <w:sz w:val="24"/>
                <w14:textFill>
                  <w14:solidFill>
                    <w14:schemeClr w14:val="tx1"/>
                  </w14:solidFill>
                </w14:textFill>
              </w:rPr>
              <w:t>乐环审【2020】26号</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，2022年4月企业组织完成了一期项目竣工验收，并取得了验收意见，</w:t>
            </w:r>
            <w:r>
              <w:rPr>
                <w:color w:val="000000" w:themeColor="text1"/>
                <w:sz w:val="24"/>
                <w14:textFill>
                  <w14:solidFill>
                    <w14:schemeClr w14:val="tx1"/>
                  </w14:solidFill>
                </w14:textFill>
              </w:rPr>
              <w:t>验收范围为</w:t>
            </w:r>
            <w:r>
              <w:rPr>
                <w:rFonts w:hint="eastAsia"/>
                <w:color w:val="000000" w:themeColor="text1"/>
                <w:sz w:val="24"/>
                <w14:textFill>
                  <w14:solidFill>
                    <w14:schemeClr w14:val="tx1"/>
                  </w14:solidFill>
                </w14:textFill>
              </w:rPr>
              <w:t>年产90万立方商品混凝土（年产300万件混凝土预制件产能尚未建设）。</w:t>
            </w:r>
          </w:p>
          <w:p w14:paraId="36E62BB8">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随着公司的发展，建设单位拟投资1000万开展本次二期工程建设，本次二期工程建设内容为“年产100万吨水稳拌合料”，购置颚式破碎机、反击破碎机、传送带、装载机、水稳搅拌站等，在江西承诚实业有限公司东侧的预留用地内开展建设。</w:t>
            </w:r>
          </w:p>
          <w:p w14:paraId="3727F774">
            <w:pPr>
              <w:adjustRightIn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3、本次环评针对二期工程建设内容进行评价，</w:t>
            </w:r>
            <w:r>
              <w:rPr>
                <w:color w:val="000000" w:themeColor="text1"/>
                <w:sz w:val="24"/>
                <w14:textFill>
                  <w14:solidFill>
                    <w14:schemeClr w14:val="tx1"/>
                  </w14:solidFill>
                </w14:textFill>
              </w:rPr>
              <w:t>对照《建设项目环境影响评价分类管理名录》（2021年版），本项目属于“</w:t>
            </w:r>
            <w:r>
              <w:rPr>
                <w:rFonts w:hint="eastAsia"/>
                <w:color w:val="000000" w:themeColor="text1"/>
                <w:sz w:val="24"/>
                <w14:textFill>
                  <w14:solidFill>
                    <w14:schemeClr w14:val="tx1"/>
                  </w14:solidFill>
                </w14:textFill>
              </w:rPr>
              <w:t>二十七、非金属矿物制品业 30-55石膏、水泥制品及类似制品制造 302中“商品混凝土；砼结构构件制造；水泥制品制造”</w:t>
            </w:r>
            <w:r>
              <w:rPr>
                <w:color w:val="000000" w:themeColor="text1"/>
                <w:sz w:val="24"/>
                <w:lang w:val="zh-CN"/>
                <w14:textFill>
                  <w14:solidFill>
                    <w14:schemeClr w14:val="tx1"/>
                  </w14:solidFill>
                </w14:textFill>
              </w:rPr>
              <w:t>”</w:t>
            </w:r>
            <w:r>
              <w:rPr>
                <w:color w:val="000000" w:themeColor="text1"/>
                <w:sz w:val="24"/>
                <w14:textFill>
                  <w14:solidFill>
                    <w14:schemeClr w14:val="tx1"/>
                  </w14:solidFill>
                </w14:textFill>
              </w:rPr>
              <w:t>，应编制环境影响报告表。</w:t>
            </w:r>
          </w:p>
          <w:p w14:paraId="134CED2B">
            <w:pPr>
              <w:pStyle w:val="176"/>
              <w:rPr>
                <w:color w:val="000000" w:themeColor="text1"/>
                <w14:textFill>
                  <w14:solidFill>
                    <w14:schemeClr w14:val="tx1"/>
                  </w14:solidFill>
                </w14:textFill>
              </w:rPr>
            </w:pPr>
            <w:r>
              <w:rPr>
                <w:color w:val="000000" w:themeColor="text1"/>
                <w14:textFill>
                  <w14:solidFill>
                    <w14:schemeClr w14:val="tx1"/>
                  </w14:solidFill>
                </w14:textFill>
              </w:rPr>
              <w:t>二、项目建设内容</w:t>
            </w:r>
          </w:p>
          <w:p w14:paraId="09333DCD">
            <w:pPr>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建设单位</w:t>
            </w:r>
            <w:r>
              <w:rPr>
                <w:rFonts w:hint="eastAsia"/>
                <w:color w:val="000000" w:themeColor="text1"/>
                <w:sz w:val="24"/>
                <w14:textFill>
                  <w14:solidFill>
                    <w14:schemeClr w14:val="tx1"/>
                  </w14:solidFill>
                </w14:textFill>
              </w:rPr>
              <w:t>在现有厂区内东侧预留用地范围内</w:t>
            </w:r>
            <w:r>
              <w:rPr>
                <w:color w:val="000000" w:themeColor="text1"/>
                <w:sz w:val="24"/>
                <w14:textFill>
                  <w14:solidFill>
                    <w14:schemeClr w14:val="tx1"/>
                  </w14:solidFill>
                </w14:textFill>
              </w:rPr>
              <w:t>建设本项目，本项目</w:t>
            </w:r>
            <w:r>
              <w:rPr>
                <w:rFonts w:hint="eastAsia"/>
                <w:color w:val="000000" w:themeColor="text1"/>
                <w:sz w:val="24"/>
                <w14:textFill>
                  <w14:solidFill>
                    <w14:schemeClr w14:val="tx1"/>
                  </w14:solidFill>
                </w14:textFill>
              </w:rPr>
              <w:t>属于二期工程，占地面积为40.5亩（即27000m</w:t>
            </w:r>
            <w:r>
              <w:rPr>
                <w:rFonts w:hint="eastAsia"/>
                <w:color w:val="000000" w:themeColor="text1"/>
                <w:sz w:val="24"/>
                <w:vertAlign w:val="superscript"/>
                <w14:textFill>
                  <w14:solidFill>
                    <w14:schemeClr w14:val="tx1"/>
                  </w14:solidFill>
                </w14:textFill>
              </w:rPr>
              <w:t>2</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建筑面积约</w:t>
            </w:r>
            <w:r>
              <w:rPr>
                <w:rFonts w:hint="eastAsia"/>
                <w:color w:val="000000" w:themeColor="text1"/>
                <w:sz w:val="24"/>
                <w14:textFill>
                  <w14:solidFill>
                    <w14:schemeClr w14:val="tx1"/>
                  </w14:solidFill>
                </w14:textFill>
              </w:rPr>
              <w:t>40</w:t>
            </w:r>
            <w:r>
              <w:rPr>
                <w:color w:val="000000" w:themeColor="text1"/>
                <w:sz w:val="24"/>
                <w14:textFill>
                  <w14:solidFill>
                    <w14:schemeClr w14:val="tx1"/>
                  </w14:solidFill>
                </w14:textFill>
              </w:rPr>
              <w:t>00m</w:t>
            </w:r>
            <w:r>
              <w:rPr>
                <w:color w:val="000000" w:themeColor="text1"/>
                <w:sz w:val="24"/>
                <w:vertAlign w:val="superscript"/>
                <w14:textFill>
                  <w14:solidFill>
                    <w14:schemeClr w14:val="tx1"/>
                  </w14:solidFill>
                </w14:textFill>
              </w:rPr>
              <w:t>2</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新建1条年产100万吨水稳拌合料生产线及原料堆放区等，</w:t>
            </w:r>
            <w:r>
              <w:rPr>
                <w:rFonts w:hint="eastAsia"/>
                <w:color w:val="000000" w:themeColor="text1"/>
                <w:sz w:val="24"/>
                <w:lang w:val="en-US" w:eastAsia="zh-CN"/>
                <w14:textFill>
                  <w14:solidFill>
                    <w14:schemeClr w14:val="tx1"/>
                  </w14:solidFill>
                </w14:textFill>
              </w:rPr>
              <w:t>在厂区北侧新建1个洗车平台，并在厂区西侧新建1个隔油池和化粪池，</w:t>
            </w:r>
            <w:r>
              <w:rPr>
                <w:color w:val="000000" w:themeColor="text1"/>
                <w:sz w:val="24"/>
                <w14:textFill>
                  <w14:solidFill>
                    <w14:schemeClr w14:val="tx1"/>
                  </w14:solidFill>
                </w14:textFill>
              </w:rPr>
              <w:t>项目组成详见表</w:t>
            </w:r>
            <w:r>
              <w:rPr>
                <w:rFonts w:hint="eastAsia"/>
                <w:color w:val="000000" w:themeColor="text1"/>
                <w:sz w:val="24"/>
                <w14:textFill>
                  <w14:solidFill>
                    <w14:schemeClr w14:val="tx1"/>
                  </w14:solidFill>
                </w14:textFill>
              </w:rPr>
              <w:t>2-1。本项目利用现有厂区内东侧预留用地进行建设，主体工程、储运工程、环保工程等与现有项目无依托关系。</w:t>
            </w:r>
          </w:p>
          <w:p w14:paraId="0DD69746">
            <w:pPr>
              <w:jc w:val="center"/>
              <w:rPr>
                <w:b/>
                <w:bCs/>
                <w:color w:val="000000" w:themeColor="text1"/>
                <w:kern w:val="0"/>
                <w:sz w:val="24"/>
                <w14:textFill>
                  <w14:solidFill>
                    <w14:schemeClr w14:val="tx1"/>
                  </w14:solidFill>
                </w14:textFill>
              </w:rPr>
            </w:pPr>
            <w:r>
              <w:rPr>
                <w:b/>
                <w:bCs/>
                <w:color w:val="000000" w:themeColor="text1"/>
                <w:kern w:val="0"/>
                <w:sz w:val="24"/>
                <w14:textFill>
                  <w14:solidFill>
                    <w14:schemeClr w14:val="tx1"/>
                  </w14:solidFill>
                </w14:textFill>
              </w:rPr>
              <w:t>表2-</w:t>
            </w:r>
            <w:r>
              <w:rPr>
                <w:rFonts w:hint="eastAsia"/>
                <w:b/>
                <w:bCs/>
                <w:color w:val="000000" w:themeColor="text1"/>
                <w:kern w:val="0"/>
                <w:sz w:val="24"/>
                <w14:textFill>
                  <w14:solidFill>
                    <w14:schemeClr w14:val="tx1"/>
                  </w14:solidFill>
                </w14:textFill>
              </w:rPr>
              <w:t>1</w:t>
            </w:r>
            <w:r>
              <w:rPr>
                <w:b/>
                <w:bCs/>
                <w:color w:val="000000" w:themeColor="text1"/>
                <w:kern w:val="0"/>
                <w:sz w:val="24"/>
                <w14:textFill>
                  <w14:solidFill>
                    <w14:schemeClr w14:val="tx1"/>
                  </w14:solidFill>
                </w14:textFill>
              </w:rPr>
              <w:t xml:space="preserve">   </w:t>
            </w:r>
            <w:r>
              <w:rPr>
                <w:rFonts w:hint="eastAsia"/>
                <w:b/>
                <w:bCs/>
                <w:color w:val="000000" w:themeColor="text1"/>
                <w:kern w:val="0"/>
                <w:sz w:val="24"/>
                <w14:textFill>
                  <w14:solidFill>
                    <w14:schemeClr w14:val="tx1"/>
                  </w14:solidFill>
                </w14:textFill>
              </w:rPr>
              <w:t>本</w:t>
            </w:r>
            <w:r>
              <w:rPr>
                <w:b/>
                <w:bCs/>
                <w:color w:val="000000" w:themeColor="text1"/>
                <w:kern w:val="0"/>
                <w:sz w:val="24"/>
                <w14:textFill>
                  <w14:solidFill>
                    <w14:schemeClr w14:val="tx1"/>
                  </w14:solidFill>
                </w14:textFill>
              </w:rPr>
              <w:t>项目</w:t>
            </w:r>
            <w:r>
              <w:rPr>
                <w:rFonts w:hint="eastAsia"/>
                <w:b/>
                <w:bCs/>
                <w:color w:val="000000" w:themeColor="text1"/>
                <w:kern w:val="0"/>
                <w:sz w:val="24"/>
                <w14:textFill>
                  <w14:solidFill>
                    <w14:schemeClr w14:val="tx1"/>
                  </w14:solidFill>
                </w14:textFill>
              </w:rPr>
              <w:t>工程</w:t>
            </w:r>
            <w:r>
              <w:rPr>
                <w:b/>
                <w:bCs/>
                <w:color w:val="000000" w:themeColor="text1"/>
                <w:kern w:val="0"/>
                <w:sz w:val="24"/>
                <w14:textFill>
                  <w14:solidFill>
                    <w14:schemeClr w14:val="tx1"/>
                  </w14:solidFill>
                </w14:textFill>
              </w:rPr>
              <w:t>组成一览表</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824"/>
              <w:gridCol w:w="1175"/>
              <w:gridCol w:w="5997"/>
              <w:gridCol w:w="1041"/>
            </w:tblGrid>
            <w:tr w14:paraId="76F2681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Align w:val="center"/>
                </w:tcPr>
                <w:p w14:paraId="7C761BF0">
                  <w:pPr>
                    <w:pStyle w:val="478"/>
                    <w:numPr>
                      <w:ilvl w:val="0"/>
                      <w:numId w:val="0"/>
                    </w:numP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类别</w:t>
                  </w:r>
                </w:p>
              </w:tc>
              <w:tc>
                <w:tcPr>
                  <w:tcW w:w="650" w:type="pct"/>
                  <w:vAlign w:val="center"/>
                </w:tcPr>
                <w:p w14:paraId="5A1AB947">
                  <w:pPr>
                    <w:pStyle w:val="478"/>
                    <w:numPr>
                      <w:ilvl w:val="0"/>
                      <w:numId w:val="0"/>
                    </w:numP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名称</w:t>
                  </w:r>
                </w:p>
              </w:tc>
              <w:tc>
                <w:tcPr>
                  <w:tcW w:w="3318" w:type="pct"/>
                  <w:vAlign w:val="center"/>
                </w:tcPr>
                <w:p w14:paraId="4E42B2A2">
                  <w:pPr>
                    <w:pStyle w:val="478"/>
                    <w:numPr>
                      <w:ilvl w:val="0"/>
                      <w:numId w:val="0"/>
                    </w:numP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建设内容</w:t>
                  </w:r>
                </w:p>
              </w:tc>
              <w:tc>
                <w:tcPr>
                  <w:tcW w:w="576" w:type="pct"/>
                  <w:vAlign w:val="center"/>
                </w:tcPr>
                <w:p w14:paraId="6FCBC285">
                  <w:pPr>
                    <w:pStyle w:val="478"/>
                    <w:numPr>
                      <w:ilvl w:val="0"/>
                      <w:numId w:val="0"/>
                    </w:num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备注</w:t>
                  </w:r>
                </w:p>
              </w:tc>
            </w:tr>
            <w:tr w14:paraId="740EE69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Align w:val="center"/>
                </w:tcPr>
                <w:p w14:paraId="4C8F48D7">
                  <w:pPr>
                    <w:pStyle w:val="478"/>
                    <w:numPr>
                      <w:ilvl w:val="0"/>
                      <w:numId w:val="0"/>
                    </w:numPr>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主体</w:t>
                  </w:r>
                </w:p>
                <w:p w14:paraId="2FEA32E7">
                  <w:pPr>
                    <w:pStyle w:val="478"/>
                    <w:numPr>
                      <w:ilvl w:val="0"/>
                      <w:numId w:val="0"/>
                    </w:numPr>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工程</w:t>
                  </w:r>
                </w:p>
              </w:tc>
              <w:tc>
                <w:tcPr>
                  <w:tcW w:w="650" w:type="pct"/>
                  <w:vAlign w:val="center"/>
                </w:tcPr>
                <w:p w14:paraId="46AF96BE">
                  <w:pPr>
                    <w:pStyle w:val="478"/>
                    <w:numPr>
                      <w:ilvl w:val="0"/>
                      <w:numId w:val="0"/>
                    </w:numPr>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生产车间</w:t>
                  </w:r>
                </w:p>
              </w:tc>
              <w:tc>
                <w:tcPr>
                  <w:tcW w:w="3318" w:type="pct"/>
                  <w:vAlign w:val="center"/>
                </w:tcPr>
                <w:p w14:paraId="5936D428">
                  <w:pPr>
                    <w:pStyle w:val="478"/>
                    <w:numPr>
                      <w:ilvl w:val="0"/>
                      <w:numId w:val="0"/>
                    </w:numPr>
                    <w:jc w:val="left"/>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1F</w:t>
                  </w:r>
                  <w:r>
                    <w:rPr>
                      <w:b w:val="0"/>
                      <w:bCs/>
                      <w:color w:val="000000" w:themeColor="text1"/>
                      <w:sz w:val="18"/>
                      <w:szCs w:val="18"/>
                      <w14:textFill>
                        <w14:solidFill>
                          <w14:schemeClr w14:val="tx1"/>
                        </w14:solidFill>
                      </w14:textFill>
                    </w:rPr>
                    <w:t>，</w:t>
                  </w:r>
                  <w:r>
                    <w:rPr>
                      <w:rFonts w:hint="eastAsia"/>
                      <w:b w:val="0"/>
                      <w:bCs/>
                      <w:color w:val="000000" w:themeColor="text1"/>
                      <w:sz w:val="18"/>
                      <w:szCs w:val="18"/>
                      <w14:textFill>
                        <w14:solidFill>
                          <w14:schemeClr w14:val="tx1"/>
                        </w14:solidFill>
                      </w14:textFill>
                    </w:rPr>
                    <w:t>钢构厂房，高度约10m，</w:t>
                  </w:r>
                  <w:r>
                    <w:rPr>
                      <w:b w:val="0"/>
                      <w:bCs/>
                      <w:color w:val="000000" w:themeColor="text1"/>
                      <w:sz w:val="18"/>
                      <w:szCs w:val="18"/>
                      <w14:textFill>
                        <w14:solidFill>
                          <w14:schemeClr w14:val="tx1"/>
                        </w14:solidFill>
                      </w14:textFill>
                    </w:rPr>
                    <w:t>建筑面积约</w:t>
                  </w:r>
                  <w:r>
                    <w:rPr>
                      <w:rFonts w:hint="eastAsia"/>
                      <w:b w:val="0"/>
                      <w:bCs/>
                      <w:color w:val="000000" w:themeColor="text1"/>
                      <w:sz w:val="18"/>
                      <w:szCs w:val="18"/>
                      <w14:textFill>
                        <w14:solidFill>
                          <w14:schemeClr w14:val="tx1"/>
                        </w14:solidFill>
                      </w14:textFill>
                    </w:rPr>
                    <w:t>4000</w:t>
                  </w:r>
                  <w:r>
                    <w:rPr>
                      <w:b w:val="0"/>
                      <w:bCs/>
                      <w:color w:val="000000" w:themeColor="text1"/>
                      <w:sz w:val="18"/>
                      <w:szCs w:val="18"/>
                      <w14:textFill>
                        <w14:solidFill>
                          <w14:schemeClr w14:val="tx1"/>
                        </w14:solidFill>
                      </w14:textFill>
                    </w:rPr>
                    <w:t>m</w:t>
                  </w:r>
                  <w:r>
                    <w:rPr>
                      <w:b w:val="0"/>
                      <w:bCs/>
                      <w:color w:val="000000" w:themeColor="text1"/>
                      <w:sz w:val="18"/>
                      <w:szCs w:val="18"/>
                      <w:vertAlign w:val="superscript"/>
                      <w14:textFill>
                        <w14:solidFill>
                          <w14:schemeClr w14:val="tx1"/>
                        </w14:solidFill>
                      </w14:textFill>
                    </w:rPr>
                    <w:t>2</w:t>
                  </w:r>
                  <w:r>
                    <w:rPr>
                      <w:b w:val="0"/>
                      <w:bCs/>
                      <w:color w:val="000000" w:themeColor="text1"/>
                      <w:sz w:val="18"/>
                      <w:szCs w:val="18"/>
                      <w14:textFill>
                        <w14:solidFill>
                          <w14:schemeClr w14:val="tx1"/>
                        </w14:solidFill>
                      </w14:textFill>
                    </w:rPr>
                    <w:t>，</w:t>
                  </w:r>
                  <w:r>
                    <w:rPr>
                      <w:rFonts w:hint="eastAsia"/>
                      <w:b w:val="0"/>
                      <w:bCs/>
                      <w:color w:val="000000" w:themeColor="text1"/>
                      <w:sz w:val="18"/>
                      <w:szCs w:val="18"/>
                      <w14:textFill>
                        <w14:solidFill>
                          <w14:schemeClr w14:val="tx1"/>
                        </w14:solidFill>
                      </w14:textFill>
                    </w:rPr>
                    <w:t>布设</w:t>
                  </w:r>
                  <w:r>
                    <w:rPr>
                      <w:b w:val="0"/>
                      <w:bCs/>
                      <w:color w:val="000000" w:themeColor="text1"/>
                      <w:sz w:val="18"/>
                      <w:szCs w:val="18"/>
                      <w14:textFill>
                        <w14:solidFill>
                          <w14:schemeClr w14:val="tx1"/>
                        </w14:solidFill>
                      </w14:textFill>
                    </w:rPr>
                    <w:t>水稳拌合料生产线</w:t>
                  </w:r>
                  <w:r>
                    <w:rPr>
                      <w:rFonts w:hint="eastAsia"/>
                      <w:b w:val="0"/>
                      <w:bCs/>
                      <w:color w:val="000000" w:themeColor="text1"/>
                      <w:sz w:val="18"/>
                      <w:szCs w:val="18"/>
                      <w14:textFill>
                        <w14:solidFill>
                          <w14:schemeClr w14:val="tx1"/>
                        </w14:solidFill>
                      </w14:textFill>
                    </w:rPr>
                    <w:t>，主要有过水池、水稳拌合站、装载机、破碎筛分机等设备</w:t>
                  </w:r>
                </w:p>
              </w:tc>
              <w:tc>
                <w:tcPr>
                  <w:tcW w:w="576" w:type="pct"/>
                  <w:vAlign w:val="center"/>
                </w:tcPr>
                <w:p w14:paraId="2775FA45">
                  <w:pPr>
                    <w:pStyle w:val="478"/>
                    <w:numPr>
                      <w:ilvl w:val="0"/>
                      <w:numId w:val="0"/>
                    </w:numPr>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新建</w:t>
                  </w:r>
                </w:p>
              </w:tc>
            </w:tr>
            <w:tr w14:paraId="3E5BA50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Merge w:val="restart"/>
                  <w:vAlign w:val="center"/>
                </w:tcPr>
                <w:p w14:paraId="7AB0C0D6">
                  <w:pPr>
                    <w:pStyle w:val="478"/>
                    <w:numPr>
                      <w:ilvl w:val="0"/>
                      <w:numId w:val="0"/>
                    </w:numPr>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储运工程</w:t>
                  </w:r>
                </w:p>
              </w:tc>
              <w:tc>
                <w:tcPr>
                  <w:tcW w:w="650" w:type="pct"/>
                  <w:vAlign w:val="center"/>
                </w:tcPr>
                <w:p w14:paraId="69E2C25B">
                  <w:pPr>
                    <w:pStyle w:val="478"/>
                    <w:numPr>
                      <w:ilvl w:val="0"/>
                      <w:numId w:val="0"/>
                    </w:numPr>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原料堆放区</w:t>
                  </w:r>
                </w:p>
              </w:tc>
              <w:tc>
                <w:tcPr>
                  <w:tcW w:w="3318" w:type="pct"/>
                  <w:vAlign w:val="center"/>
                </w:tcPr>
                <w:p w14:paraId="3B471D90">
                  <w:pPr>
                    <w:pStyle w:val="478"/>
                    <w:numPr>
                      <w:ilvl w:val="0"/>
                      <w:numId w:val="0"/>
                    </w:numPr>
                    <w:jc w:val="left"/>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位于生产车间东侧，占地</w:t>
                  </w:r>
                  <w:r>
                    <w:rPr>
                      <w:b w:val="0"/>
                      <w:bCs/>
                      <w:color w:val="000000" w:themeColor="text1"/>
                      <w:sz w:val="18"/>
                      <w:szCs w:val="18"/>
                      <w14:textFill>
                        <w14:solidFill>
                          <w14:schemeClr w14:val="tx1"/>
                        </w14:solidFill>
                      </w14:textFill>
                    </w:rPr>
                    <w:t>面积约</w:t>
                  </w:r>
                  <w:r>
                    <w:rPr>
                      <w:rFonts w:hint="eastAsia"/>
                      <w:b w:val="0"/>
                      <w:bCs/>
                      <w:color w:val="000000" w:themeColor="text1"/>
                      <w:sz w:val="18"/>
                      <w:szCs w:val="18"/>
                      <w14:textFill>
                        <w14:solidFill>
                          <w14:schemeClr w14:val="tx1"/>
                        </w14:solidFill>
                      </w14:textFill>
                    </w:rPr>
                    <w:t>3000</w:t>
                  </w:r>
                  <w:r>
                    <w:rPr>
                      <w:b w:val="0"/>
                      <w:bCs/>
                      <w:color w:val="000000" w:themeColor="text1"/>
                      <w:sz w:val="18"/>
                      <w:szCs w:val="18"/>
                      <w14:textFill>
                        <w14:solidFill>
                          <w14:schemeClr w14:val="tx1"/>
                        </w14:solidFill>
                      </w14:textFill>
                    </w:rPr>
                    <w:t>m</w:t>
                  </w:r>
                  <w:r>
                    <w:rPr>
                      <w:b w:val="0"/>
                      <w:bCs/>
                      <w:color w:val="000000" w:themeColor="text1"/>
                      <w:sz w:val="18"/>
                      <w:szCs w:val="18"/>
                      <w:vertAlign w:val="superscript"/>
                      <w14:textFill>
                        <w14:solidFill>
                          <w14:schemeClr w14:val="tx1"/>
                        </w14:solidFill>
                      </w14:textFill>
                    </w:rPr>
                    <w:t>2</w:t>
                  </w:r>
                  <w:r>
                    <w:rPr>
                      <w:b w:val="0"/>
                      <w:bCs/>
                      <w:color w:val="000000" w:themeColor="text1"/>
                      <w:sz w:val="18"/>
                      <w:szCs w:val="18"/>
                      <w14:textFill>
                        <w14:solidFill>
                          <w14:schemeClr w14:val="tx1"/>
                        </w14:solidFill>
                      </w14:textFill>
                    </w:rPr>
                    <w:t>，主要</w:t>
                  </w:r>
                  <w:r>
                    <w:rPr>
                      <w:rFonts w:hint="eastAsia"/>
                      <w:b w:val="0"/>
                      <w:bCs/>
                      <w:color w:val="000000" w:themeColor="text1"/>
                      <w:sz w:val="18"/>
                      <w:szCs w:val="18"/>
                      <w14:textFill>
                        <w14:solidFill>
                          <w14:schemeClr w14:val="tx1"/>
                        </w14:solidFill>
                      </w14:textFill>
                    </w:rPr>
                    <w:t>为毛石等原辅料堆放</w:t>
                  </w:r>
                </w:p>
              </w:tc>
              <w:tc>
                <w:tcPr>
                  <w:tcW w:w="576" w:type="pct"/>
                  <w:vAlign w:val="center"/>
                </w:tcPr>
                <w:p w14:paraId="3245E47F">
                  <w:pPr>
                    <w:pStyle w:val="478"/>
                    <w:numPr>
                      <w:ilvl w:val="0"/>
                      <w:numId w:val="0"/>
                    </w:numPr>
                    <w:rPr>
                      <w:b w:val="0"/>
                      <w:bCs/>
                      <w:color w:val="000000" w:themeColor="text1"/>
                      <w:sz w:val="18"/>
                      <w:szCs w:val="18"/>
                      <w14:textFill>
                        <w14:solidFill>
                          <w14:schemeClr w14:val="tx1"/>
                        </w14:solidFill>
                      </w14:textFill>
                    </w:rPr>
                  </w:pPr>
                  <w:bookmarkStart w:id="33" w:name="OLE_LINK5"/>
                  <w:r>
                    <w:rPr>
                      <w:rFonts w:hint="eastAsia"/>
                      <w:b w:val="0"/>
                      <w:bCs/>
                      <w:color w:val="000000" w:themeColor="text1"/>
                      <w:sz w:val="18"/>
                      <w:szCs w:val="18"/>
                      <w14:textFill>
                        <w14:solidFill>
                          <w14:schemeClr w14:val="tx1"/>
                        </w14:solidFill>
                      </w14:textFill>
                    </w:rPr>
                    <w:t>新建</w:t>
                  </w:r>
                  <w:bookmarkEnd w:id="33"/>
                </w:p>
              </w:tc>
            </w:tr>
            <w:tr w14:paraId="61362A9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Merge w:val="continue"/>
                  <w:vAlign w:val="center"/>
                </w:tcPr>
                <w:p w14:paraId="5CD766B8">
                  <w:pPr>
                    <w:pStyle w:val="478"/>
                    <w:numPr>
                      <w:ilvl w:val="0"/>
                      <w:numId w:val="0"/>
                    </w:numPr>
                    <w:rPr>
                      <w:b w:val="0"/>
                      <w:bCs/>
                      <w:color w:val="000000" w:themeColor="text1"/>
                      <w:sz w:val="18"/>
                      <w:szCs w:val="18"/>
                      <w14:textFill>
                        <w14:solidFill>
                          <w14:schemeClr w14:val="tx1"/>
                        </w14:solidFill>
                      </w14:textFill>
                    </w:rPr>
                  </w:pPr>
                </w:p>
              </w:tc>
              <w:tc>
                <w:tcPr>
                  <w:tcW w:w="650" w:type="pct"/>
                  <w:vAlign w:val="center"/>
                </w:tcPr>
                <w:p w14:paraId="4E8C84DF">
                  <w:pPr>
                    <w:pStyle w:val="478"/>
                    <w:numPr>
                      <w:ilvl w:val="0"/>
                      <w:numId w:val="0"/>
                    </w:numPr>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半成品</w:t>
                  </w:r>
                </w:p>
                <w:p w14:paraId="7FD24BA7">
                  <w:pPr>
                    <w:pStyle w:val="478"/>
                    <w:numPr>
                      <w:ilvl w:val="0"/>
                      <w:numId w:val="0"/>
                    </w:numPr>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堆放区</w:t>
                  </w:r>
                </w:p>
              </w:tc>
              <w:tc>
                <w:tcPr>
                  <w:tcW w:w="3318" w:type="pct"/>
                  <w:vAlign w:val="center"/>
                </w:tcPr>
                <w:p w14:paraId="41AD5468">
                  <w:pPr>
                    <w:pStyle w:val="478"/>
                    <w:numPr>
                      <w:ilvl w:val="0"/>
                      <w:numId w:val="0"/>
                    </w:numPr>
                    <w:jc w:val="left"/>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位于生产车间东侧，占地</w:t>
                  </w:r>
                  <w:r>
                    <w:rPr>
                      <w:b w:val="0"/>
                      <w:bCs/>
                      <w:color w:val="000000" w:themeColor="text1"/>
                      <w:sz w:val="18"/>
                      <w:szCs w:val="18"/>
                      <w14:textFill>
                        <w14:solidFill>
                          <w14:schemeClr w14:val="tx1"/>
                        </w14:solidFill>
                      </w14:textFill>
                    </w:rPr>
                    <w:t>面积约</w:t>
                  </w:r>
                  <w:r>
                    <w:rPr>
                      <w:rFonts w:hint="eastAsia"/>
                      <w:b w:val="0"/>
                      <w:bCs/>
                      <w:color w:val="000000" w:themeColor="text1"/>
                      <w:sz w:val="18"/>
                      <w:szCs w:val="18"/>
                      <w14:textFill>
                        <w14:solidFill>
                          <w14:schemeClr w14:val="tx1"/>
                        </w14:solidFill>
                      </w14:textFill>
                    </w:rPr>
                    <w:t>3000</w:t>
                  </w:r>
                  <w:r>
                    <w:rPr>
                      <w:b w:val="0"/>
                      <w:bCs/>
                      <w:color w:val="000000" w:themeColor="text1"/>
                      <w:sz w:val="18"/>
                      <w:szCs w:val="18"/>
                      <w14:textFill>
                        <w14:solidFill>
                          <w14:schemeClr w14:val="tx1"/>
                        </w14:solidFill>
                      </w14:textFill>
                    </w:rPr>
                    <w:t>m</w:t>
                  </w:r>
                  <w:r>
                    <w:rPr>
                      <w:b w:val="0"/>
                      <w:bCs/>
                      <w:color w:val="000000" w:themeColor="text1"/>
                      <w:sz w:val="18"/>
                      <w:szCs w:val="18"/>
                      <w:vertAlign w:val="superscript"/>
                      <w14:textFill>
                        <w14:solidFill>
                          <w14:schemeClr w14:val="tx1"/>
                        </w14:solidFill>
                      </w14:textFill>
                    </w:rPr>
                    <w:t>2</w:t>
                  </w:r>
                  <w:r>
                    <w:rPr>
                      <w:b w:val="0"/>
                      <w:bCs/>
                      <w:color w:val="000000" w:themeColor="text1"/>
                      <w:sz w:val="18"/>
                      <w:szCs w:val="18"/>
                      <w14:textFill>
                        <w14:solidFill>
                          <w14:schemeClr w14:val="tx1"/>
                        </w14:solidFill>
                      </w14:textFill>
                    </w:rPr>
                    <w:t>，主要</w:t>
                  </w:r>
                  <w:r>
                    <w:rPr>
                      <w:rFonts w:hint="eastAsia"/>
                      <w:b w:val="0"/>
                      <w:bCs/>
                      <w:color w:val="000000" w:themeColor="text1"/>
                      <w:sz w:val="18"/>
                      <w:szCs w:val="18"/>
                      <w14:textFill>
                        <w14:solidFill>
                          <w14:schemeClr w14:val="tx1"/>
                        </w14:solidFill>
                      </w14:textFill>
                    </w:rPr>
                    <w:t>为毛石破碎后的小颗粒骨料、中颗粒骨料堆放</w:t>
                  </w:r>
                </w:p>
              </w:tc>
              <w:tc>
                <w:tcPr>
                  <w:tcW w:w="576" w:type="pct"/>
                  <w:vAlign w:val="center"/>
                </w:tcPr>
                <w:p w14:paraId="318BF4AC">
                  <w:pPr>
                    <w:pStyle w:val="478"/>
                    <w:numPr>
                      <w:ilvl w:val="0"/>
                      <w:numId w:val="0"/>
                    </w:numPr>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新建</w:t>
                  </w:r>
                </w:p>
              </w:tc>
            </w:tr>
            <w:tr w14:paraId="15B958D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Merge w:val="continue"/>
                  <w:vAlign w:val="center"/>
                </w:tcPr>
                <w:p w14:paraId="760E022E">
                  <w:pPr>
                    <w:pStyle w:val="478"/>
                    <w:numPr>
                      <w:ilvl w:val="0"/>
                      <w:numId w:val="0"/>
                    </w:numPr>
                    <w:rPr>
                      <w:b w:val="0"/>
                      <w:bCs/>
                      <w:color w:val="000000" w:themeColor="text1"/>
                      <w:sz w:val="18"/>
                      <w:szCs w:val="18"/>
                      <w14:textFill>
                        <w14:solidFill>
                          <w14:schemeClr w14:val="tx1"/>
                        </w14:solidFill>
                      </w14:textFill>
                    </w:rPr>
                  </w:pPr>
                </w:p>
              </w:tc>
              <w:tc>
                <w:tcPr>
                  <w:tcW w:w="650" w:type="pct"/>
                  <w:vAlign w:val="center"/>
                </w:tcPr>
                <w:p w14:paraId="1276988C">
                  <w:pPr>
                    <w:pStyle w:val="478"/>
                    <w:numPr>
                      <w:ilvl w:val="0"/>
                      <w:numId w:val="0"/>
                    </w:numPr>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水泥筒仓</w:t>
                  </w:r>
                </w:p>
              </w:tc>
              <w:tc>
                <w:tcPr>
                  <w:tcW w:w="3318" w:type="pct"/>
                  <w:vAlign w:val="center"/>
                </w:tcPr>
                <w:p w14:paraId="6AC6F3D2">
                  <w:pPr>
                    <w:pStyle w:val="478"/>
                    <w:numPr>
                      <w:ilvl w:val="0"/>
                      <w:numId w:val="0"/>
                    </w:numPr>
                    <w:jc w:val="left"/>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位于生产车间北部区域设置4个水泥筒仓，单个水泥筒仓规格为150T，直径：3.5m，高约7m</w:t>
                  </w:r>
                </w:p>
              </w:tc>
              <w:tc>
                <w:tcPr>
                  <w:tcW w:w="576" w:type="pct"/>
                  <w:vAlign w:val="center"/>
                </w:tcPr>
                <w:p w14:paraId="6D84ABA2">
                  <w:pPr>
                    <w:pStyle w:val="478"/>
                    <w:numPr>
                      <w:ilvl w:val="0"/>
                      <w:numId w:val="0"/>
                    </w:numPr>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新建</w:t>
                  </w:r>
                </w:p>
              </w:tc>
            </w:tr>
            <w:tr w14:paraId="03B283C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Merge w:val="restart"/>
                  <w:vAlign w:val="center"/>
                </w:tcPr>
                <w:p w14:paraId="02930F99">
                  <w:pPr>
                    <w:pStyle w:val="478"/>
                    <w:numPr>
                      <w:ilvl w:val="0"/>
                      <w:numId w:val="0"/>
                    </w:numPr>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辅助</w:t>
                  </w:r>
                </w:p>
                <w:p w14:paraId="5ECA16FA">
                  <w:pPr>
                    <w:pStyle w:val="478"/>
                    <w:numPr>
                      <w:ilvl w:val="0"/>
                      <w:numId w:val="0"/>
                    </w:numPr>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工程</w:t>
                  </w:r>
                </w:p>
              </w:tc>
              <w:tc>
                <w:tcPr>
                  <w:tcW w:w="650" w:type="pct"/>
                  <w:vAlign w:val="center"/>
                </w:tcPr>
                <w:p w14:paraId="09E07015">
                  <w:pPr>
                    <w:pStyle w:val="478"/>
                    <w:numPr>
                      <w:ilvl w:val="0"/>
                      <w:numId w:val="0"/>
                    </w:numPr>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办公区</w:t>
                  </w:r>
                </w:p>
              </w:tc>
              <w:tc>
                <w:tcPr>
                  <w:tcW w:w="3318" w:type="pct"/>
                  <w:vAlign w:val="center"/>
                </w:tcPr>
                <w:p w14:paraId="02389865">
                  <w:pPr>
                    <w:pStyle w:val="478"/>
                    <w:numPr>
                      <w:ilvl w:val="0"/>
                      <w:numId w:val="0"/>
                    </w:numPr>
                    <w:jc w:val="left"/>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依托现有项目的综合办公楼，综合办公楼占地1245</w:t>
                  </w:r>
                  <w:r>
                    <w:rPr>
                      <w:b w:val="0"/>
                      <w:bCs/>
                      <w:color w:val="000000" w:themeColor="text1"/>
                      <w:sz w:val="18"/>
                      <w:szCs w:val="18"/>
                      <w14:textFill>
                        <w14:solidFill>
                          <w14:schemeClr w14:val="tx1"/>
                        </w14:solidFill>
                      </w14:textFill>
                    </w:rPr>
                    <w:t xml:space="preserve"> m</w:t>
                  </w:r>
                  <w:r>
                    <w:rPr>
                      <w:b w:val="0"/>
                      <w:bCs/>
                      <w:color w:val="000000" w:themeColor="text1"/>
                      <w:sz w:val="18"/>
                      <w:szCs w:val="18"/>
                      <w:vertAlign w:val="superscript"/>
                      <w14:textFill>
                        <w14:solidFill>
                          <w14:schemeClr w14:val="tx1"/>
                        </w14:solidFill>
                      </w14:textFill>
                    </w:rPr>
                    <w:t>2</w:t>
                  </w:r>
                  <w:r>
                    <w:rPr>
                      <w:b w:val="0"/>
                      <w:bCs/>
                      <w:color w:val="000000" w:themeColor="text1"/>
                      <w:sz w:val="18"/>
                      <w:szCs w:val="18"/>
                      <w14:textFill>
                        <w14:solidFill>
                          <w14:schemeClr w14:val="tx1"/>
                        </w14:solidFill>
                      </w14:textFill>
                    </w:rPr>
                    <w:t>，</w:t>
                  </w:r>
                  <w:r>
                    <w:rPr>
                      <w:rFonts w:hint="eastAsia"/>
                      <w:b w:val="0"/>
                      <w:bCs/>
                      <w:color w:val="000000" w:themeColor="text1"/>
                      <w:sz w:val="18"/>
                      <w:szCs w:val="18"/>
                      <w14:textFill>
                        <w14:solidFill>
                          <w14:schemeClr w14:val="tx1"/>
                        </w14:solidFill>
                      </w14:textFill>
                    </w:rPr>
                    <w:t>共3F，砖混结构</w:t>
                  </w:r>
                </w:p>
              </w:tc>
              <w:tc>
                <w:tcPr>
                  <w:tcW w:w="576" w:type="pct"/>
                  <w:vAlign w:val="center"/>
                </w:tcPr>
                <w:p w14:paraId="503B0819">
                  <w:pPr>
                    <w:pStyle w:val="478"/>
                    <w:numPr>
                      <w:ilvl w:val="0"/>
                      <w:numId w:val="0"/>
                    </w:numPr>
                    <w:rPr>
                      <w:b w:val="0"/>
                      <w:bCs/>
                      <w:color w:val="000000" w:themeColor="text1"/>
                      <w:sz w:val="18"/>
                      <w:szCs w:val="18"/>
                      <w14:textFill>
                        <w14:solidFill>
                          <w14:schemeClr w14:val="tx1"/>
                        </w14:solidFill>
                      </w14:textFill>
                    </w:rPr>
                  </w:pPr>
                  <w:bookmarkStart w:id="34" w:name="OLE_LINK4"/>
                  <w:r>
                    <w:rPr>
                      <w:rFonts w:hint="eastAsia"/>
                      <w:b w:val="0"/>
                      <w:bCs/>
                      <w:color w:val="000000" w:themeColor="text1"/>
                      <w:sz w:val="18"/>
                      <w:szCs w:val="18"/>
                      <w14:textFill>
                        <w14:solidFill>
                          <w14:schemeClr w14:val="tx1"/>
                        </w14:solidFill>
                      </w14:textFill>
                    </w:rPr>
                    <w:t>依托</w:t>
                  </w:r>
                  <w:bookmarkEnd w:id="34"/>
                  <w:r>
                    <w:rPr>
                      <w:rFonts w:hint="eastAsia"/>
                      <w:b w:val="0"/>
                      <w:bCs/>
                      <w:color w:val="000000" w:themeColor="text1"/>
                      <w:sz w:val="18"/>
                      <w:szCs w:val="18"/>
                      <w14:textFill>
                        <w14:solidFill>
                          <w14:schemeClr w14:val="tx1"/>
                        </w14:solidFill>
                      </w14:textFill>
                    </w:rPr>
                    <w:t>现有</w:t>
                  </w:r>
                </w:p>
              </w:tc>
            </w:tr>
            <w:tr w14:paraId="7B4FA82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Merge w:val="continue"/>
                  <w:vAlign w:val="center"/>
                </w:tcPr>
                <w:p w14:paraId="7276017E">
                  <w:pPr>
                    <w:pStyle w:val="478"/>
                    <w:numPr>
                      <w:ilvl w:val="0"/>
                      <w:numId w:val="0"/>
                    </w:numPr>
                    <w:rPr>
                      <w:b w:val="0"/>
                      <w:bCs/>
                      <w:color w:val="000000" w:themeColor="text1"/>
                      <w:sz w:val="18"/>
                      <w:szCs w:val="18"/>
                      <w14:textFill>
                        <w14:solidFill>
                          <w14:schemeClr w14:val="tx1"/>
                        </w14:solidFill>
                      </w14:textFill>
                    </w:rPr>
                  </w:pPr>
                </w:p>
              </w:tc>
              <w:tc>
                <w:tcPr>
                  <w:tcW w:w="650" w:type="pct"/>
                  <w:vAlign w:val="center"/>
                </w:tcPr>
                <w:p w14:paraId="34243250">
                  <w:pPr>
                    <w:pStyle w:val="478"/>
                    <w:numPr>
                      <w:ilvl w:val="0"/>
                      <w:numId w:val="0"/>
                    </w:numPr>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食堂</w:t>
                  </w:r>
                </w:p>
              </w:tc>
              <w:tc>
                <w:tcPr>
                  <w:tcW w:w="3318" w:type="pct"/>
                  <w:vAlign w:val="center"/>
                </w:tcPr>
                <w:p w14:paraId="6BAB047F">
                  <w:pPr>
                    <w:pStyle w:val="478"/>
                    <w:numPr>
                      <w:ilvl w:val="0"/>
                      <w:numId w:val="0"/>
                    </w:numPr>
                    <w:jc w:val="left"/>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依托现有项目的生活楼，食堂位于生活楼1层，生活楼占地895</w:t>
                  </w:r>
                  <w:r>
                    <w:rPr>
                      <w:b w:val="0"/>
                      <w:bCs/>
                      <w:color w:val="000000" w:themeColor="text1"/>
                      <w:sz w:val="18"/>
                      <w:szCs w:val="18"/>
                      <w14:textFill>
                        <w14:solidFill>
                          <w14:schemeClr w14:val="tx1"/>
                        </w14:solidFill>
                      </w14:textFill>
                    </w:rPr>
                    <w:t xml:space="preserve"> m</w:t>
                  </w:r>
                  <w:r>
                    <w:rPr>
                      <w:b w:val="0"/>
                      <w:bCs/>
                      <w:color w:val="000000" w:themeColor="text1"/>
                      <w:sz w:val="18"/>
                      <w:szCs w:val="18"/>
                      <w:vertAlign w:val="superscript"/>
                      <w14:textFill>
                        <w14:solidFill>
                          <w14:schemeClr w14:val="tx1"/>
                        </w14:solidFill>
                      </w14:textFill>
                    </w:rPr>
                    <w:t>2</w:t>
                  </w:r>
                  <w:r>
                    <w:rPr>
                      <w:b w:val="0"/>
                      <w:bCs/>
                      <w:color w:val="000000" w:themeColor="text1"/>
                      <w:sz w:val="18"/>
                      <w:szCs w:val="18"/>
                      <w14:textFill>
                        <w14:solidFill>
                          <w14:schemeClr w14:val="tx1"/>
                        </w14:solidFill>
                      </w14:textFill>
                    </w:rPr>
                    <w:t>，</w:t>
                  </w:r>
                  <w:r>
                    <w:rPr>
                      <w:rFonts w:hint="eastAsia"/>
                      <w:b w:val="0"/>
                      <w:bCs/>
                      <w:color w:val="000000" w:themeColor="text1"/>
                      <w:sz w:val="18"/>
                      <w:szCs w:val="18"/>
                      <w14:textFill>
                        <w14:solidFill>
                          <w14:schemeClr w14:val="tx1"/>
                        </w14:solidFill>
                      </w14:textFill>
                    </w:rPr>
                    <w:t>共5F，砖混结构</w:t>
                  </w:r>
                </w:p>
              </w:tc>
              <w:tc>
                <w:tcPr>
                  <w:tcW w:w="576" w:type="pct"/>
                </w:tcPr>
                <w:p w14:paraId="1AD86963">
                  <w:pPr>
                    <w:pStyle w:val="478"/>
                    <w:numPr>
                      <w:ilvl w:val="0"/>
                      <w:numId w:val="0"/>
                    </w:numPr>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依托现有</w:t>
                  </w:r>
                </w:p>
              </w:tc>
            </w:tr>
            <w:tr w14:paraId="11141BF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Merge w:val="continue"/>
                  <w:vAlign w:val="center"/>
                </w:tcPr>
                <w:p w14:paraId="39F28196">
                  <w:pPr>
                    <w:pStyle w:val="478"/>
                    <w:numPr>
                      <w:ilvl w:val="0"/>
                      <w:numId w:val="0"/>
                    </w:numPr>
                    <w:rPr>
                      <w:b w:val="0"/>
                      <w:bCs/>
                      <w:color w:val="000000" w:themeColor="text1"/>
                      <w:sz w:val="18"/>
                      <w:szCs w:val="18"/>
                      <w14:textFill>
                        <w14:solidFill>
                          <w14:schemeClr w14:val="tx1"/>
                        </w14:solidFill>
                      </w14:textFill>
                    </w:rPr>
                  </w:pPr>
                </w:p>
              </w:tc>
              <w:tc>
                <w:tcPr>
                  <w:tcW w:w="650" w:type="pct"/>
                  <w:vAlign w:val="center"/>
                </w:tcPr>
                <w:p w14:paraId="276231EF">
                  <w:pPr>
                    <w:pStyle w:val="478"/>
                    <w:numPr>
                      <w:ilvl w:val="0"/>
                      <w:numId w:val="0"/>
                    </w:numPr>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宿舍</w:t>
                  </w:r>
                </w:p>
              </w:tc>
              <w:tc>
                <w:tcPr>
                  <w:tcW w:w="3318" w:type="pct"/>
                  <w:vAlign w:val="center"/>
                </w:tcPr>
                <w:p w14:paraId="7D225A83">
                  <w:pPr>
                    <w:pStyle w:val="478"/>
                    <w:numPr>
                      <w:ilvl w:val="0"/>
                      <w:numId w:val="0"/>
                    </w:numPr>
                    <w:jc w:val="left"/>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依托现有项目的生活楼，生活楼占地895</w:t>
                  </w:r>
                  <w:r>
                    <w:rPr>
                      <w:b w:val="0"/>
                      <w:bCs/>
                      <w:color w:val="000000" w:themeColor="text1"/>
                      <w:sz w:val="18"/>
                      <w:szCs w:val="18"/>
                      <w14:textFill>
                        <w14:solidFill>
                          <w14:schemeClr w14:val="tx1"/>
                        </w14:solidFill>
                      </w14:textFill>
                    </w:rPr>
                    <w:t xml:space="preserve"> m</w:t>
                  </w:r>
                  <w:r>
                    <w:rPr>
                      <w:b w:val="0"/>
                      <w:bCs/>
                      <w:color w:val="000000" w:themeColor="text1"/>
                      <w:sz w:val="18"/>
                      <w:szCs w:val="18"/>
                      <w:vertAlign w:val="superscript"/>
                      <w14:textFill>
                        <w14:solidFill>
                          <w14:schemeClr w14:val="tx1"/>
                        </w14:solidFill>
                      </w14:textFill>
                    </w:rPr>
                    <w:t>2</w:t>
                  </w:r>
                  <w:r>
                    <w:rPr>
                      <w:b w:val="0"/>
                      <w:bCs/>
                      <w:color w:val="000000" w:themeColor="text1"/>
                      <w:sz w:val="18"/>
                      <w:szCs w:val="18"/>
                      <w14:textFill>
                        <w14:solidFill>
                          <w14:schemeClr w14:val="tx1"/>
                        </w14:solidFill>
                      </w14:textFill>
                    </w:rPr>
                    <w:t>，</w:t>
                  </w:r>
                  <w:r>
                    <w:rPr>
                      <w:rFonts w:hint="eastAsia"/>
                      <w:b w:val="0"/>
                      <w:bCs/>
                      <w:color w:val="000000" w:themeColor="text1"/>
                      <w:sz w:val="18"/>
                      <w:szCs w:val="18"/>
                      <w14:textFill>
                        <w14:solidFill>
                          <w14:schemeClr w14:val="tx1"/>
                        </w14:solidFill>
                      </w14:textFill>
                    </w:rPr>
                    <w:t>共5F，砖混结构</w:t>
                  </w:r>
                </w:p>
              </w:tc>
              <w:tc>
                <w:tcPr>
                  <w:tcW w:w="576" w:type="pct"/>
                </w:tcPr>
                <w:p w14:paraId="29F758BD">
                  <w:pPr>
                    <w:pStyle w:val="478"/>
                    <w:numPr>
                      <w:ilvl w:val="0"/>
                      <w:numId w:val="0"/>
                    </w:numPr>
                    <w:rPr>
                      <w:b w:val="0"/>
                      <w:bCs/>
                      <w:color w:val="000000" w:themeColor="text1"/>
                      <w:sz w:val="18"/>
                      <w:szCs w:val="18"/>
                      <w14:textFill>
                        <w14:solidFill>
                          <w14:schemeClr w14:val="tx1"/>
                        </w14:solidFill>
                      </w14:textFill>
                    </w:rPr>
                  </w:pPr>
                  <w:bookmarkStart w:id="35" w:name="OLE_LINK9"/>
                  <w:r>
                    <w:rPr>
                      <w:rFonts w:hint="eastAsia"/>
                      <w:b w:val="0"/>
                      <w:bCs/>
                      <w:color w:val="000000" w:themeColor="text1"/>
                      <w:sz w:val="18"/>
                      <w:szCs w:val="18"/>
                      <w14:textFill>
                        <w14:solidFill>
                          <w14:schemeClr w14:val="tx1"/>
                        </w14:solidFill>
                      </w14:textFill>
                    </w:rPr>
                    <w:t>依托</w:t>
                  </w:r>
                  <w:bookmarkEnd w:id="35"/>
                </w:p>
              </w:tc>
            </w:tr>
            <w:tr w14:paraId="0945F42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Merge w:val="continue"/>
                  <w:vAlign w:val="center"/>
                </w:tcPr>
                <w:p w14:paraId="4B8162EA">
                  <w:pPr>
                    <w:pStyle w:val="478"/>
                    <w:numPr>
                      <w:ilvl w:val="0"/>
                      <w:numId w:val="0"/>
                    </w:numPr>
                    <w:rPr>
                      <w:b w:val="0"/>
                      <w:bCs/>
                      <w:color w:val="000000" w:themeColor="text1"/>
                      <w:sz w:val="18"/>
                      <w:szCs w:val="18"/>
                      <w14:textFill>
                        <w14:solidFill>
                          <w14:schemeClr w14:val="tx1"/>
                        </w14:solidFill>
                      </w14:textFill>
                    </w:rPr>
                  </w:pPr>
                </w:p>
              </w:tc>
              <w:tc>
                <w:tcPr>
                  <w:tcW w:w="650" w:type="pct"/>
                  <w:vAlign w:val="center"/>
                </w:tcPr>
                <w:p w14:paraId="3DBC8DD7">
                  <w:pPr>
                    <w:pStyle w:val="478"/>
                    <w:numPr>
                      <w:ilvl w:val="0"/>
                      <w:numId w:val="0"/>
                    </w:numPr>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洗车平台</w:t>
                  </w:r>
                </w:p>
              </w:tc>
              <w:tc>
                <w:tcPr>
                  <w:tcW w:w="3318" w:type="pct"/>
                  <w:vAlign w:val="center"/>
                </w:tcPr>
                <w:p w14:paraId="059A3AFD">
                  <w:pPr>
                    <w:pStyle w:val="478"/>
                    <w:numPr>
                      <w:ilvl w:val="0"/>
                      <w:numId w:val="0"/>
                    </w:numPr>
                    <w:jc w:val="left"/>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位于厂区北部，占地面积约20m</w:t>
                  </w:r>
                  <w:r>
                    <w:rPr>
                      <w:rFonts w:hint="eastAsia"/>
                      <w:b w:val="0"/>
                      <w:bCs/>
                      <w:color w:val="000000" w:themeColor="text1"/>
                      <w:sz w:val="18"/>
                      <w:szCs w:val="18"/>
                      <w:vertAlign w:val="superscript"/>
                      <w14:textFill>
                        <w14:solidFill>
                          <w14:schemeClr w14:val="tx1"/>
                        </w14:solidFill>
                      </w14:textFill>
                    </w:rPr>
                    <w:t>2</w:t>
                  </w:r>
                  <w:r>
                    <w:rPr>
                      <w:rFonts w:hint="eastAsia"/>
                      <w:b w:val="0"/>
                      <w:bCs/>
                      <w:color w:val="000000" w:themeColor="text1"/>
                      <w:sz w:val="18"/>
                      <w:szCs w:val="18"/>
                      <w14:textFill>
                        <w14:solidFill>
                          <w14:schemeClr w14:val="tx1"/>
                        </w14:solidFill>
                      </w14:textFill>
                    </w:rPr>
                    <w:t>，用于车辆进出清洗。</w:t>
                  </w:r>
                </w:p>
              </w:tc>
              <w:tc>
                <w:tcPr>
                  <w:tcW w:w="576" w:type="pct"/>
                </w:tcPr>
                <w:p w14:paraId="08D5B323">
                  <w:pPr>
                    <w:pStyle w:val="478"/>
                    <w:numPr>
                      <w:ilvl w:val="0"/>
                      <w:numId w:val="0"/>
                    </w:numPr>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新建</w:t>
                  </w:r>
                </w:p>
              </w:tc>
            </w:tr>
            <w:tr w14:paraId="33AE20A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Merge w:val="continue"/>
                  <w:vAlign w:val="center"/>
                </w:tcPr>
                <w:p w14:paraId="5BB50723">
                  <w:pPr>
                    <w:pStyle w:val="478"/>
                    <w:numPr>
                      <w:ilvl w:val="0"/>
                      <w:numId w:val="0"/>
                    </w:numPr>
                    <w:rPr>
                      <w:b w:val="0"/>
                      <w:bCs/>
                      <w:color w:val="000000" w:themeColor="text1"/>
                      <w:sz w:val="18"/>
                      <w:szCs w:val="18"/>
                      <w14:textFill>
                        <w14:solidFill>
                          <w14:schemeClr w14:val="tx1"/>
                        </w14:solidFill>
                      </w14:textFill>
                    </w:rPr>
                  </w:pPr>
                </w:p>
              </w:tc>
              <w:tc>
                <w:tcPr>
                  <w:tcW w:w="650" w:type="pct"/>
                  <w:vAlign w:val="center"/>
                </w:tcPr>
                <w:p w14:paraId="4ADFAAAC">
                  <w:pPr>
                    <w:pStyle w:val="478"/>
                    <w:numPr>
                      <w:ilvl w:val="0"/>
                      <w:numId w:val="0"/>
                    </w:numPr>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压滤间</w:t>
                  </w:r>
                </w:p>
              </w:tc>
              <w:tc>
                <w:tcPr>
                  <w:tcW w:w="3318" w:type="pct"/>
                  <w:vAlign w:val="center"/>
                </w:tcPr>
                <w:p w14:paraId="01A363FA">
                  <w:pPr>
                    <w:pStyle w:val="478"/>
                    <w:numPr>
                      <w:ilvl w:val="0"/>
                      <w:numId w:val="0"/>
                    </w:numPr>
                    <w:jc w:val="left"/>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位于厂区东北部，主要用于污泥压滤，建筑面积200</w:t>
                  </w:r>
                  <w:r>
                    <w:rPr>
                      <w:b w:val="0"/>
                      <w:color w:val="000000" w:themeColor="text1"/>
                      <w:sz w:val="18"/>
                      <w:szCs w:val="18"/>
                      <w14:textFill>
                        <w14:solidFill>
                          <w14:schemeClr w14:val="tx1"/>
                        </w14:solidFill>
                      </w14:textFill>
                    </w:rPr>
                    <w:t xml:space="preserve"> m</w:t>
                  </w:r>
                  <w:r>
                    <w:rPr>
                      <w:b w:val="0"/>
                      <w:color w:val="000000" w:themeColor="text1"/>
                      <w:sz w:val="18"/>
                      <w:szCs w:val="18"/>
                      <w:vertAlign w:val="superscript"/>
                      <w14:textFill>
                        <w14:solidFill>
                          <w14:schemeClr w14:val="tx1"/>
                        </w14:solidFill>
                      </w14:textFill>
                    </w:rPr>
                    <w:t>2</w:t>
                  </w:r>
                </w:p>
              </w:tc>
              <w:tc>
                <w:tcPr>
                  <w:tcW w:w="576" w:type="pct"/>
                </w:tcPr>
                <w:p w14:paraId="743F18FA">
                  <w:pPr>
                    <w:pStyle w:val="478"/>
                    <w:numPr>
                      <w:ilvl w:val="0"/>
                      <w:numId w:val="0"/>
                    </w:numPr>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新建</w:t>
                  </w:r>
                </w:p>
              </w:tc>
            </w:tr>
            <w:tr w14:paraId="52EA34B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Merge w:val="restart"/>
                  <w:vAlign w:val="center"/>
                </w:tcPr>
                <w:p w14:paraId="3A26EF4C">
                  <w:pPr>
                    <w:pStyle w:val="478"/>
                    <w:numPr>
                      <w:ilvl w:val="0"/>
                      <w:numId w:val="0"/>
                    </w:numPr>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公用工程</w:t>
                  </w:r>
                </w:p>
              </w:tc>
              <w:tc>
                <w:tcPr>
                  <w:tcW w:w="650" w:type="pct"/>
                  <w:vAlign w:val="center"/>
                </w:tcPr>
                <w:p w14:paraId="02B70789">
                  <w:pPr>
                    <w:pStyle w:val="478"/>
                    <w:numPr>
                      <w:ilvl w:val="0"/>
                      <w:numId w:val="0"/>
                    </w:numPr>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供水</w:t>
                  </w:r>
                </w:p>
              </w:tc>
              <w:tc>
                <w:tcPr>
                  <w:tcW w:w="3318" w:type="pct"/>
                  <w:vAlign w:val="center"/>
                </w:tcPr>
                <w:p w14:paraId="42A8CCD7">
                  <w:pPr>
                    <w:pStyle w:val="478"/>
                    <w:numPr>
                      <w:ilvl w:val="0"/>
                      <w:numId w:val="0"/>
                    </w:numPr>
                    <w:jc w:val="left"/>
                    <w:rPr>
                      <w:b w:val="0"/>
                      <w:bCs/>
                      <w:color w:val="000000" w:themeColor="text1"/>
                      <w:sz w:val="18"/>
                      <w:szCs w:val="18"/>
                      <w14:textFill>
                        <w14:solidFill>
                          <w14:schemeClr w14:val="tx1"/>
                        </w14:solidFill>
                      </w14:textFill>
                    </w:rPr>
                  </w:pPr>
                  <w:r>
                    <w:rPr>
                      <w:b w:val="0"/>
                      <w:bCs/>
                      <w:color w:val="000000" w:themeColor="text1"/>
                      <w:kern w:val="0"/>
                      <w:sz w:val="18"/>
                      <w:szCs w:val="18"/>
                      <w14:textFill>
                        <w14:solidFill>
                          <w14:schemeClr w14:val="tx1"/>
                        </w14:solidFill>
                      </w14:textFill>
                    </w:rPr>
                    <w:t>市政供水管网统一供</w:t>
                  </w:r>
                  <w:r>
                    <w:rPr>
                      <w:rFonts w:hint="eastAsia"/>
                      <w:b w:val="0"/>
                      <w:bCs/>
                      <w:color w:val="000000" w:themeColor="text1"/>
                      <w:kern w:val="0"/>
                      <w:sz w:val="18"/>
                      <w:szCs w:val="18"/>
                      <w14:textFill>
                        <w14:solidFill>
                          <w14:schemeClr w14:val="tx1"/>
                        </w14:solidFill>
                      </w14:textFill>
                    </w:rPr>
                    <w:t>水</w:t>
                  </w:r>
                </w:p>
              </w:tc>
              <w:tc>
                <w:tcPr>
                  <w:tcW w:w="576" w:type="pct"/>
                  <w:vAlign w:val="center"/>
                </w:tcPr>
                <w:p w14:paraId="60C7252E">
                  <w:pPr>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新建</w:t>
                  </w:r>
                </w:p>
              </w:tc>
            </w:tr>
            <w:tr w14:paraId="1A0862D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Merge w:val="continue"/>
                  <w:vAlign w:val="center"/>
                </w:tcPr>
                <w:p w14:paraId="7DF55CF8">
                  <w:pPr>
                    <w:pStyle w:val="478"/>
                    <w:numPr>
                      <w:ilvl w:val="0"/>
                      <w:numId w:val="0"/>
                    </w:numPr>
                    <w:rPr>
                      <w:b w:val="0"/>
                      <w:bCs/>
                      <w:color w:val="000000" w:themeColor="text1"/>
                      <w:sz w:val="18"/>
                      <w:szCs w:val="18"/>
                      <w14:textFill>
                        <w14:solidFill>
                          <w14:schemeClr w14:val="tx1"/>
                        </w14:solidFill>
                      </w14:textFill>
                    </w:rPr>
                  </w:pPr>
                </w:p>
              </w:tc>
              <w:tc>
                <w:tcPr>
                  <w:tcW w:w="650" w:type="pct"/>
                  <w:vAlign w:val="center"/>
                </w:tcPr>
                <w:p w14:paraId="48FC8609">
                  <w:pPr>
                    <w:pStyle w:val="478"/>
                    <w:numPr>
                      <w:ilvl w:val="0"/>
                      <w:numId w:val="0"/>
                    </w:numPr>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供电</w:t>
                  </w:r>
                </w:p>
              </w:tc>
              <w:tc>
                <w:tcPr>
                  <w:tcW w:w="3318" w:type="pct"/>
                  <w:vAlign w:val="center"/>
                </w:tcPr>
                <w:p w14:paraId="1AAEEF7F">
                  <w:pPr>
                    <w:pStyle w:val="478"/>
                    <w:numPr>
                      <w:ilvl w:val="0"/>
                      <w:numId w:val="0"/>
                    </w:numPr>
                    <w:jc w:val="left"/>
                    <w:rPr>
                      <w:b w:val="0"/>
                      <w:bCs/>
                      <w:color w:val="000000" w:themeColor="text1"/>
                      <w:sz w:val="18"/>
                      <w:szCs w:val="18"/>
                      <w14:textFill>
                        <w14:solidFill>
                          <w14:schemeClr w14:val="tx1"/>
                        </w14:solidFill>
                      </w14:textFill>
                    </w:rPr>
                  </w:pPr>
                  <w:r>
                    <w:rPr>
                      <w:b w:val="0"/>
                      <w:bCs/>
                      <w:color w:val="000000" w:themeColor="text1"/>
                      <w:kern w:val="0"/>
                      <w:sz w:val="18"/>
                      <w:szCs w:val="18"/>
                      <w14:textFill>
                        <w14:solidFill>
                          <w14:schemeClr w14:val="tx1"/>
                        </w14:solidFill>
                      </w14:textFill>
                    </w:rPr>
                    <w:t>市政供电系统统一供电</w:t>
                  </w:r>
                </w:p>
              </w:tc>
              <w:tc>
                <w:tcPr>
                  <w:tcW w:w="576" w:type="pct"/>
                  <w:vAlign w:val="center"/>
                </w:tcPr>
                <w:p w14:paraId="4426A803">
                  <w:pPr>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新建</w:t>
                  </w:r>
                </w:p>
              </w:tc>
            </w:tr>
            <w:tr w14:paraId="2D383AA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Merge w:val="restart"/>
                  <w:vAlign w:val="center"/>
                </w:tcPr>
                <w:p w14:paraId="4EC5A814">
                  <w:pPr>
                    <w:pStyle w:val="478"/>
                    <w:numPr>
                      <w:ilvl w:val="0"/>
                      <w:numId w:val="0"/>
                    </w:numPr>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环保工程</w:t>
                  </w:r>
                </w:p>
              </w:tc>
              <w:tc>
                <w:tcPr>
                  <w:tcW w:w="650" w:type="pct"/>
                  <w:vAlign w:val="center"/>
                </w:tcPr>
                <w:p w14:paraId="0FCDE168">
                  <w:pPr>
                    <w:pStyle w:val="478"/>
                    <w:numPr>
                      <w:ilvl w:val="0"/>
                      <w:numId w:val="0"/>
                    </w:numPr>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废水</w:t>
                  </w:r>
                </w:p>
              </w:tc>
              <w:tc>
                <w:tcPr>
                  <w:tcW w:w="3318" w:type="pct"/>
                  <w:vAlign w:val="center"/>
                </w:tcPr>
                <w:p w14:paraId="684D19F6">
                  <w:pPr>
                    <w:pStyle w:val="478"/>
                    <w:numPr>
                      <w:ilvl w:val="0"/>
                      <w:numId w:val="0"/>
                    </w:numPr>
                    <w:jc w:val="left"/>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1、</w:t>
                  </w:r>
                  <w:r>
                    <w:rPr>
                      <w:b w:val="0"/>
                      <w:bCs/>
                      <w:color w:val="000000" w:themeColor="text1"/>
                      <w:sz w:val="18"/>
                      <w:szCs w:val="18"/>
                      <w14:textFill>
                        <w14:solidFill>
                          <w14:schemeClr w14:val="tx1"/>
                        </w14:solidFill>
                      </w14:textFill>
                    </w:rPr>
                    <w:t>生活污水近期经“</w:t>
                  </w:r>
                  <w:r>
                    <w:rPr>
                      <w:rFonts w:hint="eastAsia"/>
                      <w:b w:val="0"/>
                      <w:bCs/>
                      <w:color w:val="000000" w:themeColor="text1"/>
                      <w:sz w:val="18"/>
                      <w:szCs w:val="18"/>
                      <w:lang w:val="en-US" w:eastAsia="zh-CN"/>
                      <w14:textFill>
                        <w14:solidFill>
                          <w14:schemeClr w14:val="tx1"/>
                        </w14:solidFill>
                      </w14:textFill>
                    </w:rPr>
                    <w:t>新建的</w:t>
                  </w:r>
                  <w:r>
                    <w:rPr>
                      <w:b w:val="0"/>
                      <w:bCs/>
                      <w:color w:val="000000" w:themeColor="text1"/>
                      <w:sz w:val="18"/>
                      <w:szCs w:val="18"/>
                      <w14:textFill>
                        <w14:solidFill>
                          <w14:schemeClr w14:val="tx1"/>
                        </w14:solidFill>
                      </w14:textFill>
                    </w:rPr>
                    <w:t>隔油池+化粪池”预处理后</w:t>
                  </w:r>
                  <w:r>
                    <w:rPr>
                      <w:rFonts w:hint="eastAsia"/>
                      <w:b w:val="0"/>
                      <w:bCs/>
                      <w:color w:val="000000" w:themeColor="text1"/>
                      <w:sz w:val="18"/>
                      <w:szCs w:val="18"/>
                      <w14:textFill>
                        <w14:solidFill>
                          <w14:schemeClr w14:val="tx1"/>
                        </w14:solidFill>
                      </w14:textFill>
                    </w:rPr>
                    <w:t>达到</w:t>
                  </w:r>
                  <w:r>
                    <w:rPr>
                      <w:b w:val="0"/>
                      <w:bCs/>
                      <w:color w:val="000000" w:themeColor="text1"/>
                      <w:sz w:val="18"/>
                      <w:szCs w:val="18"/>
                      <w14:textFill>
                        <w14:solidFill>
                          <w14:schemeClr w14:val="tx1"/>
                        </w14:solidFill>
                      </w14:textFill>
                    </w:rPr>
                    <w:t>《污水综合排放标准》（GB8978-1996）表4中三级标准</w:t>
                  </w:r>
                  <w:r>
                    <w:rPr>
                      <w:rFonts w:hint="eastAsia"/>
                      <w:b w:val="0"/>
                      <w:bCs/>
                      <w:color w:val="000000" w:themeColor="text1"/>
                      <w:sz w:val="18"/>
                      <w:szCs w:val="18"/>
                      <w14:textFill>
                        <w14:solidFill>
                          <w14:schemeClr w14:val="tx1"/>
                        </w14:solidFill>
                      </w14:textFill>
                    </w:rPr>
                    <w:t>后</w:t>
                  </w:r>
                  <w:r>
                    <w:rPr>
                      <w:b w:val="0"/>
                      <w:bCs/>
                      <w:color w:val="000000" w:themeColor="text1"/>
                      <w:sz w:val="18"/>
                      <w:szCs w:val="18"/>
                      <w14:textFill>
                        <w14:solidFill>
                          <w14:schemeClr w14:val="tx1"/>
                        </w14:solidFill>
                      </w14:textFill>
                    </w:rPr>
                    <w:t>通过管网进入乐平市金山</w:t>
                  </w:r>
                  <w:r>
                    <w:rPr>
                      <w:rFonts w:hint="eastAsia"/>
                      <w:b w:val="0"/>
                      <w:bCs/>
                      <w:color w:val="000000" w:themeColor="text1"/>
                      <w:sz w:val="18"/>
                      <w:szCs w:val="18"/>
                      <w14:textFill>
                        <w14:solidFill>
                          <w14:schemeClr w14:val="tx1"/>
                        </w14:solidFill>
                      </w14:textFill>
                    </w:rPr>
                    <w:t>工业园</w:t>
                  </w:r>
                  <w:r>
                    <w:rPr>
                      <w:b w:val="0"/>
                      <w:bCs/>
                      <w:color w:val="000000" w:themeColor="text1"/>
                      <w:sz w:val="18"/>
                      <w:szCs w:val="18"/>
                      <w14:textFill>
                        <w14:solidFill>
                          <w14:schemeClr w14:val="tx1"/>
                        </w14:solidFill>
                      </w14:textFill>
                    </w:rPr>
                    <w:t>区一期一体化污水处理站进一步处理达到《城镇污水处理厂污染物排放标准》（GB18918-2002）中一级A标准后，尾水</w:t>
                  </w:r>
                  <w:r>
                    <w:rPr>
                      <w:rFonts w:hint="eastAsia"/>
                      <w:b w:val="0"/>
                      <w:bCs/>
                      <w:color w:val="000000" w:themeColor="text1"/>
                      <w:sz w:val="18"/>
                      <w:szCs w:val="18"/>
                      <w14:textFill>
                        <w14:solidFill>
                          <w14:schemeClr w14:val="tx1"/>
                        </w14:solidFill>
                      </w14:textFill>
                    </w:rPr>
                    <w:t>排</w:t>
                  </w:r>
                  <w:r>
                    <w:rPr>
                      <w:b w:val="0"/>
                      <w:bCs/>
                      <w:color w:val="000000" w:themeColor="text1"/>
                      <w:sz w:val="18"/>
                      <w:szCs w:val="18"/>
                      <w14:textFill>
                        <w14:solidFill>
                          <w14:schemeClr w14:val="tx1"/>
                        </w14:solidFill>
                      </w14:textFill>
                    </w:rPr>
                    <w:t>入乐安河；远期待金山工业园污水处理厂正式投运后，排入金山工业园污水处理厂，处理达到《城镇污水处理厂污染物排放标准》（GB18918-2002）一级A标准后外排至乐安河。</w:t>
                  </w:r>
                </w:p>
                <w:p w14:paraId="70E9E1A2">
                  <w:pPr>
                    <w:pStyle w:val="480"/>
                    <w:ind w:firstLine="0"/>
                    <w:jc w:val="left"/>
                    <w:rPr>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2、</w:t>
                  </w:r>
                  <w:r>
                    <w:rPr>
                      <w:rFonts w:hint="eastAsia"/>
                      <w:color w:val="000000" w:themeColor="text1"/>
                      <w:sz w:val="18"/>
                      <w:szCs w:val="18"/>
                      <w:lang w:val="en-US" w:eastAsia="zh-CN"/>
                      <w14:textFill>
                        <w14:solidFill>
                          <w14:schemeClr w14:val="tx1"/>
                        </w14:solidFill>
                      </w14:textFill>
                    </w:rPr>
                    <w:t>新建</w:t>
                  </w:r>
                  <w:r>
                    <w:rPr>
                      <w:rFonts w:hint="eastAsia"/>
                      <w:color w:val="000000" w:themeColor="text1"/>
                      <w:sz w:val="18"/>
                      <w:szCs w:val="18"/>
                      <w14:textFill>
                        <w14:solidFill>
                          <w14:schemeClr w14:val="tx1"/>
                        </w14:solidFill>
                      </w14:textFill>
                    </w:rPr>
                    <w:t>1</w:t>
                  </w:r>
                  <w:r>
                    <w:rPr>
                      <w:color w:val="000000" w:themeColor="text1"/>
                      <w:sz w:val="18"/>
                      <w:szCs w:val="18"/>
                      <w14:textFill>
                        <w14:solidFill>
                          <w14:schemeClr w14:val="tx1"/>
                        </w14:solidFill>
                      </w14:textFill>
                    </w:rPr>
                    <w:t>个</w:t>
                  </w:r>
                  <w:r>
                    <w:rPr>
                      <w:rFonts w:hint="eastAsia"/>
                      <w:color w:val="000000" w:themeColor="text1"/>
                      <w:sz w:val="18"/>
                      <w:szCs w:val="18"/>
                      <w14:textFill>
                        <w14:solidFill>
                          <w14:schemeClr w14:val="tx1"/>
                        </w14:solidFill>
                      </w14:textFill>
                    </w:rPr>
                    <w:t>容积</w:t>
                  </w:r>
                  <w:r>
                    <w:rPr>
                      <w:rFonts w:hint="eastAsia"/>
                      <w:color w:val="000000" w:themeColor="text1"/>
                      <w:sz w:val="18"/>
                      <w:szCs w:val="18"/>
                      <w:lang w:val="en-US" w:eastAsia="zh-CN"/>
                      <w14:textFill>
                        <w14:solidFill>
                          <w14:schemeClr w14:val="tx1"/>
                        </w14:solidFill>
                      </w14:textFill>
                    </w:rPr>
                    <w:t>10</w:t>
                  </w:r>
                  <w:r>
                    <w:rPr>
                      <w:rFonts w:hint="eastAsia"/>
                      <w:color w:val="000000" w:themeColor="text1"/>
                      <w:sz w:val="18"/>
                      <w:szCs w:val="18"/>
                      <w14:textFill>
                        <w14:solidFill>
                          <w14:schemeClr w14:val="tx1"/>
                        </w14:solidFill>
                      </w14:textFill>
                    </w:rPr>
                    <w:t>00</w:t>
                  </w:r>
                  <w:r>
                    <w:rPr>
                      <w:color w:val="000000" w:themeColor="text1"/>
                      <w:sz w:val="18"/>
                      <w:szCs w:val="18"/>
                      <w14:textFill>
                        <w14:solidFill>
                          <w14:schemeClr w14:val="tx1"/>
                        </w14:solidFill>
                      </w14:textFill>
                    </w:rPr>
                    <w:t>m</w:t>
                  </w:r>
                  <w:r>
                    <w:rPr>
                      <w:color w:val="000000" w:themeColor="text1"/>
                      <w:sz w:val="18"/>
                      <w:szCs w:val="18"/>
                      <w:vertAlign w:val="superscript"/>
                      <w14:textFill>
                        <w14:solidFill>
                          <w14:schemeClr w14:val="tx1"/>
                        </w14:solidFill>
                      </w14:textFill>
                    </w:rPr>
                    <w:t>3</w:t>
                  </w:r>
                  <w:r>
                    <w:rPr>
                      <w:color w:val="000000" w:themeColor="text1"/>
                      <w:sz w:val="18"/>
                      <w:szCs w:val="18"/>
                      <w14:textFill>
                        <w14:solidFill>
                          <w14:schemeClr w14:val="tx1"/>
                        </w14:solidFill>
                      </w14:textFill>
                    </w:rPr>
                    <w:t>沉淀池</w:t>
                  </w:r>
                  <w:r>
                    <w:rPr>
                      <w:rFonts w:hint="eastAsia"/>
                      <w:color w:val="000000" w:themeColor="text1"/>
                      <w:sz w:val="18"/>
                      <w:szCs w:val="18"/>
                      <w:lang w:eastAsia="zh-CN"/>
                      <w14:textFill>
                        <w14:solidFill>
                          <w14:schemeClr w14:val="tx1"/>
                        </w14:solidFill>
                      </w14:textFill>
                    </w:rPr>
                    <w:t>（</w:t>
                  </w:r>
                  <w:r>
                    <w:rPr>
                      <w:rFonts w:hint="eastAsia"/>
                      <w:color w:val="000000" w:themeColor="text1"/>
                      <w:sz w:val="18"/>
                      <w:szCs w:val="18"/>
                      <w:lang w:val="en-US" w:eastAsia="zh-CN"/>
                      <w14:textFill>
                        <w14:solidFill>
                          <w14:schemeClr w14:val="tx1"/>
                        </w14:solidFill>
                      </w14:textFill>
                    </w:rPr>
                    <w:t>三级沉淀</w:t>
                  </w:r>
                  <w:r>
                    <w:rPr>
                      <w:rFonts w:hint="eastAsia"/>
                      <w:color w:val="000000" w:themeColor="text1"/>
                      <w:sz w:val="18"/>
                      <w:szCs w:val="18"/>
                      <w:lang w:eastAsia="zh-CN"/>
                      <w14:textFill>
                        <w14:solidFill>
                          <w14:schemeClr w14:val="tx1"/>
                        </w14:solidFill>
                      </w14:textFill>
                    </w:rPr>
                    <w:t>）</w:t>
                  </w:r>
                  <w:r>
                    <w:rPr>
                      <w:rFonts w:hint="eastAsia"/>
                      <w:color w:val="000000" w:themeColor="text1"/>
                      <w:sz w:val="18"/>
                      <w:szCs w:val="18"/>
                      <w14:textFill>
                        <w14:solidFill>
                          <w14:schemeClr w14:val="tx1"/>
                        </w14:solidFill>
                      </w14:textFill>
                    </w:rPr>
                    <w:t>，过水清洗废水</w:t>
                  </w:r>
                  <w:r>
                    <w:rPr>
                      <w:rFonts w:hint="eastAsia"/>
                      <w:color w:val="000000" w:themeColor="text1"/>
                      <w:sz w:val="18"/>
                      <w:szCs w:val="18"/>
                      <w:lang w:eastAsia="zh-CN"/>
                      <w14:textFill>
                        <w14:solidFill>
                          <w14:schemeClr w14:val="tx1"/>
                        </w14:solidFill>
                      </w14:textFill>
                    </w:rPr>
                    <w:t>、地面拖洗废水</w:t>
                  </w:r>
                  <w:r>
                    <w:rPr>
                      <w:color w:val="000000" w:themeColor="text1"/>
                      <w:sz w:val="18"/>
                      <w:szCs w:val="18"/>
                      <w14:textFill>
                        <w14:solidFill>
                          <w14:schemeClr w14:val="tx1"/>
                        </w14:solidFill>
                      </w14:textFill>
                    </w:rPr>
                    <w:t>经</w:t>
                  </w:r>
                  <w:r>
                    <w:rPr>
                      <w:rFonts w:hint="eastAsia"/>
                      <w:color w:val="000000" w:themeColor="text1"/>
                      <w:sz w:val="18"/>
                      <w:szCs w:val="18"/>
                      <w:lang w:val="en-US" w:eastAsia="zh-CN"/>
                      <w14:textFill>
                        <w14:solidFill>
                          <w14:schemeClr w14:val="tx1"/>
                        </w14:solidFill>
                      </w14:textFill>
                    </w:rPr>
                    <w:t>三级</w:t>
                  </w:r>
                  <w:r>
                    <w:rPr>
                      <w:color w:val="000000" w:themeColor="text1"/>
                      <w:sz w:val="18"/>
                      <w:szCs w:val="18"/>
                      <w14:textFill>
                        <w14:solidFill>
                          <w14:schemeClr w14:val="tx1"/>
                        </w14:solidFill>
                      </w14:textFill>
                    </w:rPr>
                    <w:t>沉淀处理后回用于生产</w:t>
                  </w:r>
                  <w:r>
                    <w:rPr>
                      <w:rFonts w:hint="eastAsia"/>
                      <w:color w:val="000000" w:themeColor="text1"/>
                      <w:sz w:val="18"/>
                      <w:szCs w:val="18"/>
                      <w14:textFill>
                        <w14:solidFill>
                          <w14:schemeClr w14:val="tx1"/>
                        </w14:solidFill>
                      </w14:textFill>
                    </w:rPr>
                    <w:t>；</w:t>
                  </w:r>
                </w:p>
                <w:p w14:paraId="5781F9F0">
                  <w:pPr>
                    <w:pStyle w:val="480"/>
                    <w:ind w:firstLine="0"/>
                    <w:jc w:val="left"/>
                    <w:rPr>
                      <w:b/>
                      <w:bCs/>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w:t>
                  </w:r>
                  <w:r>
                    <w:rPr>
                      <w:rFonts w:hint="eastAsia"/>
                      <w:color w:val="000000" w:themeColor="text1"/>
                      <w:sz w:val="18"/>
                      <w:szCs w:val="18"/>
                      <w:lang w:val="en-US" w:eastAsia="zh-CN"/>
                      <w14:textFill>
                        <w14:solidFill>
                          <w14:schemeClr w14:val="tx1"/>
                        </w14:solidFill>
                      </w14:textFill>
                    </w:rPr>
                    <w:t>新建</w:t>
                  </w:r>
                  <w:r>
                    <w:rPr>
                      <w:rFonts w:hint="eastAsia"/>
                      <w:color w:val="000000" w:themeColor="text1"/>
                      <w:sz w:val="18"/>
                      <w:szCs w:val="18"/>
                      <w14:textFill>
                        <w14:solidFill>
                          <w14:schemeClr w14:val="tx1"/>
                        </w14:solidFill>
                      </w14:textFill>
                    </w:rPr>
                    <w:t>1个洗车平台，</w:t>
                  </w:r>
                  <w:r>
                    <w:rPr>
                      <w:color w:val="000000" w:themeColor="text1"/>
                      <w:sz w:val="18"/>
                      <w:szCs w:val="18"/>
                      <w14:textFill>
                        <w14:solidFill>
                          <w14:schemeClr w14:val="tx1"/>
                        </w14:solidFill>
                      </w14:textFill>
                    </w:rPr>
                    <w:t>洗车水循环使用</w:t>
                  </w:r>
                  <w:r>
                    <w:rPr>
                      <w:rFonts w:hint="eastAsia"/>
                      <w:color w:val="000000" w:themeColor="text1"/>
                      <w:sz w:val="18"/>
                      <w:szCs w:val="18"/>
                      <w14:textFill>
                        <w14:solidFill>
                          <w14:schemeClr w14:val="tx1"/>
                        </w14:solidFill>
                      </w14:textFill>
                    </w:rPr>
                    <w:t>，洗车平台设置1个沉淀池，容积10m</w:t>
                  </w:r>
                  <w:r>
                    <w:rPr>
                      <w:rFonts w:hint="eastAsia"/>
                      <w:color w:val="000000" w:themeColor="text1"/>
                      <w:sz w:val="18"/>
                      <w:szCs w:val="18"/>
                      <w:vertAlign w:val="superscript"/>
                      <w14:textFill>
                        <w14:solidFill>
                          <w14:schemeClr w14:val="tx1"/>
                        </w14:solidFill>
                      </w14:textFill>
                    </w:rPr>
                    <w:t>3</w:t>
                  </w:r>
                  <w:r>
                    <w:rPr>
                      <w:rFonts w:hint="eastAsia"/>
                      <w:color w:val="000000" w:themeColor="text1"/>
                      <w:sz w:val="18"/>
                      <w:szCs w:val="18"/>
                      <w14:textFill>
                        <w14:solidFill>
                          <w14:schemeClr w14:val="tx1"/>
                        </w14:solidFill>
                      </w14:textFill>
                    </w:rPr>
                    <w:t>（5m*5m*0.4m）。</w:t>
                  </w:r>
                </w:p>
              </w:tc>
              <w:tc>
                <w:tcPr>
                  <w:tcW w:w="576" w:type="pct"/>
                  <w:vAlign w:val="center"/>
                </w:tcPr>
                <w:p w14:paraId="305E5038">
                  <w:pPr>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新建</w:t>
                  </w:r>
                </w:p>
              </w:tc>
            </w:tr>
            <w:tr w14:paraId="6FA4EF3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Merge w:val="continue"/>
                  <w:vAlign w:val="center"/>
                </w:tcPr>
                <w:p w14:paraId="612DF480">
                  <w:pPr>
                    <w:pStyle w:val="478"/>
                    <w:numPr>
                      <w:ilvl w:val="0"/>
                      <w:numId w:val="0"/>
                    </w:numPr>
                    <w:rPr>
                      <w:b w:val="0"/>
                      <w:bCs/>
                      <w:color w:val="000000" w:themeColor="text1"/>
                      <w:sz w:val="18"/>
                      <w:szCs w:val="18"/>
                      <w14:textFill>
                        <w14:solidFill>
                          <w14:schemeClr w14:val="tx1"/>
                        </w14:solidFill>
                      </w14:textFill>
                    </w:rPr>
                  </w:pPr>
                </w:p>
              </w:tc>
              <w:tc>
                <w:tcPr>
                  <w:tcW w:w="650" w:type="pct"/>
                  <w:vAlign w:val="center"/>
                </w:tcPr>
                <w:p w14:paraId="3B09AD50">
                  <w:pPr>
                    <w:pStyle w:val="478"/>
                    <w:numPr>
                      <w:ilvl w:val="0"/>
                      <w:numId w:val="0"/>
                    </w:numPr>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废气</w:t>
                  </w:r>
                </w:p>
              </w:tc>
              <w:tc>
                <w:tcPr>
                  <w:tcW w:w="3318" w:type="pct"/>
                  <w:vAlign w:val="center"/>
                </w:tcPr>
                <w:p w14:paraId="7D4AB598">
                  <w:pPr>
                    <w:widowControl/>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1</w:t>
                  </w:r>
                  <w:r>
                    <w:rPr>
                      <w:bCs/>
                      <w:color w:val="000000" w:themeColor="text1"/>
                      <w:sz w:val="18"/>
                      <w:szCs w:val="18"/>
                      <w14:textFill>
                        <w14:solidFill>
                          <w14:schemeClr w14:val="tx1"/>
                        </w14:solidFill>
                      </w14:textFill>
                    </w:rPr>
                    <w:t>、</w:t>
                  </w:r>
                  <w:r>
                    <w:rPr>
                      <w:rFonts w:hint="eastAsia"/>
                      <w:bCs/>
                      <w:color w:val="000000" w:themeColor="text1"/>
                      <w:sz w:val="18"/>
                      <w:szCs w:val="18"/>
                      <w14:textFill>
                        <w14:solidFill>
                          <w14:schemeClr w14:val="tx1"/>
                        </w14:solidFill>
                      </w14:textFill>
                    </w:rPr>
                    <w:t>破碎、筛分粉尘、投料粉尘、搅拌粉尘、堆场扬尘经洒水抑尘处理后无组织排放；</w:t>
                  </w:r>
                </w:p>
                <w:p w14:paraId="362578C3">
                  <w:pPr>
                    <w:widowControl/>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2</w:t>
                  </w:r>
                  <w:r>
                    <w:rPr>
                      <w:bCs/>
                      <w:color w:val="000000" w:themeColor="text1"/>
                      <w:sz w:val="18"/>
                      <w:szCs w:val="18"/>
                      <w14:textFill>
                        <w14:solidFill>
                          <w14:schemeClr w14:val="tx1"/>
                        </w14:solidFill>
                      </w14:textFill>
                    </w:rPr>
                    <w:t>、</w:t>
                  </w:r>
                  <w:r>
                    <w:rPr>
                      <w:rFonts w:hint="eastAsia"/>
                      <w:bCs/>
                      <w:color w:val="000000" w:themeColor="text1"/>
                      <w:sz w:val="18"/>
                      <w:szCs w:val="18"/>
                      <w14:textFill>
                        <w14:solidFill>
                          <w14:schemeClr w14:val="tx1"/>
                        </w14:solidFill>
                      </w14:textFill>
                    </w:rPr>
                    <w:t>车辆运输动力起尘经洒水抑尘处理后无组织排放</w:t>
                  </w:r>
                </w:p>
                <w:p w14:paraId="5696A416">
                  <w:pPr>
                    <w:widowControl/>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3</w:t>
                  </w:r>
                  <w:r>
                    <w:rPr>
                      <w:bCs/>
                      <w:color w:val="000000" w:themeColor="text1"/>
                      <w:sz w:val="18"/>
                      <w:szCs w:val="18"/>
                      <w14:textFill>
                        <w14:solidFill>
                          <w14:schemeClr w14:val="tx1"/>
                        </w14:solidFill>
                      </w14:textFill>
                    </w:rPr>
                    <w:t>、</w:t>
                  </w:r>
                  <w:r>
                    <w:rPr>
                      <w:rFonts w:hint="eastAsia"/>
                      <w:bCs/>
                      <w:color w:val="000000" w:themeColor="text1"/>
                      <w:sz w:val="18"/>
                      <w:szCs w:val="18"/>
                      <w14:textFill>
                        <w14:solidFill>
                          <w14:schemeClr w14:val="tx1"/>
                        </w14:solidFill>
                      </w14:textFill>
                    </w:rPr>
                    <w:t>传送带输送粉尘经密闭传送处理后无组织排放</w:t>
                  </w:r>
                </w:p>
                <w:p w14:paraId="6C21B243">
                  <w:pPr>
                    <w:widowControl/>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4</w:t>
                  </w:r>
                  <w:r>
                    <w:rPr>
                      <w:bCs/>
                      <w:color w:val="000000" w:themeColor="text1"/>
                      <w:sz w:val="18"/>
                      <w:szCs w:val="18"/>
                      <w14:textFill>
                        <w14:solidFill>
                          <w14:schemeClr w14:val="tx1"/>
                        </w14:solidFill>
                      </w14:textFill>
                    </w:rPr>
                    <w:t>、</w:t>
                  </w:r>
                  <w:r>
                    <w:rPr>
                      <w:rFonts w:hint="eastAsia"/>
                      <w:bCs/>
                      <w:color w:val="000000" w:themeColor="text1"/>
                      <w:sz w:val="18"/>
                      <w:szCs w:val="18"/>
                      <w14:textFill>
                        <w14:solidFill>
                          <w14:schemeClr w14:val="tx1"/>
                        </w14:solidFill>
                      </w14:textFill>
                    </w:rPr>
                    <w:t>筒仓呼吸粉尘通过脉冲布袋除尘器处理后无组织排放</w:t>
                  </w:r>
                </w:p>
              </w:tc>
              <w:tc>
                <w:tcPr>
                  <w:tcW w:w="576" w:type="pct"/>
                  <w:vAlign w:val="center"/>
                </w:tcPr>
                <w:p w14:paraId="63C09F1C">
                  <w:pPr>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新建</w:t>
                  </w:r>
                </w:p>
              </w:tc>
            </w:tr>
            <w:tr w14:paraId="53C4308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Merge w:val="continue"/>
                  <w:vAlign w:val="center"/>
                </w:tcPr>
                <w:p w14:paraId="257A8027">
                  <w:pPr>
                    <w:pStyle w:val="478"/>
                    <w:numPr>
                      <w:ilvl w:val="0"/>
                      <w:numId w:val="0"/>
                    </w:numPr>
                    <w:rPr>
                      <w:b w:val="0"/>
                      <w:bCs/>
                      <w:color w:val="000000" w:themeColor="text1"/>
                      <w:sz w:val="18"/>
                      <w:szCs w:val="18"/>
                      <w14:textFill>
                        <w14:solidFill>
                          <w14:schemeClr w14:val="tx1"/>
                        </w14:solidFill>
                      </w14:textFill>
                    </w:rPr>
                  </w:pPr>
                </w:p>
              </w:tc>
              <w:tc>
                <w:tcPr>
                  <w:tcW w:w="650" w:type="pct"/>
                  <w:vAlign w:val="center"/>
                </w:tcPr>
                <w:p w14:paraId="67932A36">
                  <w:pPr>
                    <w:pStyle w:val="478"/>
                    <w:numPr>
                      <w:ilvl w:val="0"/>
                      <w:numId w:val="0"/>
                    </w:numPr>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噪声</w:t>
                  </w:r>
                </w:p>
              </w:tc>
              <w:tc>
                <w:tcPr>
                  <w:tcW w:w="3318" w:type="pct"/>
                  <w:vAlign w:val="center"/>
                </w:tcPr>
                <w:p w14:paraId="13C755DA">
                  <w:pPr>
                    <w:pStyle w:val="478"/>
                    <w:numPr>
                      <w:ilvl w:val="0"/>
                      <w:numId w:val="0"/>
                    </w:numPr>
                    <w:jc w:val="left"/>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采取优选低噪设备、车间内布置、隔声、减振等措施</w:t>
                  </w:r>
                </w:p>
              </w:tc>
              <w:tc>
                <w:tcPr>
                  <w:tcW w:w="576" w:type="pct"/>
                  <w:vAlign w:val="center"/>
                </w:tcPr>
                <w:p w14:paraId="613545D0">
                  <w:pPr>
                    <w:jc w:val="center"/>
                    <w:rPr>
                      <w:rFonts w:hint="eastAsia" w:ascii="宋体" w:hAnsi="宋体" w:cs="宋体"/>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新建</w:t>
                  </w:r>
                </w:p>
              </w:tc>
            </w:tr>
            <w:tr w14:paraId="1D4327F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Merge w:val="continue"/>
                  <w:vAlign w:val="center"/>
                </w:tcPr>
                <w:p w14:paraId="288771F5">
                  <w:pPr>
                    <w:pStyle w:val="478"/>
                    <w:numPr>
                      <w:ilvl w:val="0"/>
                      <w:numId w:val="0"/>
                    </w:numPr>
                    <w:rPr>
                      <w:b w:val="0"/>
                      <w:bCs/>
                      <w:color w:val="000000" w:themeColor="text1"/>
                      <w:sz w:val="18"/>
                      <w:szCs w:val="18"/>
                      <w14:textFill>
                        <w14:solidFill>
                          <w14:schemeClr w14:val="tx1"/>
                        </w14:solidFill>
                      </w14:textFill>
                    </w:rPr>
                  </w:pPr>
                </w:p>
              </w:tc>
              <w:tc>
                <w:tcPr>
                  <w:tcW w:w="650" w:type="pct"/>
                  <w:vAlign w:val="center"/>
                </w:tcPr>
                <w:p w14:paraId="6F2B8A95">
                  <w:pPr>
                    <w:pStyle w:val="478"/>
                    <w:numPr>
                      <w:ilvl w:val="0"/>
                      <w:numId w:val="0"/>
                    </w:numPr>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固废</w:t>
                  </w:r>
                </w:p>
              </w:tc>
              <w:tc>
                <w:tcPr>
                  <w:tcW w:w="3318" w:type="pct"/>
                  <w:vAlign w:val="center"/>
                </w:tcPr>
                <w:p w14:paraId="74707A60">
                  <w:pPr>
                    <w:pStyle w:val="478"/>
                    <w:numPr>
                      <w:ilvl w:val="0"/>
                      <w:numId w:val="0"/>
                    </w:numPr>
                    <w:jc w:val="both"/>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一般固废间</w:t>
                  </w:r>
                  <w:r>
                    <w:rPr>
                      <w:rFonts w:hint="eastAsia"/>
                      <w:b w:val="0"/>
                      <w:bCs/>
                      <w:color w:val="000000" w:themeColor="text1"/>
                      <w:sz w:val="18"/>
                      <w:szCs w:val="18"/>
                      <w14:textFill>
                        <w14:solidFill>
                          <w14:schemeClr w14:val="tx1"/>
                        </w14:solidFill>
                      </w14:textFill>
                    </w:rPr>
                    <w:t>600</w:t>
                  </w:r>
                  <w:r>
                    <w:rPr>
                      <w:b w:val="0"/>
                      <w:bCs/>
                      <w:color w:val="000000" w:themeColor="text1"/>
                      <w:sz w:val="18"/>
                      <w:szCs w:val="18"/>
                      <w14:textFill>
                        <w14:solidFill>
                          <w14:schemeClr w14:val="tx1"/>
                        </w14:solidFill>
                      </w14:textFill>
                    </w:rPr>
                    <w:t>m</w:t>
                  </w:r>
                  <w:r>
                    <w:rPr>
                      <w:b w:val="0"/>
                      <w:bCs/>
                      <w:color w:val="000000" w:themeColor="text1"/>
                      <w:sz w:val="18"/>
                      <w:szCs w:val="18"/>
                      <w:vertAlign w:val="superscript"/>
                      <w14:textFill>
                        <w14:solidFill>
                          <w14:schemeClr w14:val="tx1"/>
                        </w14:solidFill>
                      </w14:textFill>
                    </w:rPr>
                    <w:t>2</w:t>
                  </w:r>
                  <w:r>
                    <w:rPr>
                      <w:b w:val="0"/>
                      <w:bCs/>
                      <w:color w:val="000000" w:themeColor="text1"/>
                      <w:sz w:val="18"/>
                      <w:szCs w:val="18"/>
                      <w14:textFill>
                        <w14:solidFill>
                          <w14:schemeClr w14:val="tx1"/>
                        </w14:solidFill>
                      </w14:textFill>
                    </w:rPr>
                    <w:t>，位于</w:t>
                  </w:r>
                  <w:r>
                    <w:rPr>
                      <w:rFonts w:hint="eastAsia"/>
                      <w:b w:val="0"/>
                      <w:bCs/>
                      <w:color w:val="000000" w:themeColor="text1"/>
                      <w:sz w:val="18"/>
                      <w:szCs w:val="18"/>
                      <w14:textFill>
                        <w14:solidFill>
                          <w14:schemeClr w14:val="tx1"/>
                        </w14:solidFill>
                      </w14:textFill>
                    </w:rPr>
                    <w:t>生产厂房的西</w:t>
                  </w:r>
                  <w:r>
                    <w:rPr>
                      <w:b w:val="0"/>
                      <w:bCs/>
                      <w:color w:val="000000" w:themeColor="text1"/>
                      <w:sz w:val="18"/>
                      <w:szCs w:val="18"/>
                      <w14:textFill>
                        <w14:solidFill>
                          <w14:schemeClr w14:val="tx1"/>
                        </w14:solidFill>
                      </w14:textFill>
                    </w:rPr>
                    <w:t>南侧</w:t>
                  </w:r>
                </w:p>
                <w:p w14:paraId="1A13A5A5">
                  <w:pPr>
                    <w:pStyle w:val="478"/>
                    <w:numPr>
                      <w:ilvl w:val="0"/>
                      <w:numId w:val="0"/>
                    </w:numPr>
                    <w:jc w:val="both"/>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危废暂存间</w:t>
                  </w:r>
                  <w:r>
                    <w:rPr>
                      <w:rFonts w:hint="eastAsia"/>
                      <w:b w:val="0"/>
                      <w:bCs/>
                      <w:color w:val="000000" w:themeColor="text1"/>
                      <w:sz w:val="18"/>
                      <w:szCs w:val="18"/>
                      <w14:textFill>
                        <w14:solidFill>
                          <w14:schemeClr w14:val="tx1"/>
                        </w14:solidFill>
                      </w14:textFill>
                    </w:rPr>
                    <w:t>5</w:t>
                  </w:r>
                  <w:r>
                    <w:rPr>
                      <w:b w:val="0"/>
                      <w:bCs/>
                      <w:color w:val="000000" w:themeColor="text1"/>
                      <w:sz w:val="18"/>
                      <w:szCs w:val="18"/>
                      <w14:textFill>
                        <w14:solidFill>
                          <w14:schemeClr w14:val="tx1"/>
                        </w14:solidFill>
                      </w14:textFill>
                    </w:rPr>
                    <w:t>m</w:t>
                  </w:r>
                  <w:r>
                    <w:rPr>
                      <w:b w:val="0"/>
                      <w:bCs/>
                      <w:color w:val="000000" w:themeColor="text1"/>
                      <w:sz w:val="18"/>
                      <w:szCs w:val="18"/>
                      <w:vertAlign w:val="superscript"/>
                      <w14:textFill>
                        <w14:solidFill>
                          <w14:schemeClr w14:val="tx1"/>
                        </w14:solidFill>
                      </w14:textFill>
                    </w:rPr>
                    <w:t>2</w:t>
                  </w:r>
                  <w:r>
                    <w:rPr>
                      <w:b w:val="0"/>
                      <w:bCs/>
                      <w:color w:val="000000" w:themeColor="text1"/>
                      <w:sz w:val="18"/>
                      <w:szCs w:val="18"/>
                      <w14:textFill>
                        <w14:solidFill>
                          <w14:schemeClr w14:val="tx1"/>
                        </w14:solidFill>
                      </w14:textFill>
                    </w:rPr>
                    <w:t>，位于</w:t>
                  </w:r>
                  <w:r>
                    <w:rPr>
                      <w:rFonts w:hint="eastAsia"/>
                      <w:b w:val="0"/>
                      <w:bCs/>
                      <w:color w:val="000000" w:themeColor="text1"/>
                      <w:sz w:val="18"/>
                      <w:szCs w:val="18"/>
                      <w14:textFill>
                        <w14:solidFill>
                          <w14:schemeClr w14:val="tx1"/>
                        </w14:solidFill>
                      </w14:textFill>
                    </w:rPr>
                    <w:t>生产厂房的</w:t>
                  </w:r>
                  <w:r>
                    <w:rPr>
                      <w:b w:val="0"/>
                      <w:bCs/>
                      <w:color w:val="000000" w:themeColor="text1"/>
                      <w:sz w:val="18"/>
                      <w:szCs w:val="18"/>
                      <w14:textFill>
                        <w14:solidFill>
                          <w14:schemeClr w14:val="tx1"/>
                        </w14:solidFill>
                      </w14:textFill>
                    </w:rPr>
                    <w:t>南侧</w:t>
                  </w:r>
                </w:p>
              </w:tc>
              <w:tc>
                <w:tcPr>
                  <w:tcW w:w="576" w:type="pct"/>
                  <w:vAlign w:val="center"/>
                </w:tcPr>
                <w:p w14:paraId="7EC66CA6">
                  <w:pPr>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新建</w:t>
                  </w:r>
                </w:p>
              </w:tc>
            </w:tr>
            <w:tr w14:paraId="64E6CE0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56" w:type="pct"/>
                  <w:vMerge w:val="continue"/>
                  <w:vAlign w:val="center"/>
                </w:tcPr>
                <w:p w14:paraId="3461451D">
                  <w:pPr>
                    <w:pStyle w:val="478"/>
                    <w:numPr>
                      <w:ilvl w:val="0"/>
                      <w:numId w:val="0"/>
                    </w:numPr>
                    <w:rPr>
                      <w:b w:val="0"/>
                      <w:bCs/>
                      <w:color w:val="000000" w:themeColor="text1"/>
                      <w:sz w:val="18"/>
                      <w:szCs w:val="18"/>
                      <w14:textFill>
                        <w14:solidFill>
                          <w14:schemeClr w14:val="tx1"/>
                        </w14:solidFill>
                      </w14:textFill>
                    </w:rPr>
                  </w:pPr>
                </w:p>
              </w:tc>
              <w:tc>
                <w:tcPr>
                  <w:tcW w:w="650" w:type="pct"/>
                  <w:vAlign w:val="center"/>
                </w:tcPr>
                <w:p w14:paraId="12A53238">
                  <w:pPr>
                    <w:jc w:val="center"/>
                    <w:rPr>
                      <w:color w:val="000000" w:themeColor="text1"/>
                      <w:spacing w:val="3"/>
                      <w:sz w:val="18"/>
                      <w:szCs w:val="18"/>
                      <w14:textFill>
                        <w14:solidFill>
                          <w14:schemeClr w14:val="tx1"/>
                        </w14:solidFill>
                      </w14:textFill>
                    </w:rPr>
                  </w:pPr>
                  <w:r>
                    <w:rPr>
                      <w:rFonts w:hint="eastAsia"/>
                      <w:color w:val="000000" w:themeColor="text1"/>
                      <w:spacing w:val="3"/>
                      <w:sz w:val="18"/>
                      <w:szCs w:val="18"/>
                      <w14:textFill>
                        <w14:solidFill>
                          <w14:schemeClr w14:val="tx1"/>
                        </w14:solidFill>
                      </w14:textFill>
                    </w:rPr>
                    <w:t>土壤、地下水</w:t>
                  </w:r>
                </w:p>
              </w:tc>
              <w:tc>
                <w:tcPr>
                  <w:tcW w:w="3318" w:type="pct"/>
                  <w:vAlign w:val="center"/>
                </w:tcPr>
                <w:p w14:paraId="66844929">
                  <w:pPr>
                    <w:pStyle w:val="478"/>
                    <w:numPr>
                      <w:ilvl w:val="0"/>
                      <w:numId w:val="0"/>
                    </w:numPr>
                    <w:jc w:val="both"/>
                    <w:rPr>
                      <w:b w:val="0"/>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采用分区防渗措施，将隔油池、危险废物暂存间设为重点防渗</w:t>
                  </w:r>
                </w:p>
              </w:tc>
              <w:tc>
                <w:tcPr>
                  <w:tcW w:w="576" w:type="pct"/>
                  <w:vAlign w:val="center"/>
                </w:tcPr>
                <w:p w14:paraId="7BF79A49">
                  <w:pPr>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新建</w:t>
                  </w:r>
                </w:p>
              </w:tc>
            </w:tr>
          </w:tbl>
          <w:p w14:paraId="057B48A7">
            <w:pPr>
              <w:pStyle w:val="12"/>
              <w:spacing w:before="120" w:beforeLines="50" w:line="360" w:lineRule="auto"/>
              <w:ind w:firstLine="482"/>
              <w:jc w:val="left"/>
              <w:rPr>
                <w:b/>
                <w:bCs/>
                <w:color w:val="000000" w:themeColor="text1"/>
                <w:sz w:val="24"/>
                <w:szCs w:val="24"/>
                <w14:textFill>
                  <w14:solidFill>
                    <w14:schemeClr w14:val="tx1"/>
                  </w14:solidFill>
                </w14:textFill>
              </w:rPr>
            </w:pPr>
            <w:r>
              <w:rPr>
                <w:b/>
                <w:bCs/>
                <w:color w:val="000000" w:themeColor="text1"/>
                <w:sz w:val="24"/>
                <w:szCs w:val="24"/>
                <w14:textFill>
                  <w14:solidFill>
                    <w14:schemeClr w14:val="tx1"/>
                  </w14:solidFill>
                </w14:textFill>
              </w:rPr>
              <w:t>三、项目主要生产设备</w:t>
            </w:r>
          </w:p>
          <w:p w14:paraId="659EDB2C">
            <w:pPr>
              <w:pStyle w:val="18"/>
              <w:spacing w:after="0" w:line="360" w:lineRule="auto"/>
              <w:ind w:left="0" w:leftChars="0" w:firstLine="480" w:firstLineChars="200"/>
              <w:jc w:val="left"/>
              <w:rPr>
                <w:color w:val="000000" w:themeColor="text1"/>
                <w:szCs w:val="24"/>
                <w14:textFill>
                  <w14:solidFill>
                    <w14:schemeClr w14:val="tx1"/>
                  </w14:solidFill>
                </w14:textFill>
              </w:rPr>
            </w:pPr>
            <w:r>
              <w:rPr>
                <w:color w:val="000000" w:themeColor="text1"/>
                <w:szCs w:val="24"/>
                <w14:textFill>
                  <w14:solidFill>
                    <w14:schemeClr w14:val="tx1"/>
                  </w14:solidFill>
                </w14:textFill>
              </w:rPr>
              <w:t>本项目</w:t>
            </w:r>
            <w:r>
              <w:rPr>
                <w:rFonts w:hint="eastAsia"/>
                <w:color w:val="000000" w:themeColor="text1"/>
                <w:szCs w:val="24"/>
                <w14:textFill>
                  <w14:solidFill>
                    <w14:schemeClr w14:val="tx1"/>
                  </w14:solidFill>
                </w14:textFill>
              </w:rPr>
              <w:t>为二期工程，属扩</w:t>
            </w:r>
            <w:r>
              <w:rPr>
                <w:color w:val="000000" w:themeColor="text1"/>
                <w:szCs w:val="24"/>
                <w14:textFill>
                  <w14:solidFill>
                    <w14:schemeClr w14:val="tx1"/>
                  </w14:solidFill>
                </w14:textFill>
              </w:rPr>
              <w:t>建项目，</w:t>
            </w:r>
            <w:r>
              <w:rPr>
                <w:rFonts w:hint="eastAsia"/>
                <w:color w:val="000000" w:themeColor="text1"/>
                <w:szCs w:val="24"/>
                <w14:textFill>
                  <w14:solidFill>
                    <w14:schemeClr w14:val="tx1"/>
                  </w14:solidFill>
                </w14:textFill>
              </w:rPr>
              <w:t>需使用生产设备与厂区内现有项目一期工程无关，皆为新增，现有项目设备情况在现有项目介绍中列出，不在此列出。本项目</w:t>
            </w:r>
            <w:r>
              <w:rPr>
                <w:color w:val="000000" w:themeColor="text1"/>
                <w:szCs w:val="24"/>
                <w14:textFill>
                  <w14:solidFill>
                    <w14:schemeClr w14:val="tx1"/>
                  </w14:solidFill>
                </w14:textFill>
              </w:rPr>
              <w:t>主要设备见表2-</w:t>
            </w:r>
            <w:r>
              <w:rPr>
                <w:rFonts w:hint="eastAsia"/>
                <w:color w:val="000000" w:themeColor="text1"/>
                <w:szCs w:val="24"/>
                <w14:textFill>
                  <w14:solidFill>
                    <w14:schemeClr w14:val="tx1"/>
                  </w14:solidFill>
                </w14:textFill>
              </w:rPr>
              <w:t>2</w:t>
            </w:r>
            <w:r>
              <w:rPr>
                <w:color w:val="000000" w:themeColor="text1"/>
                <w:szCs w:val="24"/>
                <w14:textFill>
                  <w14:solidFill>
                    <w14:schemeClr w14:val="tx1"/>
                  </w14:solidFill>
                </w14:textFill>
              </w:rPr>
              <w:t>。</w:t>
            </w:r>
          </w:p>
          <w:p w14:paraId="1A4B2325">
            <w:pPr>
              <w:jc w:val="center"/>
              <w:rPr>
                <w:b/>
                <w:bCs/>
                <w:color w:val="000000" w:themeColor="text1"/>
                <w:sz w:val="24"/>
                <w14:textFill>
                  <w14:solidFill>
                    <w14:schemeClr w14:val="tx1"/>
                  </w14:solidFill>
                </w14:textFill>
              </w:rPr>
            </w:pPr>
            <w:r>
              <w:rPr>
                <w:b/>
                <w:bCs/>
                <w:color w:val="000000" w:themeColor="text1"/>
                <w:kern w:val="0"/>
                <w:sz w:val="24"/>
                <w14:textFill>
                  <w14:solidFill>
                    <w14:schemeClr w14:val="tx1"/>
                  </w14:solidFill>
                </w14:textFill>
              </w:rPr>
              <w:t>表2-</w:t>
            </w:r>
            <w:r>
              <w:rPr>
                <w:rFonts w:hint="eastAsia"/>
                <w:b/>
                <w:bCs/>
                <w:color w:val="000000" w:themeColor="text1"/>
                <w:kern w:val="0"/>
                <w:sz w:val="24"/>
                <w14:textFill>
                  <w14:solidFill>
                    <w14:schemeClr w14:val="tx1"/>
                  </w14:solidFill>
                </w14:textFill>
              </w:rPr>
              <w:t>2</w:t>
            </w:r>
            <w:r>
              <w:rPr>
                <w:b/>
                <w:bCs/>
                <w:color w:val="000000" w:themeColor="text1"/>
                <w:kern w:val="0"/>
                <w:sz w:val="24"/>
                <w14:textFill>
                  <w14:solidFill>
                    <w14:schemeClr w14:val="tx1"/>
                  </w14:solidFill>
                </w14:textFill>
              </w:rPr>
              <w:t xml:space="preserve">   项目主要生产设备</w:t>
            </w:r>
          </w:p>
          <w:tbl>
            <w:tblPr>
              <w:tblStyle w:val="45"/>
              <w:tblW w:w="4998"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15" w:type="dxa"/>
                <w:left w:w="15" w:type="dxa"/>
                <w:bottom w:w="15" w:type="dxa"/>
                <w:right w:w="15" w:type="dxa"/>
              </w:tblCellMar>
            </w:tblPr>
            <w:tblGrid>
              <w:gridCol w:w="1180"/>
              <w:gridCol w:w="1669"/>
              <w:gridCol w:w="2296"/>
              <w:gridCol w:w="2179"/>
              <w:gridCol w:w="1709"/>
            </w:tblGrid>
            <w:tr w14:paraId="72905397">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15" w:type="dxa"/>
                  <w:left w:w="15" w:type="dxa"/>
                  <w:bottom w:w="15" w:type="dxa"/>
                  <w:right w:w="15" w:type="dxa"/>
                </w:tblCellMar>
              </w:tblPrEx>
              <w:trPr>
                <w:trHeight w:val="227" w:hRule="atLeast"/>
                <w:jc w:val="center"/>
              </w:trPr>
              <w:tc>
                <w:tcPr>
                  <w:tcW w:w="653" w:type="pct"/>
                  <w:vAlign w:val="center"/>
                </w:tcPr>
                <w:p w14:paraId="4F8FF518">
                  <w:pPr>
                    <w:widowControl/>
                    <w:adjustRightInd w:val="0"/>
                    <w:snapToGrid w:val="0"/>
                    <w:jc w:val="center"/>
                    <w:textAlignment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序号</w:t>
                  </w:r>
                </w:p>
              </w:tc>
              <w:tc>
                <w:tcPr>
                  <w:tcW w:w="924" w:type="pct"/>
                  <w:vAlign w:val="center"/>
                </w:tcPr>
                <w:p w14:paraId="60BA6B77">
                  <w:pPr>
                    <w:widowControl/>
                    <w:adjustRightInd w:val="0"/>
                    <w:snapToGrid w:val="0"/>
                    <w:jc w:val="center"/>
                    <w:textAlignment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设备名称</w:t>
                  </w:r>
                </w:p>
              </w:tc>
              <w:tc>
                <w:tcPr>
                  <w:tcW w:w="1271" w:type="pct"/>
                  <w:vAlign w:val="center"/>
                </w:tcPr>
                <w:p w14:paraId="6AB99496">
                  <w:pPr>
                    <w:widowControl/>
                    <w:adjustRightInd w:val="0"/>
                    <w:snapToGrid w:val="0"/>
                    <w:jc w:val="center"/>
                    <w:textAlignment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型号</w:t>
                  </w:r>
                </w:p>
              </w:tc>
              <w:tc>
                <w:tcPr>
                  <w:tcW w:w="1206" w:type="pct"/>
                  <w:vAlign w:val="center"/>
                </w:tcPr>
                <w:p w14:paraId="6C862EF5">
                  <w:pPr>
                    <w:widowControl/>
                    <w:adjustRightInd w:val="0"/>
                    <w:snapToGrid w:val="0"/>
                    <w:jc w:val="center"/>
                    <w:textAlignment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数量</w:t>
                  </w:r>
                </w:p>
              </w:tc>
              <w:tc>
                <w:tcPr>
                  <w:tcW w:w="946" w:type="pct"/>
                  <w:vAlign w:val="center"/>
                </w:tcPr>
                <w:p w14:paraId="72C45F7E">
                  <w:pPr>
                    <w:widowControl/>
                    <w:adjustRightInd w:val="0"/>
                    <w:snapToGrid w:val="0"/>
                    <w:jc w:val="center"/>
                    <w:textAlignment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单位</w:t>
                  </w:r>
                </w:p>
              </w:tc>
            </w:tr>
            <w:tr w14:paraId="2012FB1A">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15" w:type="dxa"/>
                  <w:left w:w="15" w:type="dxa"/>
                  <w:bottom w:w="15" w:type="dxa"/>
                  <w:right w:w="15" w:type="dxa"/>
                </w:tblCellMar>
              </w:tblPrEx>
              <w:trPr>
                <w:trHeight w:val="227" w:hRule="atLeast"/>
                <w:jc w:val="center"/>
              </w:trPr>
              <w:tc>
                <w:tcPr>
                  <w:tcW w:w="653" w:type="pct"/>
                  <w:vAlign w:val="center"/>
                </w:tcPr>
                <w:p w14:paraId="25E3BA93">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w:t>
                  </w:r>
                </w:p>
              </w:tc>
              <w:tc>
                <w:tcPr>
                  <w:tcW w:w="924" w:type="pct"/>
                  <w:vAlign w:val="center"/>
                </w:tcPr>
                <w:p w14:paraId="2C79507A">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颚式破碎机</w:t>
                  </w:r>
                </w:p>
              </w:tc>
              <w:tc>
                <w:tcPr>
                  <w:tcW w:w="1271" w:type="pct"/>
                  <w:vAlign w:val="center"/>
                </w:tcPr>
                <w:p w14:paraId="45111F34">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1/69型</w:t>
                  </w:r>
                </w:p>
              </w:tc>
              <w:tc>
                <w:tcPr>
                  <w:tcW w:w="1206" w:type="pct"/>
                  <w:vAlign w:val="center"/>
                </w:tcPr>
                <w:p w14:paraId="3CE6E149">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p>
              </w:tc>
              <w:tc>
                <w:tcPr>
                  <w:tcW w:w="946" w:type="pct"/>
                  <w:vAlign w:val="center"/>
                </w:tcPr>
                <w:p w14:paraId="005D8DBB">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台</w:t>
                  </w:r>
                </w:p>
              </w:tc>
            </w:tr>
            <w:tr w14:paraId="0D3A7D3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15" w:type="dxa"/>
                  <w:left w:w="15" w:type="dxa"/>
                  <w:bottom w:w="15" w:type="dxa"/>
                  <w:right w:w="15" w:type="dxa"/>
                </w:tblCellMar>
              </w:tblPrEx>
              <w:trPr>
                <w:trHeight w:val="227" w:hRule="atLeast"/>
                <w:jc w:val="center"/>
              </w:trPr>
              <w:tc>
                <w:tcPr>
                  <w:tcW w:w="653" w:type="pct"/>
                  <w:vAlign w:val="center"/>
                </w:tcPr>
                <w:p w14:paraId="1337E8D2">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p>
              </w:tc>
              <w:tc>
                <w:tcPr>
                  <w:tcW w:w="924" w:type="pct"/>
                  <w:vAlign w:val="center"/>
                </w:tcPr>
                <w:p w14:paraId="62EB7004">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反击破碎机</w:t>
                  </w:r>
                </w:p>
              </w:tc>
              <w:tc>
                <w:tcPr>
                  <w:tcW w:w="1271" w:type="pct"/>
                  <w:vAlign w:val="center"/>
                </w:tcPr>
                <w:p w14:paraId="7D353E56">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1/1315型</w:t>
                  </w:r>
                </w:p>
              </w:tc>
              <w:tc>
                <w:tcPr>
                  <w:tcW w:w="1206" w:type="pct"/>
                  <w:vAlign w:val="center"/>
                </w:tcPr>
                <w:p w14:paraId="7EA5773A">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p>
              </w:tc>
              <w:tc>
                <w:tcPr>
                  <w:tcW w:w="946" w:type="pct"/>
                  <w:vAlign w:val="center"/>
                </w:tcPr>
                <w:p w14:paraId="2CDBF45E">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台</w:t>
                  </w:r>
                </w:p>
              </w:tc>
            </w:tr>
            <w:tr w14:paraId="6495DCFF">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15" w:type="dxa"/>
                  <w:left w:w="15" w:type="dxa"/>
                  <w:bottom w:w="15" w:type="dxa"/>
                  <w:right w:w="15" w:type="dxa"/>
                </w:tblCellMar>
              </w:tblPrEx>
              <w:trPr>
                <w:trHeight w:val="227" w:hRule="atLeast"/>
                <w:jc w:val="center"/>
              </w:trPr>
              <w:tc>
                <w:tcPr>
                  <w:tcW w:w="653" w:type="pct"/>
                  <w:vAlign w:val="center"/>
                </w:tcPr>
                <w:p w14:paraId="17E249E6">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w:t>
                  </w:r>
                </w:p>
              </w:tc>
              <w:tc>
                <w:tcPr>
                  <w:tcW w:w="924" w:type="pct"/>
                  <w:vAlign w:val="center"/>
                </w:tcPr>
                <w:p w14:paraId="5F39C8C1">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输送带</w:t>
                  </w:r>
                </w:p>
              </w:tc>
              <w:tc>
                <w:tcPr>
                  <w:tcW w:w="1271" w:type="pct"/>
                  <w:vAlign w:val="center"/>
                </w:tcPr>
                <w:p w14:paraId="46D789E7">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1206" w:type="pct"/>
                  <w:vAlign w:val="center"/>
                </w:tcPr>
                <w:p w14:paraId="55D22B13">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8</w:t>
                  </w:r>
                </w:p>
              </w:tc>
              <w:tc>
                <w:tcPr>
                  <w:tcW w:w="946" w:type="pct"/>
                  <w:vAlign w:val="center"/>
                </w:tcPr>
                <w:p w14:paraId="7ACB4EAB">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条</w:t>
                  </w:r>
                </w:p>
              </w:tc>
            </w:tr>
            <w:tr w14:paraId="3AC0D4CB">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15" w:type="dxa"/>
                  <w:left w:w="15" w:type="dxa"/>
                  <w:bottom w:w="15" w:type="dxa"/>
                  <w:right w:w="15" w:type="dxa"/>
                </w:tblCellMar>
              </w:tblPrEx>
              <w:trPr>
                <w:trHeight w:val="227" w:hRule="atLeast"/>
                <w:jc w:val="center"/>
              </w:trPr>
              <w:tc>
                <w:tcPr>
                  <w:tcW w:w="653" w:type="pct"/>
                  <w:vAlign w:val="center"/>
                </w:tcPr>
                <w:p w14:paraId="644C0B9C">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4</w:t>
                  </w:r>
                </w:p>
              </w:tc>
              <w:tc>
                <w:tcPr>
                  <w:tcW w:w="924" w:type="pct"/>
                  <w:vAlign w:val="center"/>
                </w:tcPr>
                <w:p w14:paraId="54664BDE">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压泥机</w:t>
                  </w:r>
                </w:p>
              </w:tc>
              <w:tc>
                <w:tcPr>
                  <w:tcW w:w="1271" w:type="pct"/>
                  <w:vAlign w:val="center"/>
                </w:tcPr>
                <w:p w14:paraId="73796893">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500型</w:t>
                  </w:r>
                </w:p>
              </w:tc>
              <w:tc>
                <w:tcPr>
                  <w:tcW w:w="1206" w:type="pct"/>
                  <w:vAlign w:val="center"/>
                </w:tcPr>
                <w:p w14:paraId="13ADC2F2">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w:t>
                  </w:r>
                </w:p>
              </w:tc>
              <w:tc>
                <w:tcPr>
                  <w:tcW w:w="946" w:type="pct"/>
                  <w:vAlign w:val="center"/>
                </w:tcPr>
                <w:p w14:paraId="0C1C74FD">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台</w:t>
                  </w:r>
                </w:p>
              </w:tc>
            </w:tr>
            <w:tr w14:paraId="683982A9">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15" w:type="dxa"/>
                  <w:left w:w="15" w:type="dxa"/>
                  <w:bottom w:w="15" w:type="dxa"/>
                  <w:right w:w="15" w:type="dxa"/>
                </w:tblCellMar>
              </w:tblPrEx>
              <w:trPr>
                <w:trHeight w:val="227" w:hRule="atLeast"/>
                <w:jc w:val="center"/>
              </w:trPr>
              <w:tc>
                <w:tcPr>
                  <w:tcW w:w="653" w:type="pct"/>
                  <w:vAlign w:val="center"/>
                </w:tcPr>
                <w:p w14:paraId="12B04325">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w:t>
                  </w:r>
                </w:p>
              </w:tc>
              <w:tc>
                <w:tcPr>
                  <w:tcW w:w="924" w:type="pct"/>
                  <w:vAlign w:val="center"/>
                </w:tcPr>
                <w:p w14:paraId="0F0C9C4A">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送料机</w:t>
                  </w:r>
                </w:p>
              </w:tc>
              <w:tc>
                <w:tcPr>
                  <w:tcW w:w="1271" w:type="pct"/>
                  <w:vAlign w:val="center"/>
                </w:tcPr>
                <w:p w14:paraId="71D47F0C">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1206" w:type="pct"/>
                  <w:vAlign w:val="center"/>
                </w:tcPr>
                <w:p w14:paraId="001AEA19">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w:t>
                  </w:r>
                </w:p>
              </w:tc>
              <w:tc>
                <w:tcPr>
                  <w:tcW w:w="946" w:type="pct"/>
                  <w:vAlign w:val="center"/>
                </w:tcPr>
                <w:p w14:paraId="23936294">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台</w:t>
                  </w:r>
                </w:p>
              </w:tc>
            </w:tr>
            <w:tr w14:paraId="27230BAF">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15" w:type="dxa"/>
                  <w:left w:w="15" w:type="dxa"/>
                  <w:bottom w:w="15" w:type="dxa"/>
                  <w:right w:w="15" w:type="dxa"/>
                </w:tblCellMar>
              </w:tblPrEx>
              <w:trPr>
                <w:trHeight w:val="227" w:hRule="atLeast"/>
                <w:jc w:val="center"/>
              </w:trPr>
              <w:tc>
                <w:tcPr>
                  <w:tcW w:w="653" w:type="pct"/>
                  <w:vAlign w:val="center"/>
                </w:tcPr>
                <w:p w14:paraId="01566CC8">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w:t>
                  </w:r>
                </w:p>
              </w:tc>
              <w:tc>
                <w:tcPr>
                  <w:tcW w:w="924" w:type="pct"/>
                  <w:vAlign w:val="center"/>
                </w:tcPr>
                <w:p w14:paraId="6B97F0E5">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脱水筛</w:t>
                  </w:r>
                </w:p>
              </w:tc>
              <w:tc>
                <w:tcPr>
                  <w:tcW w:w="1271" w:type="pct"/>
                  <w:vAlign w:val="center"/>
                </w:tcPr>
                <w:p w14:paraId="3F0182E5">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定制</w:t>
                  </w:r>
                </w:p>
              </w:tc>
              <w:tc>
                <w:tcPr>
                  <w:tcW w:w="1206" w:type="pct"/>
                  <w:vAlign w:val="center"/>
                </w:tcPr>
                <w:p w14:paraId="38075A64">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w:t>
                  </w:r>
                </w:p>
              </w:tc>
              <w:tc>
                <w:tcPr>
                  <w:tcW w:w="946" w:type="pct"/>
                  <w:vAlign w:val="center"/>
                </w:tcPr>
                <w:p w14:paraId="0D2387F2">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台</w:t>
                  </w:r>
                </w:p>
              </w:tc>
            </w:tr>
            <w:tr w14:paraId="7C309729">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15" w:type="dxa"/>
                  <w:left w:w="15" w:type="dxa"/>
                  <w:bottom w:w="15" w:type="dxa"/>
                  <w:right w:w="15" w:type="dxa"/>
                </w:tblCellMar>
              </w:tblPrEx>
              <w:trPr>
                <w:trHeight w:val="90" w:hRule="atLeast"/>
                <w:jc w:val="center"/>
              </w:trPr>
              <w:tc>
                <w:tcPr>
                  <w:tcW w:w="653" w:type="pct"/>
                  <w:vAlign w:val="center"/>
                </w:tcPr>
                <w:p w14:paraId="0683F7F8">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7</w:t>
                  </w:r>
                </w:p>
              </w:tc>
              <w:tc>
                <w:tcPr>
                  <w:tcW w:w="924" w:type="pct"/>
                  <w:vAlign w:val="center"/>
                </w:tcPr>
                <w:p w14:paraId="0FCC8BD6">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上料机</w:t>
                  </w:r>
                </w:p>
              </w:tc>
              <w:tc>
                <w:tcPr>
                  <w:tcW w:w="1271" w:type="pct"/>
                  <w:vAlign w:val="center"/>
                </w:tcPr>
                <w:p w14:paraId="351D40B3">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1206" w:type="pct"/>
                  <w:vAlign w:val="center"/>
                </w:tcPr>
                <w:p w14:paraId="3E47D018">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w:t>
                  </w:r>
                </w:p>
              </w:tc>
              <w:tc>
                <w:tcPr>
                  <w:tcW w:w="946" w:type="pct"/>
                  <w:vAlign w:val="center"/>
                </w:tcPr>
                <w:p w14:paraId="640703FB">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台</w:t>
                  </w:r>
                </w:p>
              </w:tc>
            </w:tr>
            <w:tr w14:paraId="7C43A9E0">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15" w:type="dxa"/>
                  <w:left w:w="15" w:type="dxa"/>
                  <w:bottom w:w="15" w:type="dxa"/>
                  <w:right w:w="15" w:type="dxa"/>
                </w:tblCellMar>
              </w:tblPrEx>
              <w:trPr>
                <w:trHeight w:val="227" w:hRule="atLeast"/>
                <w:jc w:val="center"/>
              </w:trPr>
              <w:tc>
                <w:tcPr>
                  <w:tcW w:w="653" w:type="pct"/>
                  <w:vAlign w:val="center"/>
                </w:tcPr>
                <w:p w14:paraId="6F23FE12">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8</w:t>
                  </w:r>
                </w:p>
              </w:tc>
              <w:tc>
                <w:tcPr>
                  <w:tcW w:w="924" w:type="pct"/>
                  <w:vAlign w:val="center"/>
                </w:tcPr>
                <w:p w14:paraId="52D6F43F">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装载机</w:t>
                  </w:r>
                </w:p>
              </w:tc>
              <w:tc>
                <w:tcPr>
                  <w:tcW w:w="1271" w:type="pct"/>
                  <w:vAlign w:val="center"/>
                </w:tcPr>
                <w:p w14:paraId="1B64EA88">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1206" w:type="pct"/>
                  <w:vAlign w:val="center"/>
                </w:tcPr>
                <w:p w14:paraId="09862E7D">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w:t>
                  </w:r>
                </w:p>
              </w:tc>
              <w:tc>
                <w:tcPr>
                  <w:tcW w:w="946" w:type="pct"/>
                  <w:vAlign w:val="center"/>
                </w:tcPr>
                <w:p w14:paraId="7BB22508">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台</w:t>
                  </w:r>
                </w:p>
              </w:tc>
            </w:tr>
            <w:tr w14:paraId="3EBC460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15" w:type="dxa"/>
                  <w:left w:w="15" w:type="dxa"/>
                  <w:bottom w:w="15" w:type="dxa"/>
                  <w:right w:w="15" w:type="dxa"/>
                </w:tblCellMar>
              </w:tblPrEx>
              <w:trPr>
                <w:trHeight w:val="227" w:hRule="atLeast"/>
                <w:jc w:val="center"/>
              </w:trPr>
              <w:tc>
                <w:tcPr>
                  <w:tcW w:w="653" w:type="pct"/>
                  <w:vAlign w:val="center"/>
                </w:tcPr>
                <w:p w14:paraId="4AD8EDE3">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9</w:t>
                  </w:r>
                </w:p>
              </w:tc>
              <w:tc>
                <w:tcPr>
                  <w:tcW w:w="924" w:type="pct"/>
                  <w:vAlign w:val="center"/>
                </w:tcPr>
                <w:p w14:paraId="7F2AEC83">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振动筛</w:t>
                  </w:r>
                </w:p>
              </w:tc>
              <w:tc>
                <w:tcPr>
                  <w:tcW w:w="1271" w:type="pct"/>
                  <w:vAlign w:val="center"/>
                </w:tcPr>
                <w:p w14:paraId="2CC04FA2">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2470型</w:t>
                  </w:r>
                </w:p>
              </w:tc>
              <w:tc>
                <w:tcPr>
                  <w:tcW w:w="1206" w:type="pct"/>
                  <w:vAlign w:val="center"/>
                </w:tcPr>
                <w:p w14:paraId="68BBBF02">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w:t>
                  </w:r>
                </w:p>
              </w:tc>
              <w:tc>
                <w:tcPr>
                  <w:tcW w:w="946" w:type="pct"/>
                  <w:vAlign w:val="center"/>
                </w:tcPr>
                <w:p w14:paraId="059BA2AC">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台</w:t>
                  </w:r>
                </w:p>
              </w:tc>
            </w:tr>
            <w:tr w14:paraId="66B65252">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15" w:type="dxa"/>
                  <w:left w:w="15" w:type="dxa"/>
                  <w:bottom w:w="15" w:type="dxa"/>
                  <w:right w:w="15" w:type="dxa"/>
                </w:tblCellMar>
              </w:tblPrEx>
              <w:trPr>
                <w:trHeight w:val="227" w:hRule="atLeast"/>
                <w:jc w:val="center"/>
              </w:trPr>
              <w:tc>
                <w:tcPr>
                  <w:tcW w:w="653" w:type="pct"/>
                  <w:vAlign w:val="center"/>
                </w:tcPr>
                <w:p w14:paraId="57D72E18">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10</w:t>
                  </w:r>
                </w:p>
              </w:tc>
              <w:tc>
                <w:tcPr>
                  <w:tcW w:w="924" w:type="pct"/>
                  <w:vAlign w:val="center"/>
                </w:tcPr>
                <w:p w14:paraId="7510275B">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计量设备</w:t>
                  </w:r>
                </w:p>
              </w:tc>
              <w:tc>
                <w:tcPr>
                  <w:tcW w:w="1271" w:type="pct"/>
                  <w:vAlign w:val="center"/>
                </w:tcPr>
                <w:p w14:paraId="07C2C9B2">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1206" w:type="pct"/>
                  <w:vAlign w:val="center"/>
                </w:tcPr>
                <w:p w14:paraId="56C05A0D">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w:t>
                  </w:r>
                </w:p>
              </w:tc>
              <w:tc>
                <w:tcPr>
                  <w:tcW w:w="946" w:type="pct"/>
                  <w:vAlign w:val="center"/>
                </w:tcPr>
                <w:p w14:paraId="2C4B7AE4">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套</w:t>
                  </w:r>
                </w:p>
              </w:tc>
            </w:tr>
            <w:tr w14:paraId="4581F5EE">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15" w:type="dxa"/>
                  <w:left w:w="15" w:type="dxa"/>
                  <w:bottom w:w="15" w:type="dxa"/>
                  <w:right w:w="15" w:type="dxa"/>
                </w:tblCellMar>
              </w:tblPrEx>
              <w:trPr>
                <w:trHeight w:val="227" w:hRule="atLeast"/>
                <w:jc w:val="center"/>
              </w:trPr>
              <w:tc>
                <w:tcPr>
                  <w:tcW w:w="653" w:type="pct"/>
                  <w:vAlign w:val="center"/>
                </w:tcPr>
                <w:p w14:paraId="7B80F74A">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11</w:t>
                  </w:r>
                </w:p>
              </w:tc>
              <w:tc>
                <w:tcPr>
                  <w:tcW w:w="924" w:type="pct"/>
                  <w:vAlign w:val="center"/>
                </w:tcPr>
                <w:p w14:paraId="1D9BDA7B">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水稳搅拌站</w:t>
                  </w:r>
                </w:p>
              </w:tc>
              <w:tc>
                <w:tcPr>
                  <w:tcW w:w="1271" w:type="pct"/>
                  <w:vAlign w:val="center"/>
                </w:tcPr>
                <w:p w14:paraId="7F195940">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WCZ600</w:t>
                  </w:r>
                </w:p>
              </w:tc>
              <w:tc>
                <w:tcPr>
                  <w:tcW w:w="1206" w:type="pct"/>
                  <w:vAlign w:val="center"/>
                </w:tcPr>
                <w:p w14:paraId="0A81F1C7">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w:t>
                  </w:r>
                </w:p>
              </w:tc>
              <w:tc>
                <w:tcPr>
                  <w:tcW w:w="946" w:type="pct"/>
                  <w:vAlign w:val="center"/>
                </w:tcPr>
                <w:p w14:paraId="362506C8">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套</w:t>
                  </w:r>
                </w:p>
              </w:tc>
            </w:tr>
            <w:tr w14:paraId="43A1560A">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15" w:type="dxa"/>
                  <w:left w:w="15" w:type="dxa"/>
                  <w:bottom w:w="15" w:type="dxa"/>
                  <w:right w:w="15" w:type="dxa"/>
                </w:tblCellMar>
              </w:tblPrEx>
              <w:trPr>
                <w:trHeight w:val="227" w:hRule="atLeast"/>
                <w:jc w:val="center"/>
              </w:trPr>
              <w:tc>
                <w:tcPr>
                  <w:tcW w:w="653" w:type="pct"/>
                  <w:vAlign w:val="center"/>
                </w:tcPr>
                <w:p w14:paraId="25C48C0C">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12</w:t>
                  </w:r>
                </w:p>
              </w:tc>
              <w:tc>
                <w:tcPr>
                  <w:tcW w:w="924" w:type="pct"/>
                  <w:vAlign w:val="center"/>
                </w:tcPr>
                <w:p w14:paraId="003D6102">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水泥筒仓</w:t>
                  </w:r>
                </w:p>
              </w:tc>
              <w:tc>
                <w:tcPr>
                  <w:tcW w:w="1271" w:type="pct"/>
                  <w:vAlign w:val="center"/>
                </w:tcPr>
                <w:p w14:paraId="4DBF497D">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150T，直径：3.5m</w:t>
                  </w:r>
                </w:p>
              </w:tc>
              <w:tc>
                <w:tcPr>
                  <w:tcW w:w="1206" w:type="pct"/>
                  <w:vAlign w:val="center"/>
                </w:tcPr>
                <w:p w14:paraId="3E73305B">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4</w:t>
                  </w:r>
                </w:p>
              </w:tc>
              <w:tc>
                <w:tcPr>
                  <w:tcW w:w="946" w:type="pct"/>
                  <w:vAlign w:val="center"/>
                </w:tcPr>
                <w:p w14:paraId="6412E328">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台</w:t>
                  </w:r>
                </w:p>
              </w:tc>
            </w:tr>
            <w:tr w14:paraId="7FE93028">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15" w:type="dxa"/>
                  <w:left w:w="15" w:type="dxa"/>
                  <w:bottom w:w="15" w:type="dxa"/>
                  <w:right w:w="15" w:type="dxa"/>
                </w:tblCellMar>
              </w:tblPrEx>
              <w:trPr>
                <w:trHeight w:val="227" w:hRule="atLeast"/>
                <w:jc w:val="center"/>
              </w:trPr>
              <w:tc>
                <w:tcPr>
                  <w:tcW w:w="653" w:type="pct"/>
                  <w:vAlign w:val="center"/>
                </w:tcPr>
                <w:p w14:paraId="1F6E95AD">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13</w:t>
                  </w:r>
                </w:p>
              </w:tc>
              <w:tc>
                <w:tcPr>
                  <w:tcW w:w="924" w:type="pct"/>
                  <w:vAlign w:val="center"/>
                </w:tcPr>
                <w:p w14:paraId="7070D1BB">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铲车</w:t>
                  </w:r>
                </w:p>
              </w:tc>
              <w:tc>
                <w:tcPr>
                  <w:tcW w:w="1271" w:type="pct"/>
                  <w:vAlign w:val="center"/>
                </w:tcPr>
                <w:p w14:paraId="332AE281">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1206" w:type="pct"/>
                  <w:vAlign w:val="center"/>
                </w:tcPr>
                <w:p w14:paraId="0F40342D">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w:t>
                  </w:r>
                </w:p>
              </w:tc>
              <w:tc>
                <w:tcPr>
                  <w:tcW w:w="946" w:type="pct"/>
                  <w:vAlign w:val="center"/>
                </w:tcPr>
                <w:p w14:paraId="2D1E5680">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台</w:t>
                  </w:r>
                </w:p>
              </w:tc>
            </w:tr>
            <w:tr w14:paraId="4F3817C2">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15" w:type="dxa"/>
                  <w:left w:w="15" w:type="dxa"/>
                  <w:bottom w:w="15" w:type="dxa"/>
                  <w:right w:w="15" w:type="dxa"/>
                </w:tblCellMar>
              </w:tblPrEx>
              <w:trPr>
                <w:trHeight w:val="227" w:hRule="atLeast"/>
                <w:jc w:val="center"/>
              </w:trPr>
              <w:tc>
                <w:tcPr>
                  <w:tcW w:w="653" w:type="pct"/>
                  <w:vAlign w:val="center"/>
                </w:tcPr>
                <w:p w14:paraId="2FE96F8F">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14</w:t>
                  </w:r>
                </w:p>
              </w:tc>
              <w:tc>
                <w:tcPr>
                  <w:tcW w:w="924" w:type="pct"/>
                  <w:vAlign w:val="center"/>
                </w:tcPr>
                <w:p w14:paraId="296992B3">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雾炮机</w:t>
                  </w:r>
                </w:p>
              </w:tc>
              <w:tc>
                <w:tcPr>
                  <w:tcW w:w="1271" w:type="pct"/>
                  <w:vAlign w:val="center"/>
                </w:tcPr>
                <w:p w14:paraId="522D9705">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RDSS-25D</w:t>
                  </w:r>
                </w:p>
              </w:tc>
              <w:tc>
                <w:tcPr>
                  <w:tcW w:w="1206" w:type="pct"/>
                  <w:vAlign w:val="center"/>
                </w:tcPr>
                <w:p w14:paraId="3A078B49">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w:t>
                  </w:r>
                </w:p>
              </w:tc>
              <w:tc>
                <w:tcPr>
                  <w:tcW w:w="946" w:type="pct"/>
                  <w:vAlign w:val="center"/>
                </w:tcPr>
                <w:p w14:paraId="4E773BA5">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台</w:t>
                  </w:r>
                </w:p>
              </w:tc>
            </w:tr>
            <w:tr w14:paraId="5B27F90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15" w:type="dxa"/>
                  <w:left w:w="15" w:type="dxa"/>
                  <w:bottom w:w="15" w:type="dxa"/>
                  <w:right w:w="15" w:type="dxa"/>
                </w:tblCellMar>
              </w:tblPrEx>
              <w:trPr>
                <w:trHeight w:val="227" w:hRule="atLeast"/>
                <w:jc w:val="center"/>
              </w:trPr>
              <w:tc>
                <w:tcPr>
                  <w:tcW w:w="653" w:type="pct"/>
                  <w:vAlign w:val="center"/>
                </w:tcPr>
                <w:p w14:paraId="35F4601E">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15</w:t>
                  </w:r>
                </w:p>
              </w:tc>
              <w:tc>
                <w:tcPr>
                  <w:tcW w:w="924" w:type="pct"/>
                  <w:vAlign w:val="center"/>
                </w:tcPr>
                <w:p w14:paraId="7B18354A">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工控机</w:t>
                  </w:r>
                </w:p>
              </w:tc>
              <w:tc>
                <w:tcPr>
                  <w:tcW w:w="1271" w:type="pct"/>
                  <w:vAlign w:val="center"/>
                </w:tcPr>
                <w:p w14:paraId="6AC14247">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1206" w:type="pct"/>
                  <w:vAlign w:val="center"/>
                </w:tcPr>
                <w:p w14:paraId="13189B4D">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w:t>
                  </w:r>
                </w:p>
              </w:tc>
              <w:tc>
                <w:tcPr>
                  <w:tcW w:w="946" w:type="pct"/>
                  <w:vAlign w:val="center"/>
                </w:tcPr>
                <w:p w14:paraId="320A95F7">
                  <w:pPr>
                    <w:widowControl/>
                    <w:adjustRightInd w:val="0"/>
                    <w:snapToGrid w:val="0"/>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台</w:t>
                  </w:r>
                </w:p>
              </w:tc>
            </w:tr>
          </w:tbl>
          <w:p w14:paraId="27894248">
            <w:pPr>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项目产能匹配性分析见表2-3。</w:t>
            </w:r>
          </w:p>
          <w:p w14:paraId="57C09B99">
            <w:pPr>
              <w:jc w:val="center"/>
              <w:rPr>
                <w:b/>
                <w:color w:val="000000" w:themeColor="text1"/>
                <w:sz w:val="24"/>
                <w:szCs w:val="22"/>
                <w14:textFill>
                  <w14:solidFill>
                    <w14:schemeClr w14:val="tx1"/>
                  </w14:solidFill>
                </w14:textFill>
              </w:rPr>
            </w:pPr>
            <w:r>
              <w:rPr>
                <w:rFonts w:hint="eastAsia"/>
                <w:b/>
                <w:color w:val="000000" w:themeColor="text1"/>
                <w:sz w:val="24"/>
                <w:szCs w:val="22"/>
                <w14:textFill>
                  <w14:solidFill>
                    <w14:schemeClr w14:val="tx1"/>
                  </w14:solidFill>
                </w14:textFill>
              </w:rPr>
              <w:t>表2</w:t>
            </w:r>
            <w:r>
              <w:rPr>
                <w:b/>
                <w:color w:val="000000" w:themeColor="text1"/>
                <w:sz w:val="24"/>
                <w:szCs w:val="22"/>
                <w14:textFill>
                  <w14:solidFill>
                    <w14:schemeClr w14:val="tx1"/>
                  </w14:solidFill>
                </w14:textFill>
              </w:rPr>
              <w:t>-</w:t>
            </w:r>
            <w:r>
              <w:rPr>
                <w:rFonts w:hint="eastAsia"/>
                <w:b/>
                <w:color w:val="000000" w:themeColor="text1"/>
                <w:sz w:val="24"/>
                <w:szCs w:val="22"/>
                <w14:textFill>
                  <w14:solidFill>
                    <w14:schemeClr w14:val="tx1"/>
                  </w14:solidFill>
                </w14:textFill>
              </w:rPr>
              <w:t>3</w:t>
            </w:r>
            <w:r>
              <w:rPr>
                <w:b/>
                <w:color w:val="000000" w:themeColor="text1"/>
                <w:sz w:val="24"/>
                <w:szCs w:val="22"/>
                <w14:textFill>
                  <w14:solidFill>
                    <w14:schemeClr w14:val="tx1"/>
                  </w14:solidFill>
                </w14:textFill>
              </w:rPr>
              <w:t xml:space="preserve">  </w:t>
            </w:r>
            <w:r>
              <w:rPr>
                <w:rFonts w:hint="eastAsia"/>
                <w:b/>
                <w:color w:val="000000" w:themeColor="text1"/>
                <w:sz w:val="24"/>
                <w:szCs w:val="22"/>
                <w14:textFill>
                  <w14:solidFill>
                    <w14:schemeClr w14:val="tx1"/>
                  </w14:solidFill>
                </w14:textFill>
              </w:rPr>
              <w:t>项目主要生产设备产能匹配性分析</w:t>
            </w:r>
          </w:p>
          <w:tbl>
            <w:tblPr>
              <w:tblStyle w:val="45"/>
              <w:tblW w:w="5000"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108" w:type="dxa"/>
                <w:bottom w:w="0" w:type="dxa"/>
                <w:right w:w="108" w:type="dxa"/>
              </w:tblCellMar>
            </w:tblPr>
            <w:tblGrid>
              <w:gridCol w:w="576"/>
              <w:gridCol w:w="1398"/>
              <w:gridCol w:w="1296"/>
              <w:gridCol w:w="756"/>
              <w:gridCol w:w="1051"/>
              <w:gridCol w:w="915"/>
              <w:gridCol w:w="1161"/>
              <w:gridCol w:w="932"/>
              <w:gridCol w:w="952"/>
            </w:tblGrid>
            <w:tr w14:paraId="413ADA0F">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27" w:hRule="atLeast"/>
                <w:jc w:val="center"/>
              </w:trPr>
              <w:tc>
                <w:tcPr>
                  <w:tcW w:w="322" w:type="pct"/>
                  <w:noWrap/>
                  <w:vAlign w:val="center"/>
                </w:tcPr>
                <w:p w14:paraId="131E1573">
                  <w:pPr>
                    <w:jc w:val="center"/>
                    <w:textAlignment w:val="center"/>
                    <w:rPr>
                      <w:color w:val="000000" w:themeColor="text1"/>
                      <w:sz w:val="18"/>
                      <w:szCs w:val="18"/>
                      <w14:textFill>
                        <w14:solidFill>
                          <w14:schemeClr w14:val="tx1"/>
                        </w14:solidFill>
                      </w14:textFill>
                    </w:rPr>
                  </w:pPr>
                  <w:r>
                    <w:rPr>
                      <w:color w:val="000000" w:themeColor="text1"/>
                      <w:sz w:val="18"/>
                      <w:szCs w:val="18"/>
                      <w:lang w:bidi="ar"/>
                      <w14:textFill>
                        <w14:solidFill>
                          <w14:schemeClr w14:val="tx1"/>
                        </w14:solidFill>
                      </w14:textFill>
                    </w:rPr>
                    <w:t>序号</w:t>
                  </w:r>
                </w:p>
              </w:tc>
              <w:tc>
                <w:tcPr>
                  <w:tcW w:w="792" w:type="pct"/>
                  <w:noWrap/>
                  <w:vAlign w:val="center"/>
                </w:tcPr>
                <w:p w14:paraId="0429A097">
                  <w:pPr>
                    <w:jc w:val="center"/>
                    <w:textAlignment w:val="center"/>
                    <w:rPr>
                      <w:color w:val="000000" w:themeColor="text1"/>
                      <w:sz w:val="18"/>
                      <w:szCs w:val="18"/>
                      <w14:textFill>
                        <w14:solidFill>
                          <w14:schemeClr w14:val="tx1"/>
                        </w14:solidFill>
                      </w14:textFill>
                    </w:rPr>
                  </w:pPr>
                  <w:r>
                    <w:rPr>
                      <w:color w:val="000000" w:themeColor="text1"/>
                      <w:sz w:val="18"/>
                      <w:szCs w:val="18"/>
                      <w:lang w:bidi="ar"/>
                      <w14:textFill>
                        <w14:solidFill>
                          <w14:schemeClr w14:val="tx1"/>
                        </w14:solidFill>
                      </w14:textFill>
                    </w:rPr>
                    <w:t>设备名称</w:t>
                  </w:r>
                </w:p>
              </w:tc>
              <w:tc>
                <w:tcPr>
                  <w:tcW w:w="727" w:type="pct"/>
                  <w:noWrap/>
                  <w:vAlign w:val="center"/>
                </w:tcPr>
                <w:p w14:paraId="4C028317">
                  <w:pPr>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单台设备产能</w:t>
                  </w:r>
                </w:p>
                <w:p w14:paraId="176BF914">
                  <w:pPr>
                    <w:jc w:val="center"/>
                    <w:textAlignment w:val="center"/>
                    <w:rPr>
                      <w:color w:val="000000" w:themeColor="text1"/>
                      <w:sz w:val="18"/>
                      <w:szCs w:val="18"/>
                      <w14:textFill>
                        <w14:solidFill>
                          <w14:schemeClr w14:val="tx1"/>
                        </w14:solidFill>
                      </w14:textFill>
                    </w:rPr>
                  </w:pPr>
                  <w:r>
                    <w:rPr>
                      <w:color w:val="000000" w:themeColor="text1"/>
                      <w:sz w:val="18"/>
                      <w:szCs w:val="18"/>
                      <w:lang w:bidi="ar"/>
                      <w14:textFill>
                        <w14:solidFill>
                          <w14:schemeClr w14:val="tx1"/>
                        </w14:solidFill>
                      </w14:textFill>
                    </w:rPr>
                    <w:t>t/</w:t>
                  </w:r>
                  <w:r>
                    <w:rPr>
                      <w:rFonts w:hint="eastAsia"/>
                      <w:color w:val="000000" w:themeColor="text1"/>
                      <w:sz w:val="18"/>
                      <w:szCs w:val="18"/>
                      <w:lang w:bidi="ar"/>
                      <w14:textFill>
                        <w14:solidFill>
                          <w14:schemeClr w14:val="tx1"/>
                        </w14:solidFill>
                      </w14:textFill>
                    </w:rPr>
                    <w:t>h</w:t>
                  </w:r>
                </w:p>
              </w:tc>
              <w:tc>
                <w:tcPr>
                  <w:tcW w:w="423" w:type="pct"/>
                  <w:noWrap/>
                  <w:vAlign w:val="center"/>
                </w:tcPr>
                <w:p w14:paraId="243F2113">
                  <w:pPr>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数量</w:t>
                  </w:r>
                </w:p>
                <w:p w14:paraId="24E4A135">
                  <w:pPr>
                    <w:jc w:val="center"/>
                    <w:textAlignment w:val="center"/>
                    <w:rPr>
                      <w:color w:val="000000" w:themeColor="text1"/>
                      <w:sz w:val="18"/>
                      <w:szCs w:val="18"/>
                      <w14:textFill>
                        <w14:solidFill>
                          <w14:schemeClr w14:val="tx1"/>
                        </w14:solidFill>
                      </w14:textFill>
                    </w:rPr>
                  </w:pPr>
                  <w:r>
                    <w:rPr>
                      <w:color w:val="000000" w:themeColor="text1"/>
                      <w:sz w:val="18"/>
                      <w:szCs w:val="18"/>
                      <w:lang w:bidi="ar"/>
                      <w14:textFill>
                        <w14:solidFill>
                          <w14:schemeClr w14:val="tx1"/>
                        </w14:solidFill>
                      </w14:textFill>
                    </w:rPr>
                    <w:t>（台）</w:t>
                  </w:r>
                </w:p>
              </w:tc>
              <w:tc>
                <w:tcPr>
                  <w:tcW w:w="598" w:type="pct"/>
                  <w:noWrap/>
                  <w:vAlign w:val="center"/>
                </w:tcPr>
                <w:p w14:paraId="720936C8">
                  <w:pPr>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理论</w:t>
                  </w:r>
                  <w:r>
                    <w:rPr>
                      <w:rFonts w:hint="eastAsia"/>
                      <w:color w:val="000000" w:themeColor="text1"/>
                      <w:sz w:val="18"/>
                      <w:szCs w:val="18"/>
                      <w:lang w:bidi="ar"/>
                      <w14:textFill>
                        <w14:solidFill>
                          <w14:schemeClr w14:val="tx1"/>
                        </w14:solidFill>
                      </w14:textFill>
                    </w:rPr>
                    <w:t>产能</w:t>
                  </w:r>
                </w:p>
                <w:p w14:paraId="66879043">
                  <w:pPr>
                    <w:jc w:val="center"/>
                    <w:textAlignment w:val="center"/>
                    <w:rPr>
                      <w:color w:val="000000" w:themeColor="text1"/>
                      <w:sz w:val="18"/>
                      <w:szCs w:val="18"/>
                      <w14:textFill>
                        <w14:solidFill>
                          <w14:schemeClr w14:val="tx1"/>
                        </w14:solidFill>
                      </w14:textFill>
                    </w:rPr>
                  </w:pPr>
                  <w:r>
                    <w:rPr>
                      <w:color w:val="000000" w:themeColor="text1"/>
                      <w:sz w:val="18"/>
                      <w:szCs w:val="18"/>
                      <w:lang w:bidi="ar"/>
                      <w14:textFill>
                        <w14:solidFill>
                          <w14:schemeClr w14:val="tx1"/>
                        </w14:solidFill>
                      </w14:textFill>
                    </w:rPr>
                    <w:t>t/</w:t>
                  </w:r>
                  <w:r>
                    <w:rPr>
                      <w:rFonts w:hint="eastAsia"/>
                      <w:color w:val="000000" w:themeColor="text1"/>
                      <w:sz w:val="18"/>
                      <w:szCs w:val="18"/>
                      <w:lang w:bidi="ar"/>
                      <w14:textFill>
                        <w14:solidFill>
                          <w14:schemeClr w14:val="tx1"/>
                        </w14:solidFill>
                      </w14:textFill>
                    </w:rPr>
                    <w:t>h</w:t>
                  </w:r>
                </w:p>
              </w:tc>
              <w:tc>
                <w:tcPr>
                  <w:tcW w:w="517" w:type="pct"/>
                </w:tcPr>
                <w:p w14:paraId="79B6530C">
                  <w:pPr>
                    <w:jc w:val="center"/>
                    <w:textAlignment w:val="center"/>
                    <w:rPr>
                      <w:color w:val="000000" w:themeColor="text1"/>
                      <w:lang w:bidi="ar"/>
                      <w14:textFill>
                        <w14:solidFill>
                          <w14:schemeClr w14:val="tx1"/>
                        </w14:solidFill>
                      </w14:textFill>
                    </w:rPr>
                  </w:pPr>
                  <w:r>
                    <w:rPr>
                      <w:color w:val="000000" w:themeColor="text1"/>
                      <w:sz w:val="18"/>
                      <w:szCs w:val="18"/>
                      <w:lang w:bidi="ar"/>
                      <w14:textFill>
                        <w14:solidFill>
                          <w14:schemeClr w14:val="tx1"/>
                        </w14:solidFill>
                      </w14:textFill>
                    </w:rPr>
                    <w:t>理论年产能(t/a)</w:t>
                  </w:r>
                </w:p>
              </w:tc>
              <w:tc>
                <w:tcPr>
                  <w:tcW w:w="558" w:type="pct"/>
                  <w:vAlign w:val="center"/>
                </w:tcPr>
                <w:p w14:paraId="629CE519">
                  <w:pPr>
                    <w:jc w:val="center"/>
                    <w:textAlignment w:val="center"/>
                    <w:rPr>
                      <w:color w:val="000000" w:themeColor="text1"/>
                      <w:sz w:val="18"/>
                      <w:szCs w:val="18"/>
                      <w14:textFill>
                        <w14:solidFill>
                          <w14:schemeClr w14:val="tx1"/>
                        </w14:solidFill>
                      </w14:textFill>
                    </w:rPr>
                  </w:pPr>
                  <w:r>
                    <w:rPr>
                      <w:color w:val="000000" w:themeColor="text1"/>
                      <w:sz w:val="18"/>
                      <w:szCs w:val="18"/>
                      <w:lang w:bidi="ar"/>
                      <w14:textFill>
                        <w14:solidFill>
                          <w14:schemeClr w14:val="tx1"/>
                        </w14:solidFill>
                      </w14:textFill>
                    </w:rPr>
                    <w:t>本项目</w:t>
                  </w:r>
                  <w:r>
                    <w:rPr>
                      <w:rFonts w:hint="eastAsia"/>
                      <w:color w:val="000000" w:themeColor="text1"/>
                      <w:sz w:val="18"/>
                      <w:szCs w:val="18"/>
                      <w:lang w:bidi="ar"/>
                      <w14:textFill>
                        <w14:solidFill>
                          <w14:schemeClr w14:val="tx1"/>
                        </w14:solidFill>
                      </w14:textFill>
                    </w:rPr>
                    <w:t>年用量</w:t>
                  </w:r>
                  <w:r>
                    <w:rPr>
                      <w:color w:val="000000" w:themeColor="text1"/>
                      <w:sz w:val="18"/>
                      <w:szCs w:val="18"/>
                      <w:lang w:bidi="ar"/>
                      <w14:textFill>
                        <w14:solidFill>
                          <w14:schemeClr w14:val="tx1"/>
                        </w14:solidFill>
                      </w14:textFill>
                    </w:rPr>
                    <w:t>(t/a)</w:t>
                  </w:r>
                </w:p>
              </w:tc>
              <w:tc>
                <w:tcPr>
                  <w:tcW w:w="526" w:type="pct"/>
                  <w:vAlign w:val="center"/>
                </w:tcPr>
                <w:p w14:paraId="380DE618">
                  <w:pPr>
                    <w:jc w:val="center"/>
                    <w:textAlignment w:val="center"/>
                    <w:rPr>
                      <w:color w:val="000000" w:themeColor="text1"/>
                      <w:sz w:val="18"/>
                      <w:szCs w:val="18"/>
                      <w14:textFill>
                        <w14:solidFill>
                          <w14:schemeClr w14:val="tx1"/>
                        </w14:solidFill>
                      </w14:textFill>
                    </w:rPr>
                  </w:pPr>
                  <w:r>
                    <w:rPr>
                      <w:color w:val="000000" w:themeColor="text1"/>
                      <w:sz w:val="18"/>
                      <w:szCs w:val="18"/>
                      <w:lang w:bidi="ar"/>
                      <w14:textFill>
                        <w14:solidFill>
                          <w14:schemeClr w14:val="tx1"/>
                        </w14:solidFill>
                      </w14:textFill>
                    </w:rPr>
                    <w:t>设计工作时间（</w:t>
                  </w:r>
                  <w:r>
                    <w:rPr>
                      <w:rFonts w:hint="eastAsia"/>
                      <w:color w:val="000000" w:themeColor="text1"/>
                      <w:sz w:val="18"/>
                      <w:szCs w:val="18"/>
                      <w:lang w:bidi="ar"/>
                      <w14:textFill>
                        <w14:solidFill>
                          <w14:schemeClr w14:val="tx1"/>
                        </w14:solidFill>
                      </w14:textFill>
                    </w:rPr>
                    <w:t>h</w:t>
                  </w:r>
                  <w:r>
                    <w:rPr>
                      <w:color w:val="000000" w:themeColor="text1"/>
                      <w:sz w:val="18"/>
                      <w:szCs w:val="18"/>
                      <w:lang w:bidi="ar"/>
                      <w14:textFill>
                        <w14:solidFill>
                          <w14:schemeClr w14:val="tx1"/>
                        </w14:solidFill>
                      </w14:textFill>
                    </w:rPr>
                    <w:t>)</w:t>
                  </w:r>
                </w:p>
              </w:tc>
              <w:tc>
                <w:tcPr>
                  <w:tcW w:w="533" w:type="pct"/>
                  <w:noWrap/>
                  <w:vAlign w:val="center"/>
                </w:tcPr>
                <w:p w14:paraId="084103C9">
                  <w:pPr>
                    <w:jc w:val="center"/>
                    <w:textAlignment w:val="center"/>
                    <w:rPr>
                      <w:color w:val="000000" w:themeColor="text1"/>
                      <w:sz w:val="18"/>
                      <w:szCs w:val="18"/>
                      <w14:textFill>
                        <w14:solidFill>
                          <w14:schemeClr w14:val="tx1"/>
                        </w14:solidFill>
                      </w14:textFill>
                    </w:rPr>
                  </w:pPr>
                  <w:r>
                    <w:rPr>
                      <w:color w:val="000000" w:themeColor="text1"/>
                      <w:sz w:val="18"/>
                      <w:szCs w:val="18"/>
                      <w:lang w:bidi="ar"/>
                      <w14:textFill>
                        <w14:solidFill>
                          <w14:schemeClr w14:val="tx1"/>
                        </w14:solidFill>
                      </w14:textFill>
                    </w:rPr>
                    <w:t>是否匹配</w:t>
                  </w:r>
                </w:p>
              </w:tc>
            </w:tr>
            <w:tr w14:paraId="60B07DF8">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27" w:hRule="atLeast"/>
                <w:jc w:val="center"/>
              </w:trPr>
              <w:tc>
                <w:tcPr>
                  <w:tcW w:w="322" w:type="pct"/>
                  <w:noWrap/>
                  <w:vAlign w:val="center"/>
                </w:tcPr>
                <w:p w14:paraId="09CC5974">
                  <w:pPr>
                    <w:jc w:val="center"/>
                    <w:textAlignment w:val="center"/>
                    <w:rPr>
                      <w:color w:val="000000" w:themeColor="text1"/>
                      <w:sz w:val="18"/>
                      <w:szCs w:val="18"/>
                      <w14:textFill>
                        <w14:solidFill>
                          <w14:schemeClr w14:val="tx1"/>
                        </w14:solidFill>
                      </w14:textFill>
                    </w:rPr>
                  </w:pPr>
                  <w:r>
                    <w:rPr>
                      <w:color w:val="000000" w:themeColor="text1"/>
                      <w:sz w:val="18"/>
                      <w:szCs w:val="18"/>
                      <w:lang w:bidi="ar"/>
                      <w14:textFill>
                        <w14:solidFill>
                          <w14:schemeClr w14:val="tx1"/>
                        </w14:solidFill>
                      </w14:textFill>
                    </w:rPr>
                    <w:t>1</w:t>
                  </w:r>
                </w:p>
              </w:tc>
              <w:tc>
                <w:tcPr>
                  <w:tcW w:w="792" w:type="pct"/>
                  <w:noWrap/>
                  <w:vAlign w:val="center"/>
                </w:tcPr>
                <w:p w14:paraId="7F906F1C">
                  <w:pPr>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颚式破碎机</w:t>
                  </w:r>
                </w:p>
              </w:tc>
              <w:tc>
                <w:tcPr>
                  <w:tcW w:w="727" w:type="pct"/>
                  <w:noWrap/>
                  <w:vAlign w:val="center"/>
                </w:tcPr>
                <w:p w14:paraId="6303794F">
                  <w:pPr>
                    <w:jc w:val="center"/>
                    <w:textAlignment w:val="center"/>
                    <w:rPr>
                      <w:color w:val="000000" w:themeColor="text1"/>
                      <w:sz w:val="18"/>
                      <w:szCs w:val="18"/>
                      <w14:textFill>
                        <w14:solidFill>
                          <w14:schemeClr w14:val="tx1"/>
                        </w14:solidFill>
                      </w14:textFill>
                    </w:rPr>
                  </w:pPr>
                  <w:r>
                    <w:rPr>
                      <w:rFonts w:hint="eastAsia"/>
                      <w:color w:val="000000" w:themeColor="text1"/>
                      <w:sz w:val="18"/>
                      <w:szCs w:val="18"/>
                      <w:lang w:bidi="ar"/>
                      <w14:textFill>
                        <w14:solidFill>
                          <w14:schemeClr w14:val="tx1"/>
                        </w14:solidFill>
                      </w14:textFill>
                    </w:rPr>
                    <w:t>150</w:t>
                  </w:r>
                </w:p>
              </w:tc>
              <w:tc>
                <w:tcPr>
                  <w:tcW w:w="423" w:type="pct"/>
                  <w:noWrap/>
                  <w:vAlign w:val="center"/>
                </w:tcPr>
                <w:p w14:paraId="1751BA85">
                  <w:pPr>
                    <w:jc w:val="center"/>
                    <w:textAlignment w:val="center"/>
                    <w:rPr>
                      <w:color w:val="000000" w:themeColor="text1"/>
                      <w:sz w:val="18"/>
                      <w:szCs w:val="18"/>
                      <w14:textFill>
                        <w14:solidFill>
                          <w14:schemeClr w14:val="tx1"/>
                        </w14:solidFill>
                      </w14:textFill>
                    </w:rPr>
                  </w:pPr>
                  <w:r>
                    <w:rPr>
                      <w:rFonts w:hint="eastAsia"/>
                      <w:color w:val="000000" w:themeColor="text1"/>
                      <w:sz w:val="18"/>
                      <w:szCs w:val="18"/>
                      <w:lang w:bidi="ar"/>
                      <w14:textFill>
                        <w14:solidFill>
                          <w14:schemeClr w14:val="tx1"/>
                        </w14:solidFill>
                      </w14:textFill>
                    </w:rPr>
                    <w:t>1</w:t>
                  </w:r>
                </w:p>
              </w:tc>
              <w:tc>
                <w:tcPr>
                  <w:tcW w:w="598" w:type="pct"/>
                  <w:noWrap/>
                  <w:vAlign w:val="center"/>
                </w:tcPr>
                <w:p w14:paraId="356D4C98">
                  <w:pPr>
                    <w:jc w:val="center"/>
                    <w:textAlignment w:val="center"/>
                    <w:rPr>
                      <w:color w:val="000000" w:themeColor="text1"/>
                      <w:sz w:val="18"/>
                      <w:szCs w:val="18"/>
                      <w14:textFill>
                        <w14:solidFill>
                          <w14:schemeClr w14:val="tx1"/>
                        </w14:solidFill>
                      </w14:textFill>
                    </w:rPr>
                  </w:pPr>
                  <w:r>
                    <w:rPr>
                      <w:rFonts w:hint="eastAsia"/>
                      <w:color w:val="000000" w:themeColor="text1"/>
                      <w:sz w:val="18"/>
                      <w:szCs w:val="18"/>
                      <w:lang w:bidi="ar"/>
                      <w14:textFill>
                        <w14:solidFill>
                          <w14:schemeClr w14:val="tx1"/>
                        </w14:solidFill>
                      </w14:textFill>
                    </w:rPr>
                    <w:t>150</w:t>
                  </w:r>
                </w:p>
              </w:tc>
              <w:tc>
                <w:tcPr>
                  <w:tcW w:w="517" w:type="pct"/>
                </w:tcPr>
                <w:p w14:paraId="3D20399D">
                  <w:pPr>
                    <w:jc w:val="center"/>
                    <w:textAlignment w:val="center"/>
                    <w:rPr>
                      <w:color w:val="000000" w:themeColor="text1"/>
                      <w:sz w:val="18"/>
                      <w:szCs w:val="18"/>
                      <w:lang w:bidi="ar"/>
                      <w14:textFill>
                        <w14:solidFill>
                          <w14:schemeClr w14:val="tx1"/>
                        </w14:solidFill>
                      </w14:textFill>
                    </w:rPr>
                  </w:pPr>
                  <w:r>
                    <w:rPr>
                      <w:rFonts w:hint="eastAsia"/>
                      <w:color w:val="000000" w:themeColor="text1"/>
                      <w:sz w:val="18"/>
                      <w:szCs w:val="18"/>
                      <w:lang w:bidi="ar"/>
                      <w14:textFill>
                        <w14:solidFill>
                          <w14:schemeClr w14:val="tx1"/>
                        </w14:solidFill>
                      </w14:textFill>
                    </w:rPr>
                    <w:t>1080000</w:t>
                  </w:r>
                </w:p>
              </w:tc>
              <w:tc>
                <w:tcPr>
                  <w:tcW w:w="558" w:type="pct"/>
                  <w:noWrap/>
                  <w:vAlign w:val="center"/>
                </w:tcPr>
                <w:p w14:paraId="184F0013">
                  <w:pPr>
                    <w:jc w:val="center"/>
                    <w:textAlignment w:val="center"/>
                    <w:rPr>
                      <w:color w:val="000000" w:themeColor="text1"/>
                      <w:sz w:val="18"/>
                      <w:szCs w:val="18"/>
                      <w14:textFill>
                        <w14:solidFill>
                          <w14:schemeClr w14:val="tx1"/>
                        </w14:solidFill>
                      </w14:textFill>
                    </w:rPr>
                  </w:pPr>
                  <w:r>
                    <w:rPr>
                      <w:rFonts w:hint="eastAsia"/>
                      <w:color w:val="000000" w:themeColor="text1"/>
                      <w:sz w:val="18"/>
                      <w:szCs w:val="18"/>
                      <w:lang w:bidi="ar"/>
                      <w14:textFill>
                        <w14:solidFill>
                          <w14:schemeClr w14:val="tx1"/>
                        </w14:solidFill>
                      </w14:textFill>
                    </w:rPr>
                    <w:t>887200</w:t>
                  </w:r>
                </w:p>
              </w:tc>
              <w:tc>
                <w:tcPr>
                  <w:tcW w:w="526" w:type="pct"/>
                  <w:noWrap/>
                  <w:vAlign w:val="center"/>
                </w:tcPr>
                <w:p w14:paraId="29C289AF">
                  <w:pPr>
                    <w:jc w:val="center"/>
                    <w:textAlignment w:val="center"/>
                    <w:rPr>
                      <w:color w:val="000000" w:themeColor="text1"/>
                      <w:sz w:val="18"/>
                      <w:szCs w:val="18"/>
                      <w14:textFill>
                        <w14:solidFill>
                          <w14:schemeClr w14:val="tx1"/>
                        </w14:solidFill>
                      </w14:textFill>
                    </w:rPr>
                  </w:pPr>
                  <w:r>
                    <w:rPr>
                      <w:rFonts w:hint="eastAsia"/>
                      <w:color w:val="000000" w:themeColor="text1"/>
                      <w:sz w:val="18"/>
                      <w:szCs w:val="18"/>
                      <w:lang w:bidi="ar"/>
                      <w14:textFill>
                        <w14:solidFill>
                          <w14:schemeClr w14:val="tx1"/>
                        </w14:solidFill>
                      </w14:textFill>
                    </w:rPr>
                    <w:t>7200</w:t>
                  </w:r>
                </w:p>
              </w:tc>
              <w:tc>
                <w:tcPr>
                  <w:tcW w:w="533" w:type="pct"/>
                  <w:noWrap/>
                  <w:vAlign w:val="center"/>
                </w:tcPr>
                <w:p w14:paraId="2728BB91">
                  <w:pPr>
                    <w:jc w:val="center"/>
                    <w:textAlignment w:val="center"/>
                    <w:rPr>
                      <w:color w:val="000000" w:themeColor="text1"/>
                      <w:sz w:val="18"/>
                      <w:szCs w:val="18"/>
                      <w14:textFill>
                        <w14:solidFill>
                          <w14:schemeClr w14:val="tx1"/>
                        </w14:solidFill>
                      </w14:textFill>
                    </w:rPr>
                  </w:pPr>
                  <w:r>
                    <w:rPr>
                      <w:color w:val="000000" w:themeColor="text1"/>
                      <w:sz w:val="18"/>
                      <w:szCs w:val="18"/>
                      <w:lang w:bidi="ar"/>
                      <w14:textFill>
                        <w14:solidFill>
                          <w14:schemeClr w14:val="tx1"/>
                        </w14:solidFill>
                      </w14:textFill>
                    </w:rPr>
                    <w:t>匹配</w:t>
                  </w:r>
                </w:p>
              </w:tc>
            </w:tr>
            <w:tr w14:paraId="68C0C434">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27" w:hRule="atLeast"/>
                <w:jc w:val="center"/>
              </w:trPr>
              <w:tc>
                <w:tcPr>
                  <w:tcW w:w="322" w:type="pct"/>
                  <w:noWrap/>
                  <w:vAlign w:val="center"/>
                </w:tcPr>
                <w:p w14:paraId="6DDD7A31">
                  <w:pPr>
                    <w:jc w:val="center"/>
                    <w:textAlignment w:val="center"/>
                    <w:rPr>
                      <w:color w:val="000000" w:themeColor="text1"/>
                      <w:sz w:val="18"/>
                      <w:szCs w:val="18"/>
                      <w:lang w:bidi="ar"/>
                      <w14:textFill>
                        <w14:solidFill>
                          <w14:schemeClr w14:val="tx1"/>
                        </w14:solidFill>
                      </w14:textFill>
                    </w:rPr>
                  </w:pPr>
                  <w:r>
                    <w:rPr>
                      <w:rFonts w:hint="eastAsia"/>
                      <w:color w:val="000000" w:themeColor="text1"/>
                      <w:sz w:val="18"/>
                      <w:szCs w:val="18"/>
                      <w:lang w:bidi="ar"/>
                      <w14:textFill>
                        <w14:solidFill>
                          <w14:schemeClr w14:val="tx1"/>
                        </w14:solidFill>
                      </w14:textFill>
                    </w:rPr>
                    <w:t>2</w:t>
                  </w:r>
                </w:p>
              </w:tc>
              <w:tc>
                <w:tcPr>
                  <w:tcW w:w="792" w:type="pct"/>
                  <w:noWrap/>
                  <w:vAlign w:val="center"/>
                </w:tcPr>
                <w:p w14:paraId="64A5A79A">
                  <w:pPr>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反击破碎机</w:t>
                  </w:r>
                </w:p>
              </w:tc>
              <w:tc>
                <w:tcPr>
                  <w:tcW w:w="727" w:type="pct"/>
                  <w:noWrap/>
                  <w:vAlign w:val="center"/>
                </w:tcPr>
                <w:p w14:paraId="421BBE40">
                  <w:pPr>
                    <w:jc w:val="center"/>
                    <w:textAlignment w:val="center"/>
                    <w:rPr>
                      <w:color w:val="000000" w:themeColor="text1"/>
                      <w:sz w:val="18"/>
                      <w:szCs w:val="18"/>
                      <w:lang w:bidi="ar"/>
                      <w14:textFill>
                        <w14:solidFill>
                          <w14:schemeClr w14:val="tx1"/>
                        </w14:solidFill>
                      </w14:textFill>
                    </w:rPr>
                  </w:pPr>
                  <w:r>
                    <w:rPr>
                      <w:rFonts w:hint="eastAsia"/>
                      <w:color w:val="000000" w:themeColor="text1"/>
                      <w:sz w:val="18"/>
                      <w:szCs w:val="18"/>
                      <w:lang w:bidi="ar"/>
                      <w14:textFill>
                        <w14:solidFill>
                          <w14:schemeClr w14:val="tx1"/>
                        </w14:solidFill>
                      </w14:textFill>
                    </w:rPr>
                    <w:t>150</w:t>
                  </w:r>
                </w:p>
              </w:tc>
              <w:tc>
                <w:tcPr>
                  <w:tcW w:w="423" w:type="pct"/>
                  <w:noWrap/>
                  <w:vAlign w:val="center"/>
                </w:tcPr>
                <w:p w14:paraId="3D5E6807">
                  <w:pPr>
                    <w:jc w:val="center"/>
                    <w:textAlignment w:val="center"/>
                    <w:rPr>
                      <w:color w:val="000000" w:themeColor="text1"/>
                      <w:sz w:val="18"/>
                      <w:szCs w:val="18"/>
                      <w:lang w:bidi="ar"/>
                      <w14:textFill>
                        <w14:solidFill>
                          <w14:schemeClr w14:val="tx1"/>
                        </w14:solidFill>
                      </w14:textFill>
                    </w:rPr>
                  </w:pPr>
                  <w:r>
                    <w:rPr>
                      <w:rFonts w:hint="eastAsia"/>
                      <w:color w:val="000000" w:themeColor="text1"/>
                      <w:sz w:val="18"/>
                      <w:szCs w:val="18"/>
                      <w:lang w:bidi="ar"/>
                      <w14:textFill>
                        <w14:solidFill>
                          <w14:schemeClr w14:val="tx1"/>
                        </w14:solidFill>
                      </w14:textFill>
                    </w:rPr>
                    <w:t>1</w:t>
                  </w:r>
                </w:p>
              </w:tc>
              <w:tc>
                <w:tcPr>
                  <w:tcW w:w="598" w:type="pct"/>
                  <w:noWrap/>
                  <w:vAlign w:val="center"/>
                </w:tcPr>
                <w:p w14:paraId="69C9B905">
                  <w:pPr>
                    <w:jc w:val="center"/>
                    <w:textAlignment w:val="center"/>
                    <w:rPr>
                      <w:color w:val="000000" w:themeColor="text1"/>
                      <w:sz w:val="18"/>
                      <w:szCs w:val="18"/>
                      <w:lang w:bidi="ar"/>
                      <w14:textFill>
                        <w14:solidFill>
                          <w14:schemeClr w14:val="tx1"/>
                        </w14:solidFill>
                      </w14:textFill>
                    </w:rPr>
                  </w:pPr>
                  <w:r>
                    <w:rPr>
                      <w:rFonts w:hint="eastAsia"/>
                      <w:color w:val="000000" w:themeColor="text1"/>
                      <w:sz w:val="18"/>
                      <w:szCs w:val="18"/>
                      <w:lang w:bidi="ar"/>
                      <w14:textFill>
                        <w14:solidFill>
                          <w14:schemeClr w14:val="tx1"/>
                        </w14:solidFill>
                      </w14:textFill>
                    </w:rPr>
                    <w:t>150</w:t>
                  </w:r>
                </w:p>
              </w:tc>
              <w:tc>
                <w:tcPr>
                  <w:tcW w:w="517" w:type="pct"/>
                </w:tcPr>
                <w:p w14:paraId="7ACBE4E8">
                  <w:pPr>
                    <w:jc w:val="center"/>
                    <w:textAlignment w:val="center"/>
                    <w:rPr>
                      <w:rFonts w:hint="eastAsia" w:ascii="Times New Roman" w:hAnsi="Times New Roman" w:eastAsia="宋体" w:cs="Times New Roman"/>
                      <w:color w:val="000000" w:themeColor="text1"/>
                      <w:sz w:val="18"/>
                      <w:szCs w:val="18"/>
                      <w:lang w:bidi="ar"/>
                      <w14:textFill>
                        <w14:solidFill>
                          <w14:schemeClr w14:val="tx1"/>
                        </w14:solidFill>
                      </w14:textFill>
                    </w:rPr>
                  </w:pPr>
                  <w:r>
                    <w:rPr>
                      <w:rFonts w:hint="eastAsia" w:ascii="Times New Roman" w:hAnsi="Times New Roman" w:eastAsia="宋体" w:cs="Times New Roman"/>
                      <w:color w:val="000000" w:themeColor="text1"/>
                      <w:sz w:val="18"/>
                      <w:szCs w:val="18"/>
                      <w:lang w:bidi="ar"/>
                      <w14:textFill>
                        <w14:solidFill>
                          <w14:schemeClr w14:val="tx1"/>
                        </w14:solidFill>
                      </w14:textFill>
                    </w:rPr>
                    <w:t>1080000</w:t>
                  </w:r>
                </w:p>
              </w:tc>
              <w:tc>
                <w:tcPr>
                  <w:tcW w:w="558" w:type="pct"/>
                  <w:noWrap/>
                  <w:vAlign w:val="center"/>
                </w:tcPr>
                <w:p w14:paraId="7B198E4A">
                  <w:pPr>
                    <w:jc w:val="center"/>
                    <w:textAlignment w:val="center"/>
                    <w:rPr>
                      <w:color w:val="000000" w:themeColor="text1"/>
                      <w:sz w:val="18"/>
                      <w:szCs w:val="18"/>
                      <w:lang w:bidi="ar"/>
                      <w14:textFill>
                        <w14:solidFill>
                          <w14:schemeClr w14:val="tx1"/>
                        </w14:solidFill>
                      </w14:textFill>
                    </w:rPr>
                  </w:pPr>
                  <w:r>
                    <w:rPr>
                      <w:rFonts w:hint="eastAsia"/>
                      <w:color w:val="000000" w:themeColor="text1"/>
                      <w:sz w:val="18"/>
                      <w:szCs w:val="18"/>
                      <w:lang w:bidi="ar"/>
                      <w14:textFill>
                        <w14:solidFill>
                          <w14:schemeClr w14:val="tx1"/>
                        </w14:solidFill>
                      </w14:textFill>
                    </w:rPr>
                    <w:t>887200</w:t>
                  </w:r>
                </w:p>
              </w:tc>
              <w:tc>
                <w:tcPr>
                  <w:tcW w:w="526" w:type="pct"/>
                  <w:noWrap/>
                  <w:vAlign w:val="center"/>
                </w:tcPr>
                <w:p w14:paraId="1E74B062">
                  <w:pPr>
                    <w:jc w:val="center"/>
                    <w:textAlignment w:val="center"/>
                    <w:rPr>
                      <w:color w:val="000000" w:themeColor="text1"/>
                      <w:sz w:val="18"/>
                      <w:szCs w:val="18"/>
                      <w:lang w:bidi="ar"/>
                      <w14:textFill>
                        <w14:solidFill>
                          <w14:schemeClr w14:val="tx1"/>
                        </w14:solidFill>
                      </w14:textFill>
                    </w:rPr>
                  </w:pPr>
                  <w:r>
                    <w:rPr>
                      <w:rFonts w:hint="eastAsia"/>
                      <w:color w:val="000000" w:themeColor="text1"/>
                      <w:sz w:val="18"/>
                      <w:szCs w:val="18"/>
                      <w:lang w:bidi="ar"/>
                      <w14:textFill>
                        <w14:solidFill>
                          <w14:schemeClr w14:val="tx1"/>
                        </w14:solidFill>
                      </w14:textFill>
                    </w:rPr>
                    <w:t>7200</w:t>
                  </w:r>
                </w:p>
              </w:tc>
              <w:tc>
                <w:tcPr>
                  <w:tcW w:w="533" w:type="pct"/>
                  <w:noWrap/>
                  <w:vAlign w:val="center"/>
                </w:tcPr>
                <w:p w14:paraId="7D9F710C">
                  <w:pPr>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匹配</w:t>
                  </w:r>
                </w:p>
              </w:tc>
            </w:tr>
            <w:tr w14:paraId="03CC928A">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27" w:hRule="atLeast"/>
                <w:jc w:val="center"/>
              </w:trPr>
              <w:tc>
                <w:tcPr>
                  <w:tcW w:w="322" w:type="pct"/>
                  <w:noWrap/>
                  <w:vAlign w:val="center"/>
                </w:tcPr>
                <w:p w14:paraId="3707136B">
                  <w:pPr>
                    <w:jc w:val="center"/>
                    <w:textAlignment w:val="center"/>
                    <w:rPr>
                      <w:rFonts w:hint="eastAsia"/>
                      <w:color w:val="000000" w:themeColor="text1"/>
                      <w:sz w:val="18"/>
                      <w:szCs w:val="18"/>
                      <w:lang w:bidi="ar"/>
                      <w14:textFill>
                        <w14:solidFill>
                          <w14:schemeClr w14:val="tx1"/>
                        </w14:solidFill>
                      </w14:textFill>
                    </w:rPr>
                  </w:pPr>
                  <w:r>
                    <w:rPr>
                      <w:rFonts w:hint="eastAsia"/>
                      <w:color w:val="000000" w:themeColor="text1"/>
                      <w:sz w:val="18"/>
                      <w:szCs w:val="18"/>
                      <w:lang w:bidi="ar"/>
                      <w14:textFill>
                        <w14:solidFill>
                          <w14:schemeClr w14:val="tx1"/>
                        </w14:solidFill>
                      </w14:textFill>
                    </w:rPr>
                    <w:t>3</w:t>
                  </w:r>
                </w:p>
              </w:tc>
              <w:tc>
                <w:tcPr>
                  <w:tcW w:w="792" w:type="pct"/>
                  <w:noWrap/>
                  <w:vAlign w:val="center"/>
                </w:tcPr>
                <w:p w14:paraId="7870BE17">
                  <w:pPr>
                    <w:jc w:val="center"/>
                    <w:textAlignment w:val="center"/>
                    <w:rPr>
                      <w:rFonts w:hint="eastAsia"/>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脱水筛</w:t>
                  </w:r>
                </w:p>
              </w:tc>
              <w:tc>
                <w:tcPr>
                  <w:tcW w:w="727" w:type="pct"/>
                  <w:shd w:val="clear" w:color="auto" w:fill="auto"/>
                  <w:noWrap/>
                  <w:vAlign w:val="center"/>
                </w:tcPr>
                <w:p w14:paraId="2C9800D8">
                  <w:pPr>
                    <w:jc w:val="center"/>
                    <w:textAlignment w:val="center"/>
                    <w:rPr>
                      <w:rFonts w:hint="eastAsia" w:ascii="Times New Roman" w:hAnsi="Times New Roman" w:eastAsia="宋体" w:cs="Times New Roman"/>
                      <w:color w:val="000000" w:themeColor="text1"/>
                      <w:kern w:val="2"/>
                      <w:sz w:val="18"/>
                      <w:szCs w:val="18"/>
                      <w:lang w:val="en-US" w:eastAsia="zh-CN" w:bidi="ar"/>
                      <w14:textFill>
                        <w14:solidFill>
                          <w14:schemeClr w14:val="tx1"/>
                        </w14:solidFill>
                      </w14:textFill>
                    </w:rPr>
                  </w:pPr>
                  <w:r>
                    <w:rPr>
                      <w:rFonts w:hint="eastAsia"/>
                      <w:color w:val="000000" w:themeColor="text1"/>
                      <w:sz w:val="18"/>
                      <w:szCs w:val="18"/>
                      <w:lang w:val="en-US" w:eastAsia="zh-CN" w:bidi="ar"/>
                      <w14:textFill>
                        <w14:solidFill>
                          <w14:schemeClr w14:val="tx1"/>
                        </w14:solidFill>
                      </w14:textFill>
                    </w:rPr>
                    <w:t>26</w:t>
                  </w:r>
                  <w:r>
                    <w:rPr>
                      <w:rFonts w:hint="eastAsia"/>
                      <w:color w:val="000000" w:themeColor="text1"/>
                      <w:sz w:val="18"/>
                      <w:szCs w:val="18"/>
                      <w:lang w:bidi="ar"/>
                      <w14:textFill>
                        <w14:solidFill>
                          <w14:schemeClr w14:val="tx1"/>
                        </w14:solidFill>
                      </w14:textFill>
                    </w:rPr>
                    <w:t>0</w:t>
                  </w:r>
                </w:p>
              </w:tc>
              <w:tc>
                <w:tcPr>
                  <w:tcW w:w="423" w:type="pct"/>
                  <w:shd w:val="clear" w:color="auto" w:fill="auto"/>
                  <w:noWrap/>
                  <w:vAlign w:val="center"/>
                </w:tcPr>
                <w:p w14:paraId="38F4E1C0">
                  <w:pPr>
                    <w:jc w:val="center"/>
                    <w:textAlignment w:val="center"/>
                    <w:rPr>
                      <w:rFonts w:hint="eastAsia" w:ascii="Times New Roman" w:hAnsi="Times New Roman" w:eastAsia="宋体" w:cs="Times New Roman"/>
                      <w:color w:val="000000" w:themeColor="text1"/>
                      <w:kern w:val="2"/>
                      <w:sz w:val="18"/>
                      <w:szCs w:val="18"/>
                      <w:lang w:val="en-US" w:eastAsia="zh-CN" w:bidi="ar"/>
                      <w14:textFill>
                        <w14:solidFill>
                          <w14:schemeClr w14:val="tx1"/>
                        </w14:solidFill>
                      </w14:textFill>
                    </w:rPr>
                  </w:pPr>
                  <w:r>
                    <w:rPr>
                      <w:rFonts w:hint="eastAsia"/>
                      <w:color w:val="000000" w:themeColor="text1"/>
                      <w:sz w:val="18"/>
                      <w:szCs w:val="18"/>
                      <w:lang w:bidi="ar"/>
                      <w14:textFill>
                        <w14:solidFill>
                          <w14:schemeClr w14:val="tx1"/>
                        </w14:solidFill>
                      </w14:textFill>
                    </w:rPr>
                    <w:t>1</w:t>
                  </w:r>
                </w:p>
              </w:tc>
              <w:tc>
                <w:tcPr>
                  <w:tcW w:w="598" w:type="pct"/>
                  <w:shd w:val="clear" w:color="auto" w:fill="auto"/>
                  <w:noWrap/>
                  <w:vAlign w:val="center"/>
                </w:tcPr>
                <w:p w14:paraId="35C8754B">
                  <w:pPr>
                    <w:jc w:val="center"/>
                    <w:textAlignment w:val="center"/>
                    <w:rPr>
                      <w:rFonts w:hint="eastAsia" w:ascii="Times New Roman" w:hAnsi="Times New Roman" w:eastAsia="宋体" w:cs="Times New Roman"/>
                      <w:color w:val="000000" w:themeColor="text1"/>
                      <w:kern w:val="2"/>
                      <w:sz w:val="18"/>
                      <w:szCs w:val="18"/>
                      <w:lang w:val="en-US" w:eastAsia="zh-CN" w:bidi="ar"/>
                      <w14:textFill>
                        <w14:solidFill>
                          <w14:schemeClr w14:val="tx1"/>
                        </w14:solidFill>
                      </w14:textFill>
                    </w:rPr>
                  </w:pPr>
                  <w:r>
                    <w:rPr>
                      <w:rFonts w:hint="eastAsia"/>
                      <w:color w:val="000000" w:themeColor="text1"/>
                      <w:sz w:val="18"/>
                      <w:szCs w:val="18"/>
                      <w:lang w:val="en-US" w:eastAsia="zh-CN" w:bidi="ar"/>
                      <w14:textFill>
                        <w14:solidFill>
                          <w14:schemeClr w14:val="tx1"/>
                        </w14:solidFill>
                      </w14:textFill>
                    </w:rPr>
                    <w:t>26</w:t>
                  </w:r>
                  <w:r>
                    <w:rPr>
                      <w:rFonts w:hint="eastAsia"/>
                      <w:color w:val="000000" w:themeColor="text1"/>
                      <w:sz w:val="18"/>
                      <w:szCs w:val="18"/>
                      <w:lang w:bidi="ar"/>
                      <w14:textFill>
                        <w14:solidFill>
                          <w14:schemeClr w14:val="tx1"/>
                        </w14:solidFill>
                      </w14:textFill>
                    </w:rPr>
                    <w:t>0</w:t>
                  </w:r>
                </w:p>
              </w:tc>
              <w:tc>
                <w:tcPr>
                  <w:tcW w:w="517" w:type="pct"/>
                  <w:shd w:val="clear" w:color="auto" w:fill="auto"/>
                  <w:vAlign w:val="center"/>
                </w:tcPr>
                <w:p w14:paraId="6855BAF8">
                  <w:pPr>
                    <w:jc w:val="center"/>
                    <w:textAlignment w:val="center"/>
                    <w:rPr>
                      <w:rFonts w:hint="eastAsia" w:ascii="Times New Roman" w:hAnsi="Times New Roman" w:eastAsia="宋体" w:cs="Times New Roman"/>
                      <w:color w:val="000000" w:themeColor="text1"/>
                      <w:sz w:val="18"/>
                      <w:szCs w:val="18"/>
                      <w:lang w:val="en-US" w:eastAsia="zh-CN" w:bidi="ar"/>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bidi="ar"/>
                      <w14:textFill>
                        <w14:solidFill>
                          <w14:schemeClr w14:val="tx1"/>
                        </w14:solidFill>
                      </w14:textFill>
                    </w:rPr>
                    <w:t>1872000</w:t>
                  </w:r>
                </w:p>
              </w:tc>
              <w:tc>
                <w:tcPr>
                  <w:tcW w:w="558" w:type="pct"/>
                  <w:shd w:val="clear" w:color="auto" w:fill="auto"/>
                  <w:noWrap/>
                  <w:vAlign w:val="center"/>
                </w:tcPr>
                <w:p w14:paraId="14B81CF6">
                  <w:pPr>
                    <w:jc w:val="center"/>
                    <w:textAlignment w:val="center"/>
                    <w:rPr>
                      <w:rFonts w:hint="eastAsia" w:ascii="Times New Roman" w:hAnsi="Times New Roman" w:eastAsia="宋体" w:cs="Times New Roman"/>
                      <w:color w:val="000000" w:themeColor="text1"/>
                      <w:kern w:val="2"/>
                      <w:sz w:val="18"/>
                      <w:szCs w:val="18"/>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18"/>
                      <w:szCs w:val="18"/>
                      <w:lang w:val="en-US" w:eastAsia="zh-CN" w:bidi="ar"/>
                      <w14:textFill>
                        <w14:solidFill>
                          <w14:schemeClr w14:val="tx1"/>
                        </w14:solidFill>
                      </w14:textFill>
                    </w:rPr>
                    <w:t>1833433.842</w:t>
                  </w:r>
                </w:p>
              </w:tc>
              <w:tc>
                <w:tcPr>
                  <w:tcW w:w="526" w:type="pct"/>
                  <w:shd w:val="clear" w:color="auto" w:fill="auto"/>
                  <w:noWrap/>
                  <w:vAlign w:val="center"/>
                </w:tcPr>
                <w:p w14:paraId="6A28DDA3">
                  <w:pPr>
                    <w:jc w:val="center"/>
                    <w:textAlignment w:val="center"/>
                    <w:rPr>
                      <w:rFonts w:hint="eastAsia" w:ascii="Times New Roman" w:hAnsi="Times New Roman" w:eastAsia="宋体" w:cs="Times New Roman"/>
                      <w:color w:val="000000" w:themeColor="text1"/>
                      <w:kern w:val="2"/>
                      <w:sz w:val="18"/>
                      <w:szCs w:val="18"/>
                      <w:lang w:val="en-US" w:eastAsia="zh-CN" w:bidi="ar"/>
                      <w14:textFill>
                        <w14:solidFill>
                          <w14:schemeClr w14:val="tx1"/>
                        </w14:solidFill>
                      </w14:textFill>
                    </w:rPr>
                  </w:pPr>
                  <w:r>
                    <w:rPr>
                      <w:rFonts w:hint="eastAsia"/>
                      <w:color w:val="000000" w:themeColor="text1"/>
                      <w:sz w:val="18"/>
                      <w:szCs w:val="18"/>
                      <w:lang w:bidi="ar"/>
                      <w14:textFill>
                        <w14:solidFill>
                          <w14:schemeClr w14:val="tx1"/>
                        </w14:solidFill>
                      </w14:textFill>
                    </w:rPr>
                    <w:t>7200</w:t>
                  </w:r>
                </w:p>
              </w:tc>
              <w:tc>
                <w:tcPr>
                  <w:tcW w:w="533" w:type="pct"/>
                  <w:shd w:val="clear" w:color="auto" w:fill="auto"/>
                  <w:noWrap/>
                  <w:vAlign w:val="center"/>
                </w:tcPr>
                <w:p w14:paraId="66E1CD51">
                  <w:pPr>
                    <w:jc w:val="center"/>
                    <w:textAlignment w:val="center"/>
                    <w:rPr>
                      <w:rFonts w:ascii="Times New Roman" w:hAnsi="Times New Roman" w:eastAsia="宋体" w:cs="Times New Roman"/>
                      <w:color w:val="000000" w:themeColor="text1"/>
                      <w:kern w:val="2"/>
                      <w:sz w:val="18"/>
                      <w:szCs w:val="18"/>
                      <w:lang w:val="en-US" w:eastAsia="zh-CN" w:bidi="ar"/>
                      <w14:textFill>
                        <w14:solidFill>
                          <w14:schemeClr w14:val="tx1"/>
                        </w14:solidFill>
                      </w14:textFill>
                    </w:rPr>
                  </w:pPr>
                  <w:r>
                    <w:rPr>
                      <w:color w:val="000000" w:themeColor="text1"/>
                      <w:sz w:val="18"/>
                      <w:szCs w:val="18"/>
                      <w:lang w:bidi="ar"/>
                      <w14:textFill>
                        <w14:solidFill>
                          <w14:schemeClr w14:val="tx1"/>
                        </w14:solidFill>
                      </w14:textFill>
                    </w:rPr>
                    <w:t>匹配</w:t>
                  </w:r>
                </w:p>
              </w:tc>
            </w:tr>
            <w:tr w14:paraId="0E49E509">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27" w:hRule="atLeast"/>
                <w:jc w:val="center"/>
              </w:trPr>
              <w:tc>
                <w:tcPr>
                  <w:tcW w:w="322" w:type="pct"/>
                  <w:noWrap/>
                  <w:vAlign w:val="center"/>
                </w:tcPr>
                <w:p w14:paraId="53B625BC">
                  <w:pPr>
                    <w:jc w:val="center"/>
                    <w:textAlignment w:val="center"/>
                    <w:rPr>
                      <w:rFonts w:hint="eastAsia" w:eastAsia="宋体"/>
                      <w:color w:val="000000" w:themeColor="text1"/>
                      <w:sz w:val="18"/>
                      <w:szCs w:val="18"/>
                      <w:lang w:val="en-US" w:eastAsia="zh-CN" w:bidi="ar"/>
                      <w14:textFill>
                        <w14:solidFill>
                          <w14:schemeClr w14:val="tx1"/>
                        </w14:solidFill>
                      </w14:textFill>
                    </w:rPr>
                  </w:pPr>
                  <w:r>
                    <w:rPr>
                      <w:rFonts w:hint="eastAsia"/>
                      <w:color w:val="000000" w:themeColor="text1"/>
                      <w:sz w:val="18"/>
                      <w:szCs w:val="18"/>
                      <w:lang w:val="en-US" w:eastAsia="zh-CN" w:bidi="ar"/>
                      <w14:textFill>
                        <w14:solidFill>
                          <w14:schemeClr w14:val="tx1"/>
                        </w14:solidFill>
                      </w14:textFill>
                    </w:rPr>
                    <w:t>4</w:t>
                  </w:r>
                </w:p>
              </w:tc>
              <w:tc>
                <w:tcPr>
                  <w:tcW w:w="792" w:type="pct"/>
                  <w:shd w:val="clear" w:color="auto" w:fill="auto"/>
                  <w:noWrap/>
                  <w:vAlign w:val="center"/>
                </w:tcPr>
                <w:p w14:paraId="68ACC6DE">
                  <w:pPr>
                    <w:jc w:val="center"/>
                    <w:textAlignment w:val="center"/>
                    <w:rPr>
                      <w:rFonts w:hint="eastAsia"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振动</w:t>
                  </w:r>
                  <w:r>
                    <w:rPr>
                      <w:rFonts w:hint="eastAsia"/>
                      <w:color w:val="000000" w:themeColor="text1"/>
                      <w:sz w:val="18"/>
                      <w:szCs w:val="18"/>
                      <w14:textFill>
                        <w14:solidFill>
                          <w14:schemeClr w14:val="tx1"/>
                        </w14:solidFill>
                      </w14:textFill>
                    </w:rPr>
                    <w:t>筛</w:t>
                  </w:r>
                </w:p>
              </w:tc>
              <w:tc>
                <w:tcPr>
                  <w:tcW w:w="727" w:type="pct"/>
                  <w:shd w:val="clear" w:color="auto" w:fill="auto"/>
                  <w:noWrap/>
                  <w:vAlign w:val="center"/>
                </w:tcPr>
                <w:p w14:paraId="5F969B9E">
                  <w:pPr>
                    <w:jc w:val="center"/>
                    <w:textAlignment w:val="center"/>
                    <w:rPr>
                      <w:rFonts w:hint="default" w:ascii="Times New Roman" w:hAnsi="Times New Roman" w:eastAsia="宋体" w:cs="Times New Roman"/>
                      <w:color w:val="000000" w:themeColor="text1"/>
                      <w:kern w:val="2"/>
                      <w:sz w:val="18"/>
                      <w:szCs w:val="18"/>
                      <w:lang w:val="en-US" w:eastAsia="zh-CN" w:bidi="ar"/>
                      <w14:textFill>
                        <w14:solidFill>
                          <w14:schemeClr w14:val="tx1"/>
                        </w14:solidFill>
                      </w14:textFill>
                    </w:rPr>
                  </w:pPr>
                  <w:r>
                    <w:rPr>
                      <w:rFonts w:hint="eastAsia" w:eastAsia="宋体"/>
                      <w:color w:val="000000" w:themeColor="text1"/>
                      <w:sz w:val="18"/>
                      <w:szCs w:val="18"/>
                      <w:lang w:val="en-US" w:eastAsia="zh-CN" w:bidi="ar"/>
                      <w14:textFill>
                        <w14:solidFill>
                          <w14:schemeClr w14:val="tx1"/>
                        </w14:solidFill>
                      </w14:textFill>
                    </w:rPr>
                    <w:t>75</w:t>
                  </w:r>
                </w:p>
              </w:tc>
              <w:tc>
                <w:tcPr>
                  <w:tcW w:w="423" w:type="pct"/>
                  <w:shd w:val="clear" w:color="auto" w:fill="auto"/>
                  <w:noWrap/>
                  <w:vAlign w:val="center"/>
                </w:tcPr>
                <w:p w14:paraId="567DB703">
                  <w:pPr>
                    <w:jc w:val="center"/>
                    <w:textAlignment w:val="center"/>
                    <w:rPr>
                      <w:rFonts w:hint="eastAsia" w:ascii="Times New Roman" w:hAnsi="Times New Roman" w:eastAsia="宋体" w:cs="Times New Roman"/>
                      <w:color w:val="000000" w:themeColor="text1"/>
                      <w:kern w:val="2"/>
                      <w:sz w:val="18"/>
                      <w:szCs w:val="18"/>
                      <w:lang w:val="en-US" w:eastAsia="zh-CN" w:bidi="ar"/>
                      <w14:textFill>
                        <w14:solidFill>
                          <w14:schemeClr w14:val="tx1"/>
                        </w14:solidFill>
                      </w14:textFill>
                    </w:rPr>
                  </w:pPr>
                  <w:r>
                    <w:rPr>
                      <w:rFonts w:hint="eastAsia" w:eastAsia="宋体"/>
                      <w:color w:val="000000" w:themeColor="text1"/>
                      <w:sz w:val="18"/>
                      <w:szCs w:val="18"/>
                      <w:lang w:val="en-US" w:eastAsia="zh-CN" w:bidi="ar"/>
                      <w14:textFill>
                        <w14:solidFill>
                          <w14:schemeClr w14:val="tx1"/>
                        </w14:solidFill>
                      </w14:textFill>
                    </w:rPr>
                    <w:t>2</w:t>
                  </w:r>
                </w:p>
              </w:tc>
              <w:tc>
                <w:tcPr>
                  <w:tcW w:w="598" w:type="pct"/>
                  <w:shd w:val="clear" w:color="auto" w:fill="auto"/>
                  <w:noWrap/>
                  <w:vAlign w:val="center"/>
                </w:tcPr>
                <w:p w14:paraId="36326F66">
                  <w:pPr>
                    <w:jc w:val="center"/>
                    <w:textAlignment w:val="center"/>
                    <w:rPr>
                      <w:rFonts w:hint="eastAsia" w:ascii="Times New Roman" w:hAnsi="Times New Roman" w:eastAsia="宋体" w:cs="Times New Roman"/>
                      <w:color w:val="000000" w:themeColor="text1"/>
                      <w:kern w:val="2"/>
                      <w:sz w:val="18"/>
                      <w:szCs w:val="18"/>
                      <w:lang w:val="en-US" w:eastAsia="zh-CN" w:bidi="ar"/>
                      <w14:textFill>
                        <w14:solidFill>
                          <w14:schemeClr w14:val="tx1"/>
                        </w14:solidFill>
                      </w14:textFill>
                    </w:rPr>
                  </w:pPr>
                  <w:r>
                    <w:rPr>
                      <w:rFonts w:hint="eastAsia"/>
                      <w:color w:val="000000" w:themeColor="text1"/>
                      <w:sz w:val="18"/>
                      <w:szCs w:val="18"/>
                      <w:lang w:bidi="ar"/>
                      <w14:textFill>
                        <w14:solidFill>
                          <w14:schemeClr w14:val="tx1"/>
                        </w14:solidFill>
                      </w14:textFill>
                    </w:rPr>
                    <w:t>150</w:t>
                  </w:r>
                </w:p>
              </w:tc>
              <w:tc>
                <w:tcPr>
                  <w:tcW w:w="517" w:type="pct"/>
                  <w:shd w:val="clear" w:color="auto" w:fill="auto"/>
                  <w:vAlign w:val="top"/>
                </w:tcPr>
                <w:p w14:paraId="4BCF0426">
                  <w:pPr>
                    <w:jc w:val="center"/>
                    <w:textAlignment w:val="center"/>
                    <w:rPr>
                      <w:rFonts w:hint="eastAsia" w:ascii="Times New Roman" w:hAnsi="Times New Roman" w:eastAsia="宋体" w:cs="Times New Roman"/>
                      <w:color w:val="000000" w:themeColor="text1"/>
                      <w:kern w:val="2"/>
                      <w:sz w:val="18"/>
                      <w:szCs w:val="18"/>
                      <w:lang w:val="en-US" w:eastAsia="zh-CN" w:bidi="ar"/>
                      <w14:textFill>
                        <w14:solidFill>
                          <w14:schemeClr w14:val="tx1"/>
                        </w14:solidFill>
                      </w14:textFill>
                    </w:rPr>
                  </w:pPr>
                  <w:r>
                    <w:rPr>
                      <w:rFonts w:hint="eastAsia"/>
                      <w:color w:val="000000" w:themeColor="text1"/>
                      <w:sz w:val="18"/>
                      <w:szCs w:val="18"/>
                      <w:lang w:bidi="ar"/>
                      <w14:textFill>
                        <w14:solidFill>
                          <w14:schemeClr w14:val="tx1"/>
                        </w14:solidFill>
                      </w14:textFill>
                    </w:rPr>
                    <w:t>1080000</w:t>
                  </w:r>
                </w:p>
              </w:tc>
              <w:tc>
                <w:tcPr>
                  <w:tcW w:w="558" w:type="pct"/>
                  <w:shd w:val="clear" w:color="auto" w:fill="auto"/>
                  <w:noWrap/>
                  <w:vAlign w:val="center"/>
                </w:tcPr>
                <w:p w14:paraId="096906CE">
                  <w:pPr>
                    <w:jc w:val="center"/>
                    <w:textAlignment w:val="center"/>
                    <w:rPr>
                      <w:rFonts w:hint="eastAsia" w:ascii="Times New Roman" w:hAnsi="Times New Roman" w:eastAsia="宋体" w:cs="Times New Roman"/>
                      <w:color w:val="000000" w:themeColor="text1"/>
                      <w:kern w:val="2"/>
                      <w:sz w:val="18"/>
                      <w:szCs w:val="18"/>
                      <w:lang w:val="en-US" w:eastAsia="zh-CN" w:bidi="ar"/>
                      <w14:textFill>
                        <w14:solidFill>
                          <w14:schemeClr w14:val="tx1"/>
                        </w14:solidFill>
                      </w14:textFill>
                    </w:rPr>
                  </w:pPr>
                  <w:r>
                    <w:rPr>
                      <w:rFonts w:hint="eastAsia"/>
                      <w:color w:val="000000" w:themeColor="text1"/>
                      <w:sz w:val="18"/>
                      <w:szCs w:val="18"/>
                      <w:lang w:bidi="ar"/>
                      <w14:textFill>
                        <w14:solidFill>
                          <w14:schemeClr w14:val="tx1"/>
                        </w14:solidFill>
                      </w14:textFill>
                    </w:rPr>
                    <w:t>887200</w:t>
                  </w:r>
                </w:p>
              </w:tc>
              <w:tc>
                <w:tcPr>
                  <w:tcW w:w="526" w:type="pct"/>
                  <w:shd w:val="clear" w:color="auto" w:fill="auto"/>
                  <w:noWrap/>
                  <w:vAlign w:val="center"/>
                </w:tcPr>
                <w:p w14:paraId="5266B004">
                  <w:pPr>
                    <w:jc w:val="center"/>
                    <w:textAlignment w:val="center"/>
                    <w:rPr>
                      <w:rFonts w:hint="eastAsia" w:ascii="Times New Roman" w:hAnsi="Times New Roman" w:eastAsia="宋体" w:cs="Times New Roman"/>
                      <w:color w:val="000000" w:themeColor="text1"/>
                      <w:kern w:val="2"/>
                      <w:sz w:val="18"/>
                      <w:szCs w:val="18"/>
                      <w:lang w:val="en-US" w:eastAsia="zh-CN" w:bidi="ar"/>
                      <w14:textFill>
                        <w14:solidFill>
                          <w14:schemeClr w14:val="tx1"/>
                        </w14:solidFill>
                      </w14:textFill>
                    </w:rPr>
                  </w:pPr>
                  <w:r>
                    <w:rPr>
                      <w:rFonts w:hint="eastAsia"/>
                      <w:color w:val="000000" w:themeColor="text1"/>
                      <w:sz w:val="18"/>
                      <w:szCs w:val="18"/>
                      <w:lang w:bidi="ar"/>
                      <w14:textFill>
                        <w14:solidFill>
                          <w14:schemeClr w14:val="tx1"/>
                        </w14:solidFill>
                      </w14:textFill>
                    </w:rPr>
                    <w:t>7200</w:t>
                  </w:r>
                </w:p>
              </w:tc>
              <w:tc>
                <w:tcPr>
                  <w:tcW w:w="533" w:type="pct"/>
                  <w:shd w:val="clear" w:color="auto" w:fill="auto"/>
                  <w:noWrap/>
                  <w:vAlign w:val="center"/>
                </w:tcPr>
                <w:p w14:paraId="6356A647">
                  <w:pPr>
                    <w:jc w:val="center"/>
                    <w:textAlignment w:val="center"/>
                    <w:rPr>
                      <w:rFonts w:ascii="Times New Roman" w:hAnsi="Times New Roman" w:eastAsia="宋体" w:cs="Times New Roman"/>
                      <w:color w:val="000000" w:themeColor="text1"/>
                      <w:kern w:val="2"/>
                      <w:sz w:val="18"/>
                      <w:szCs w:val="18"/>
                      <w:lang w:val="en-US" w:eastAsia="zh-CN" w:bidi="ar"/>
                      <w14:textFill>
                        <w14:solidFill>
                          <w14:schemeClr w14:val="tx1"/>
                        </w14:solidFill>
                      </w14:textFill>
                    </w:rPr>
                  </w:pPr>
                  <w:r>
                    <w:rPr>
                      <w:color w:val="000000" w:themeColor="text1"/>
                      <w:sz w:val="18"/>
                      <w:szCs w:val="18"/>
                      <w:lang w:bidi="ar"/>
                      <w14:textFill>
                        <w14:solidFill>
                          <w14:schemeClr w14:val="tx1"/>
                        </w14:solidFill>
                      </w14:textFill>
                    </w:rPr>
                    <w:t>匹配</w:t>
                  </w:r>
                </w:p>
              </w:tc>
            </w:tr>
            <w:tr w14:paraId="234DB91A">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27" w:hRule="atLeast"/>
                <w:jc w:val="center"/>
              </w:trPr>
              <w:tc>
                <w:tcPr>
                  <w:tcW w:w="322" w:type="pct"/>
                  <w:noWrap/>
                  <w:vAlign w:val="center"/>
                </w:tcPr>
                <w:p w14:paraId="7F2A2B0F">
                  <w:pPr>
                    <w:jc w:val="center"/>
                    <w:textAlignment w:val="center"/>
                    <w:rPr>
                      <w:rFonts w:hint="eastAsia" w:eastAsia="宋体"/>
                      <w:color w:val="000000" w:themeColor="text1"/>
                      <w:sz w:val="18"/>
                      <w:szCs w:val="18"/>
                      <w:lang w:val="en-US" w:eastAsia="zh-CN" w:bidi="ar"/>
                      <w14:textFill>
                        <w14:solidFill>
                          <w14:schemeClr w14:val="tx1"/>
                        </w14:solidFill>
                      </w14:textFill>
                    </w:rPr>
                  </w:pPr>
                  <w:r>
                    <w:rPr>
                      <w:rFonts w:hint="eastAsia"/>
                      <w:color w:val="000000" w:themeColor="text1"/>
                      <w:sz w:val="18"/>
                      <w:szCs w:val="18"/>
                      <w:lang w:val="en-US" w:eastAsia="zh-CN" w:bidi="ar"/>
                      <w14:textFill>
                        <w14:solidFill>
                          <w14:schemeClr w14:val="tx1"/>
                        </w14:solidFill>
                      </w14:textFill>
                    </w:rPr>
                    <w:t>5</w:t>
                  </w:r>
                </w:p>
              </w:tc>
              <w:tc>
                <w:tcPr>
                  <w:tcW w:w="792" w:type="pct"/>
                  <w:noWrap/>
                  <w:vAlign w:val="center"/>
                </w:tcPr>
                <w:p w14:paraId="53F08BD6">
                  <w:pPr>
                    <w:jc w:val="center"/>
                    <w:textAlignment w:val="center"/>
                    <w:rPr>
                      <w:color w:val="000000" w:themeColor="text1"/>
                      <w:sz w:val="18"/>
                      <w:szCs w:val="18"/>
                      <w:lang w:bidi="ar"/>
                      <w14:textFill>
                        <w14:solidFill>
                          <w14:schemeClr w14:val="tx1"/>
                        </w14:solidFill>
                      </w14:textFill>
                    </w:rPr>
                  </w:pPr>
                  <w:r>
                    <w:rPr>
                      <w:rFonts w:hint="eastAsia"/>
                      <w:color w:val="000000" w:themeColor="text1"/>
                      <w:sz w:val="18"/>
                      <w:szCs w:val="18"/>
                      <w:lang w:bidi="ar"/>
                      <w14:textFill>
                        <w14:solidFill>
                          <w14:schemeClr w14:val="tx1"/>
                        </w14:solidFill>
                      </w14:textFill>
                    </w:rPr>
                    <w:t>水稳搅拌站</w:t>
                  </w:r>
                </w:p>
              </w:tc>
              <w:tc>
                <w:tcPr>
                  <w:tcW w:w="727" w:type="pct"/>
                  <w:noWrap/>
                  <w:vAlign w:val="center"/>
                </w:tcPr>
                <w:p w14:paraId="4E318568">
                  <w:pPr>
                    <w:jc w:val="center"/>
                    <w:textAlignment w:val="center"/>
                    <w:rPr>
                      <w:color w:val="000000" w:themeColor="text1"/>
                      <w:sz w:val="18"/>
                      <w:szCs w:val="18"/>
                      <w:lang w:bidi="ar"/>
                      <w14:textFill>
                        <w14:solidFill>
                          <w14:schemeClr w14:val="tx1"/>
                        </w14:solidFill>
                      </w14:textFill>
                    </w:rPr>
                  </w:pPr>
                  <w:r>
                    <w:rPr>
                      <w:rFonts w:hint="eastAsia"/>
                      <w:color w:val="000000" w:themeColor="text1"/>
                      <w:sz w:val="18"/>
                      <w:szCs w:val="18"/>
                      <w:lang w:bidi="ar"/>
                      <w14:textFill>
                        <w14:solidFill>
                          <w14:schemeClr w14:val="tx1"/>
                        </w14:solidFill>
                      </w14:textFill>
                    </w:rPr>
                    <w:t>150</w:t>
                  </w:r>
                </w:p>
              </w:tc>
              <w:tc>
                <w:tcPr>
                  <w:tcW w:w="423" w:type="pct"/>
                  <w:noWrap/>
                  <w:vAlign w:val="center"/>
                </w:tcPr>
                <w:p w14:paraId="5CD7B980">
                  <w:pPr>
                    <w:jc w:val="center"/>
                    <w:textAlignment w:val="center"/>
                    <w:rPr>
                      <w:color w:val="000000" w:themeColor="text1"/>
                      <w:sz w:val="18"/>
                      <w:szCs w:val="18"/>
                      <w:lang w:bidi="ar"/>
                      <w14:textFill>
                        <w14:solidFill>
                          <w14:schemeClr w14:val="tx1"/>
                        </w14:solidFill>
                      </w14:textFill>
                    </w:rPr>
                  </w:pPr>
                  <w:r>
                    <w:rPr>
                      <w:rFonts w:hint="eastAsia"/>
                      <w:color w:val="000000" w:themeColor="text1"/>
                      <w:sz w:val="18"/>
                      <w:szCs w:val="18"/>
                      <w:lang w:bidi="ar"/>
                      <w14:textFill>
                        <w14:solidFill>
                          <w14:schemeClr w14:val="tx1"/>
                        </w14:solidFill>
                      </w14:textFill>
                    </w:rPr>
                    <w:t>1</w:t>
                  </w:r>
                </w:p>
              </w:tc>
              <w:tc>
                <w:tcPr>
                  <w:tcW w:w="598" w:type="pct"/>
                  <w:noWrap/>
                  <w:vAlign w:val="center"/>
                </w:tcPr>
                <w:p w14:paraId="5AF451B8">
                  <w:pPr>
                    <w:jc w:val="center"/>
                    <w:textAlignment w:val="center"/>
                    <w:rPr>
                      <w:color w:val="000000" w:themeColor="text1"/>
                      <w:sz w:val="18"/>
                      <w:szCs w:val="18"/>
                      <w:lang w:bidi="ar"/>
                      <w14:textFill>
                        <w14:solidFill>
                          <w14:schemeClr w14:val="tx1"/>
                        </w14:solidFill>
                      </w14:textFill>
                    </w:rPr>
                  </w:pPr>
                  <w:r>
                    <w:rPr>
                      <w:rFonts w:hint="eastAsia"/>
                      <w:color w:val="000000" w:themeColor="text1"/>
                      <w:sz w:val="18"/>
                      <w:szCs w:val="18"/>
                      <w:lang w:bidi="ar"/>
                      <w14:textFill>
                        <w14:solidFill>
                          <w14:schemeClr w14:val="tx1"/>
                        </w14:solidFill>
                      </w14:textFill>
                    </w:rPr>
                    <w:t>150</w:t>
                  </w:r>
                </w:p>
              </w:tc>
              <w:tc>
                <w:tcPr>
                  <w:tcW w:w="517" w:type="pct"/>
                </w:tcPr>
                <w:p w14:paraId="69EFE119">
                  <w:pPr>
                    <w:jc w:val="center"/>
                    <w:textAlignment w:val="center"/>
                    <w:rPr>
                      <w:color w:val="000000" w:themeColor="text1"/>
                      <w:sz w:val="18"/>
                      <w:szCs w:val="18"/>
                      <w:lang w:bidi="ar"/>
                      <w14:textFill>
                        <w14:solidFill>
                          <w14:schemeClr w14:val="tx1"/>
                        </w14:solidFill>
                      </w14:textFill>
                    </w:rPr>
                  </w:pPr>
                  <w:r>
                    <w:rPr>
                      <w:rFonts w:hint="eastAsia"/>
                      <w:color w:val="000000" w:themeColor="text1"/>
                      <w:sz w:val="18"/>
                      <w:szCs w:val="18"/>
                      <w:lang w:bidi="ar"/>
                      <w14:textFill>
                        <w14:solidFill>
                          <w14:schemeClr w14:val="tx1"/>
                        </w14:solidFill>
                      </w14:textFill>
                    </w:rPr>
                    <w:t>1080000</w:t>
                  </w:r>
                </w:p>
              </w:tc>
              <w:tc>
                <w:tcPr>
                  <w:tcW w:w="558" w:type="pct"/>
                  <w:noWrap/>
                  <w:vAlign w:val="center"/>
                </w:tcPr>
                <w:p w14:paraId="329B7372">
                  <w:pPr>
                    <w:jc w:val="center"/>
                    <w:textAlignment w:val="center"/>
                    <w:rPr>
                      <w:color w:val="000000" w:themeColor="text1"/>
                      <w:sz w:val="18"/>
                      <w:szCs w:val="18"/>
                      <w:lang w:bidi="ar"/>
                      <w14:textFill>
                        <w14:solidFill>
                          <w14:schemeClr w14:val="tx1"/>
                        </w14:solidFill>
                      </w14:textFill>
                    </w:rPr>
                  </w:pPr>
                  <w:r>
                    <w:rPr>
                      <w:rFonts w:hint="eastAsia"/>
                      <w:color w:val="000000" w:themeColor="text1"/>
                      <w:sz w:val="18"/>
                      <w:szCs w:val="18"/>
                      <w:lang w:bidi="ar"/>
                      <w14:textFill>
                        <w14:solidFill>
                          <w14:schemeClr w14:val="tx1"/>
                        </w14:solidFill>
                      </w14:textFill>
                    </w:rPr>
                    <w:t>1000000</w:t>
                  </w:r>
                </w:p>
              </w:tc>
              <w:tc>
                <w:tcPr>
                  <w:tcW w:w="526" w:type="pct"/>
                  <w:noWrap/>
                </w:tcPr>
                <w:p w14:paraId="10A89D74">
                  <w:pPr>
                    <w:jc w:val="center"/>
                    <w:textAlignment w:val="center"/>
                    <w:rPr>
                      <w:color w:val="000000" w:themeColor="text1"/>
                      <w:sz w:val="18"/>
                      <w:szCs w:val="18"/>
                      <w:lang w:bidi="ar"/>
                      <w14:textFill>
                        <w14:solidFill>
                          <w14:schemeClr w14:val="tx1"/>
                        </w14:solidFill>
                      </w14:textFill>
                    </w:rPr>
                  </w:pPr>
                  <w:r>
                    <w:rPr>
                      <w:rFonts w:hint="eastAsia"/>
                      <w:color w:val="000000" w:themeColor="text1"/>
                      <w:sz w:val="18"/>
                      <w:szCs w:val="18"/>
                      <w:lang w:bidi="ar"/>
                      <w14:textFill>
                        <w14:solidFill>
                          <w14:schemeClr w14:val="tx1"/>
                        </w14:solidFill>
                      </w14:textFill>
                    </w:rPr>
                    <w:t>7200</w:t>
                  </w:r>
                </w:p>
              </w:tc>
              <w:tc>
                <w:tcPr>
                  <w:tcW w:w="533" w:type="pct"/>
                  <w:noWrap/>
                  <w:vAlign w:val="center"/>
                </w:tcPr>
                <w:p w14:paraId="2FAD3818">
                  <w:pPr>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匹配</w:t>
                  </w:r>
                </w:p>
              </w:tc>
            </w:tr>
            <w:tr w14:paraId="0A0EC9A1">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27" w:hRule="atLeast"/>
                <w:jc w:val="center"/>
              </w:trPr>
              <w:tc>
                <w:tcPr>
                  <w:tcW w:w="5000" w:type="pct"/>
                  <w:gridSpan w:val="9"/>
                </w:tcPr>
                <w:p w14:paraId="77C2DFC0">
                  <w:pP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说明：项目</w:t>
                  </w:r>
                  <w:r>
                    <w:rPr>
                      <w:rFonts w:hint="eastAsia"/>
                      <w:color w:val="000000" w:themeColor="text1"/>
                      <w:sz w:val="18"/>
                      <w:szCs w:val="18"/>
                      <w:lang w:bidi="ar"/>
                      <w14:textFill>
                        <w14:solidFill>
                          <w14:schemeClr w14:val="tx1"/>
                        </w14:solidFill>
                      </w14:textFill>
                    </w:rPr>
                    <w:t>年工作时间为300天，日工作24小时，年工作7200小时。</w:t>
                  </w:r>
                </w:p>
              </w:tc>
            </w:tr>
          </w:tbl>
          <w:p w14:paraId="7459E925">
            <w:pPr>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项目设备满足生产过程破碎系统、搅拌系统所需要的产能需求。</w:t>
            </w:r>
          </w:p>
          <w:p w14:paraId="38523178">
            <w:pPr>
              <w:spacing w:line="360" w:lineRule="auto"/>
              <w:ind w:firstLine="482" w:firstLineChars="200"/>
              <w:jc w:val="left"/>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四、主要原辅材料及能源消耗</w:t>
            </w:r>
          </w:p>
          <w:p w14:paraId="44409A57">
            <w:pPr>
              <w:widowControl/>
              <w:spacing w:line="360" w:lineRule="auto"/>
              <w:ind w:firstLine="480" w:firstLineChars="200"/>
              <w:jc w:val="left"/>
              <w:rPr>
                <w:bCs/>
                <w:color w:val="000000" w:themeColor="text1"/>
                <w:kern w:val="0"/>
                <w:sz w:val="24"/>
                <w14:textFill>
                  <w14:solidFill>
                    <w14:schemeClr w14:val="tx1"/>
                  </w14:solidFill>
                </w14:textFill>
              </w:rPr>
            </w:pPr>
            <w:r>
              <w:rPr>
                <w:rFonts w:hint="eastAsia"/>
                <w:bCs/>
                <w:color w:val="000000" w:themeColor="text1"/>
                <w:kern w:val="0"/>
                <w:sz w:val="24"/>
                <w14:textFill>
                  <w14:solidFill>
                    <w14:schemeClr w14:val="tx1"/>
                  </w14:solidFill>
                </w14:textFill>
              </w:rPr>
              <w:t>根据建设单位提供资料，本项目建设需使用原辅材料与现有项目一期工程使用原辅材料无关，均为新增。现有项目原辅材料在现有项目介绍中列出，在此不列</w:t>
            </w:r>
            <w:r>
              <w:rPr>
                <w:bCs/>
                <w:color w:val="000000" w:themeColor="text1"/>
                <w:kern w:val="0"/>
                <w:sz w:val="24"/>
                <w14:textFill>
                  <w14:solidFill>
                    <w14:schemeClr w14:val="tx1"/>
                  </w14:solidFill>
                </w14:textFill>
              </w:rPr>
              <w:t>原辅材料及能源消耗情况详见表2-4。</w:t>
            </w:r>
          </w:p>
          <w:p w14:paraId="7D6DDBF6">
            <w:pPr>
              <w:jc w:val="center"/>
              <w:rPr>
                <w:b/>
                <w:bCs/>
                <w:color w:val="000000" w:themeColor="text1"/>
                <w:kern w:val="0"/>
                <w:sz w:val="24"/>
                <w14:textFill>
                  <w14:solidFill>
                    <w14:schemeClr w14:val="tx1"/>
                  </w14:solidFill>
                </w14:textFill>
              </w:rPr>
            </w:pPr>
            <w:r>
              <w:rPr>
                <w:b/>
                <w:bCs/>
                <w:color w:val="000000" w:themeColor="text1"/>
                <w:kern w:val="0"/>
                <w:sz w:val="24"/>
                <w14:textFill>
                  <w14:solidFill>
                    <w14:schemeClr w14:val="tx1"/>
                  </w14:solidFill>
                </w14:textFill>
              </w:rPr>
              <w:t>表2-</w:t>
            </w:r>
            <w:r>
              <w:rPr>
                <w:rFonts w:hint="eastAsia"/>
                <w:b/>
                <w:bCs/>
                <w:color w:val="000000" w:themeColor="text1"/>
                <w:kern w:val="0"/>
                <w:sz w:val="24"/>
                <w14:textFill>
                  <w14:solidFill>
                    <w14:schemeClr w14:val="tx1"/>
                  </w14:solidFill>
                </w14:textFill>
              </w:rPr>
              <w:t>4</w:t>
            </w:r>
            <w:r>
              <w:rPr>
                <w:b/>
                <w:bCs/>
                <w:color w:val="000000" w:themeColor="text1"/>
                <w:kern w:val="0"/>
                <w:sz w:val="24"/>
                <w14:textFill>
                  <w14:solidFill>
                    <w14:schemeClr w14:val="tx1"/>
                  </w14:solidFill>
                </w14:textFill>
              </w:rPr>
              <w:t xml:space="preserve">   主要原辅材料及能耗一览表</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396"/>
              <w:gridCol w:w="1163"/>
              <w:gridCol w:w="1251"/>
              <w:gridCol w:w="738"/>
              <w:gridCol w:w="850"/>
              <w:gridCol w:w="1000"/>
              <w:gridCol w:w="1177"/>
              <w:gridCol w:w="1177"/>
              <w:gridCol w:w="1285"/>
            </w:tblGrid>
            <w:tr w14:paraId="067BB63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9" w:type="pct"/>
                  <w:vAlign w:val="center"/>
                </w:tcPr>
                <w:p w14:paraId="7A9C5CD5">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序号</w:t>
                  </w:r>
                </w:p>
              </w:tc>
              <w:tc>
                <w:tcPr>
                  <w:tcW w:w="644" w:type="pct"/>
                  <w:vAlign w:val="center"/>
                </w:tcPr>
                <w:p w14:paraId="5BA249F1">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原辅料名称</w:t>
                  </w:r>
                </w:p>
              </w:tc>
              <w:tc>
                <w:tcPr>
                  <w:tcW w:w="692" w:type="pct"/>
                  <w:vAlign w:val="center"/>
                </w:tcPr>
                <w:p w14:paraId="7BFB9869">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年用量（t/a）</w:t>
                  </w:r>
                </w:p>
              </w:tc>
              <w:tc>
                <w:tcPr>
                  <w:tcW w:w="408" w:type="pct"/>
                  <w:vAlign w:val="center"/>
                </w:tcPr>
                <w:p w14:paraId="7E12E9A1">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形态</w:t>
                  </w:r>
                </w:p>
              </w:tc>
              <w:tc>
                <w:tcPr>
                  <w:tcW w:w="470" w:type="pct"/>
                  <w:vAlign w:val="center"/>
                </w:tcPr>
                <w:p w14:paraId="3699BE80">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包装形式</w:t>
                  </w:r>
                </w:p>
              </w:tc>
              <w:tc>
                <w:tcPr>
                  <w:tcW w:w="553" w:type="pct"/>
                  <w:vAlign w:val="center"/>
                </w:tcPr>
                <w:p w14:paraId="432DF577">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最大存储量（t）</w:t>
                  </w:r>
                </w:p>
              </w:tc>
              <w:tc>
                <w:tcPr>
                  <w:tcW w:w="651" w:type="pct"/>
                  <w:vAlign w:val="center"/>
                </w:tcPr>
                <w:p w14:paraId="552E9C36">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贮存周期</w:t>
                  </w:r>
                </w:p>
              </w:tc>
              <w:tc>
                <w:tcPr>
                  <w:tcW w:w="651" w:type="pct"/>
                  <w:vAlign w:val="center"/>
                </w:tcPr>
                <w:p w14:paraId="782BB67B">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存储位置</w:t>
                  </w:r>
                </w:p>
              </w:tc>
              <w:tc>
                <w:tcPr>
                  <w:tcW w:w="709" w:type="pct"/>
                  <w:vAlign w:val="center"/>
                </w:tcPr>
                <w:p w14:paraId="400477FB">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备注</w:t>
                  </w:r>
                </w:p>
              </w:tc>
            </w:tr>
            <w:tr w14:paraId="554FF11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08" w:hRule="atLeast"/>
              </w:trPr>
              <w:tc>
                <w:tcPr>
                  <w:tcW w:w="219" w:type="pct"/>
                  <w:vAlign w:val="center"/>
                </w:tcPr>
                <w:p w14:paraId="530A5A9C">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一</w:t>
                  </w:r>
                </w:p>
              </w:tc>
              <w:tc>
                <w:tcPr>
                  <w:tcW w:w="4780" w:type="pct"/>
                  <w:gridSpan w:val="8"/>
                </w:tcPr>
                <w:p w14:paraId="4F42EB76">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原辅料</w:t>
                  </w:r>
                </w:p>
              </w:tc>
            </w:tr>
            <w:tr w14:paraId="634650E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9" w:type="pct"/>
                  <w:vAlign w:val="center"/>
                </w:tcPr>
                <w:p w14:paraId="76E02C42">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p>
              </w:tc>
              <w:tc>
                <w:tcPr>
                  <w:tcW w:w="644" w:type="pct"/>
                  <w:tcBorders>
                    <w:top w:val="single" w:color="auto" w:sz="4" w:space="0"/>
                    <w:left w:val="single" w:color="auto" w:sz="4" w:space="0"/>
                    <w:bottom w:val="single" w:color="auto" w:sz="4" w:space="0"/>
                    <w:right w:val="single" w:color="auto" w:sz="4" w:space="0"/>
                  </w:tcBorders>
                  <w:vAlign w:val="center"/>
                </w:tcPr>
                <w:p w14:paraId="110ECF53">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毛石</w:t>
                  </w:r>
                </w:p>
              </w:tc>
              <w:tc>
                <w:tcPr>
                  <w:tcW w:w="692" w:type="pct"/>
                  <w:vAlign w:val="center"/>
                </w:tcPr>
                <w:p w14:paraId="003453A3">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887200</w:t>
                  </w:r>
                </w:p>
              </w:tc>
              <w:tc>
                <w:tcPr>
                  <w:tcW w:w="408" w:type="pct"/>
                  <w:vAlign w:val="center"/>
                </w:tcPr>
                <w:p w14:paraId="72793555">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固态</w:t>
                  </w:r>
                </w:p>
              </w:tc>
              <w:tc>
                <w:tcPr>
                  <w:tcW w:w="470" w:type="pct"/>
                  <w:vAlign w:val="center"/>
                </w:tcPr>
                <w:p w14:paraId="2EFFE2A9">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散装</w:t>
                  </w:r>
                </w:p>
              </w:tc>
              <w:tc>
                <w:tcPr>
                  <w:tcW w:w="553" w:type="pct"/>
                  <w:vAlign w:val="center"/>
                </w:tcPr>
                <w:p w14:paraId="29A73B19">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20001.33</w:t>
                  </w:r>
                </w:p>
              </w:tc>
              <w:tc>
                <w:tcPr>
                  <w:tcW w:w="651" w:type="pct"/>
                  <w:vAlign w:val="center"/>
                </w:tcPr>
                <w:p w14:paraId="0F92EF6C">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7天</w:t>
                  </w:r>
                </w:p>
              </w:tc>
              <w:tc>
                <w:tcPr>
                  <w:tcW w:w="651" w:type="pct"/>
                  <w:vAlign w:val="center"/>
                </w:tcPr>
                <w:p w14:paraId="12F7C4B3">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原料堆放区</w:t>
                  </w:r>
                </w:p>
              </w:tc>
              <w:tc>
                <w:tcPr>
                  <w:tcW w:w="709" w:type="pct"/>
                  <w:vAlign w:val="center"/>
                </w:tcPr>
                <w:p w14:paraId="4641BEEC">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外购，汽运</w:t>
                  </w:r>
                </w:p>
              </w:tc>
            </w:tr>
            <w:tr w14:paraId="6A3918E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9" w:type="pct"/>
                  <w:vAlign w:val="center"/>
                </w:tcPr>
                <w:p w14:paraId="1B9AA0B6">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p>
              </w:tc>
              <w:tc>
                <w:tcPr>
                  <w:tcW w:w="644" w:type="pct"/>
                  <w:tcBorders>
                    <w:top w:val="single" w:color="auto" w:sz="4" w:space="0"/>
                    <w:left w:val="single" w:color="auto" w:sz="4" w:space="0"/>
                    <w:bottom w:val="single" w:color="auto" w:sz="4" w:space="0"/>
                    <w:right w:val="single" w:color="auto" w:sz="4" w:space="0"/>
                  </w:tcBorders>
                  <w:vAlign w:val="center"/>
                </w:tcPr>
                <w:p w14:paraId="16142416">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水泥</w:t>
                  </w:r>
                </w:p>
              </w:tc>
              <w:tc>
                <w:tcPr>
                  <w:tcW w:w="692" w:type="pct"/>
                  <w:vAlign w:val="center"/>
                </w:tcPr>
                <w:p w14:paraId="1DB91BCA">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50</w:t>
                  </w:r>
                  <w:r>
                    <w:rPr>
                      <w:rFonts w:hint="eastAsia"/>
                      <w:color w:val="000000" w:themeColor="text1"/>
                      <w:sz w:val="18"/>
                      <w:szCs w:val="18"/>
                      <w14:textFill>
                        <w14:solidFill>
                          <w14:schemeClr w14:val="tx1"/>
                        </w14:solidFill>
                      </w14:textFill>
                    </w:rPr>
                    <w:t>000</w:t>
                  </w:r>
                </w:p>
              </w:tc>
              <w:tc>
                <w:tcPr>
                  <w:tcW w:w="408" w:type="pct"/>
                  <w:vAlign w:val="center"/>
                </w:tcPr>
                <w:p w14:paraId="616BC5E9">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固态</w:t>
                  </w:r>
                </w:p>
              </w:tc>
              <w:tc>
                <w:tcPr>
                  <w:tcW w:w="470" w:type="pct"/>
                  <w:vAlign w:val="center"/>
                </w:tcPr>
                <w:p w14:paraId="7E9457F4">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散装</w:t>
                  </w:r>
                </w:p>
              </w:tc>
              <w:tc>
                <w:tcPr>
                  <w:tcW w:w="553" w:type="pct"/>
                  <w:vAlign w:val="center"/>
                </w:tcPr>
                <w:p w14:paraId="1BFF2374">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500</w:t>
                  </w:r>
                </w:p>
              </w:tc>
              <w:tc>
                <w:tcPr>
                  <w:tcW w:w="651" w:type="pct"/>
                  <w:vAlign w:val="center"/>
                </w:tcPr>
                <w:p w14:paraId="25FFDDB4">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3天</w:t>
                  </w:r>
                </w:p>
              </w:tc>
              <w:tc>
                <w:tcPr>
                  <w:tcW w:w="651" w:type="pct"/>
                  <w:vAlign w:val="center"/>
                </w:tcPr>
                <w:p w14:paraId="63E8FD95">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水</w:t>
                  </w:r>
                  <w:r>
                    <w:rPr>
                      <w:color w:val="000000" w:themeColor="text1"/>
                      <w:sz w:val="18"/>
                      <w:szCs w:val="18"/>
                      <w14:textFill>
                        <w14:solidFill>
                          <w14:schemeClr w14:val="tx1"/>
                        </w14:solidFill>
                      </w14:textFill>
                    </w:rPr>
                    <w:t>泥筒仓</w:t>
                  </w:r>
                </w:p>
              </w:tc>
              <w:tc>
                <w:tcPr>
                  <w:tcW w:w="709" w:type="pct"/>
                  <w:vAlign w:val="center"/>
                </w:tcPr>
                <w:p w14:paraId="7C5529FF">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外购，汽运</w:t>
                  </w:r>
                </w:p>
              </w:tc>
            </w:tr>
            <w:tr w14:paraId="0C9F86E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9" w:type="pct"/>
                  <w:vAlign w:val="center"/>
                </w:tcPr>
                <w:p w14:paraId="2B7DBDD3">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二</w:t>
                  </w:r>
                </w:p>
              </w:tc>
              <w:tc>
                <w:tcPr>
                  <w:tcW w:w="4780" w:type="pct"/>
                  <w:gridSpan w:val="8"/>
                </w:tcPr>
                <w:p w14:paraId="11E801F3">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能源</w:t>
                  </w:r>
                </w:p>
              </w:tc>
            </w:tr>
            <w:tr w14:paraId="4A54D6C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9" w:type="pct"/>
                  <w:vAlign w:val="center"/>
                </w:tcPr>
                <w:p w14:paraId="5F06BAD5">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p>
              </w:tc>
              <w:tc>
                <w:tcPr>
                  <w:tcW w:w="644" w:type="pct"/>
                  <w:vAlign w:val="center"/>
                </w:tcPr>
                <w:p w14:paraId="203A6DB3">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电</w:t>
                  </w:r>
                </w:p>
              </w:tc>
              <w:tc>
                <w:tcPr>
                  <w:tcW w:w="692" w:type="pct"/>
                  <w:vAlign w:val="center"/>
                </w:tcPr>
                <w:p w14:paraId="7C8F2A37">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400万kW.h/a</w:t>
                  </w:r>
                </w:p>
              </w:tc>
              <w:tc>
                <w:tcPr>
                  <w:tcW w:w="408" w:type="pct"/>
                  <w:vAlign w:val="center"/>
                </w:tcPr>
                <w:p w14:paraId="1B53770B">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p>
              </w:tc>
              <w:tc>
                <w:tcPr>
                  <w:tcW w:w="470" w:type="pct"/>
                  <w:vAlign w:val="center"/>
                </w:tcPr>
                <w:p w14:paraId="6C0AAC99">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p>
              </w:tc>
              <w:tc>
                <w:tcPr>
                  <w:tcW w:w="553" w:type="pct"/>
                  <w:vAlign w:val="center"/>
                </w:tcPr>
                <w:p w14:paraId="708C4DFC">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p>
              </w:tc>
              <w:tc>
                <w:tcPr>
                  <w:tcW w:w="651" w:type="pct"/>
                  <w:vAlign w:val="center"/>
                </w:tcPr>
                <w:p w14:paraId="5198A5AC">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651" w:type="pct"/>
                  <w:vAlign w:val="center"/>
                </w:tcPr>
                <w:p w14:paraId="68188B54">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p>
              </w:tc>
              <w:tc>
                <w:tcPr>
                  <w:tcW w:w="709" w:type="pct"/>
                  <w:vAlign w:val="center"/>
                </w:tcPr>
                <w:p w14:paraId="10A5F92C">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园区供电</w:t>
                  </w:r>
                </w:p>
              </w:tc>
            </w:tr>
            <w:tr w14:paraId="09D9B03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9" w:type="pct"/>
                  <w:vAlign w:val="center"/>
                </w:tcPr>
                <w:p w14:paraId="33C0DA00">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p>
              </w:tc>
              <w:tc>
                <w:tcPr>
                  <w:tcW w:w="644" w:type="pct"/>
                  <w:vAlign w:val="center"/>
                </w:tcPr>
                <w:p w14:paraId="08780AF2">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水</w:t>
                  </w:r>
                </w:p>
              </w:tc>
              <w:tc>
                <w:tcPr>
                  <w:tcW w:w="692" w:type="pct"/>
                  <w:vAlign w:val="center"/>
                </w:tcPr>
                <w:p w14:paraId="00488A55">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100208m</w:t>
                  </w:r>
                  <w:r>
                    <w:rPr>
                      <w:color w:val="000000" w:themeColor="text1"/>
                      <w:sz w:val="18"/>
                      <w:szCs w:val="18"/>
                      <w:vertAlign w:val="superscript"/>
                      <w14:textFill>
                        <w14:solidFill>
                          <w14:schemeClr w14:val="tx1"/>
                        </w14:solidFill>
                      </w14:textFill>
                    </w:rPr>
                    <w:t>3</w:t>
                  </w:r>
                  <w:r>
                    <w:rPr>
                      <w:color w:val="000000" w:themeColor="text1"/>
                      <w:sz w:val="18"/>
                      <w:szCs w:val="18"/>
                      <w14:textFill>
                        <w14:solidFill>
                          <w14:schemeClr w14:val="tx1"/>
                        </w14:solidFill>
                      </w14:textFill>
                    </w:rPr>
                    <w:t>/a</w:t>
                  </w:r>
                </w:p>
              </w:tc>
              <w:tc>
                <w:tcPr>
                  <w:tcW w:w="408" w:type="pct"/>
                  <w:vAlign w:val="center"/>
                </w:tcPr>
                <w:p w14:paraId="79EF9CFE">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p>
              </w:tc>
              <w:tc>
                <w:tcPr>
                  <w:tcW w:w="470" w:type="pct"/>
                  <w:vAlign w:val="center"/>
                </w:tcPr>
                <w:p w14:paraId="7866AC5D">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p>
              </w:tc>
              <w:tc>
                <w:tcPr>
                  <w:tcW w:w="553" w:type="pct"/>
                  <w:vAlign w:val="center"/>
                </w:tcPr>
                <w:p w14:paraId="15EF7030">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p>
              </w:tc>
              <w:tc>
                <w:tcPr>
                  <w:tcW w:w="651" w:type="pct"/>
                  <w:vAlign w:val="center"/>
                </w:tcPr>
                <w:p w14:paraId="1DAF936B">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651" w:type="pct"/>
                  <w:vAlign w:val="center"/>
                </w:tcPr>
                <w:p w14:paraId="73B72943">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p>
              </w:tc>
              <w:tc>
                <w:tcPr>
                  <w:tcW w:w="709" w:type="pct"/>
                  <w:vAlign w:val="center"/>
                </w:tcPr>
                <w:p w14:paraId="54B6F4C9">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园区供水</w:t>
                  </w:r>
                </w:p>
              </w:tc>
            </w:tr>
          </w:tbl>
          <w:p w14:paraId="7F491439">
            <w:pPr>
              <w:tabs>
                <w:tab w:val="left" w:pos="0"/>
              </w:tabs>
              <w:spacing w:line="360" w:lineRule="auto"/>
              <w:ind w:firstLine="482" w:firstLineChars="200"/>
              <w:rPr>
                <w:b/>
                <w:color w:val="000000" w:themeColor="text1"/>
                <w:kern w:val="21"/>
                <w:sz w:val="24"/>
                <w14:textFill>
                  <w14:solidFill>
                    <w14:schemeClr w14:val="tx1"/>
                  </w14:solidFill>
                </w14:textFill>
              </w:rPr>
            </w:pPr>
            <w:r>
              <w:rPr>
                <w:rFonts w:hint="eastAsia"/>
                <w:b/>
                <w:color w:val="000000" w:themeColor="text1"/>
                <w:kern w:val="21"/>
                <w:sz w:val="24"/>
                <w14:textFill>
                  <w14:solidFill>
                    <w14:schemeClr w14:val="tx1"/>
                  </w14:solidFill>
                </w14:textFill>
              </w:rPr>
              <w:t>1、毛石</w:t>
            </w:r>
          </w:p>
          <w:p w14:paraId="3199D967">
            <w:pPr>
              <w:tabs>
                <w:tab w:val="left" w:pos="0"/>
              </w:tabs>
              <w:spacing w:line="360" w:lineRule="auto"/>
              <w:ind w:firstLine="480" w:firstLineChars="200"/>
              <w:jc w:val="left"/>
              <w:rPr>
                <w:bCs/>
                <w:color w:val="000000" w:themeColor="text1"/>
                <w:kern w:val="21"/>
                <w:sz w:val="24"/>
                <w14:textFill>
                  <w14:solidFill>
                    <w14:schemeClr w14:val="tx1"/>
                  </w14:solidFill>
                </w14:textFill>
              </w:rPr>
            </w:pPr>
            <w:r>
              <w:rPr>
                <w:rFonts w:hint="eastAsia"/>
                <w:bCs/>
                <w:color w:val="000000" w:themeColor="text1"/>
                <w:kern w:val="21"/>
                <w:sz w:val="24"/>
                <w14:textFill>
                  <w14:solidFill>
                    <w14:schemeClr w14:val="tx1"/>
                  </w14:solidFill>
                </w14:textFill>
              </w:rPr>
              <w:t>毛石是石灰岩、砂岩或花岗岩经爆破开采后形成的不成形石料，项目使用的毛石主要为形状不规则的乱毛石。</w:t>
            </w:r>
          </w:p>
          <w:p w14:paraId="76360048">
            <w:pPr>
              <w:tabs>
                <w:tab w:val="left" w:pos="0"/>
              </w:tabs>
              <w:spacing w:line="360" w:lineRule="auto"/>
              <w:ind w:firstLine="482" w:firstLineChars="200"/>
              <w:rPr>
                <w:b/>
                <w:color w:val="000000" w:themeColor="text1"/>
                <w:kern w:val="21"/>
                <w:sz w:val="24"/>
                <w14:textFill>
                  <w14:solidFill>
                    <w14:schemeClr w14:val="tx1"/>
                  </w14:solidFill>
                </w14:textFill>
              </w:rPr>
            </w:pPr>
            <w:r>
              <w:rPr>
                <w:rFonts w:hint="eastAsia"/>
                <w:b/>
                <w:color w:val="000000" w:themeColor="text1"/>
                <w:kern w:val="21"/>
                <w:sz w:val="24"/>
                <w14:textFill>
                  <w14:solidFill>
                    <w14:schemeClr w14:val="tx1"/>
                  </w14:solidFill>
                </w14:textFill>
              </w:rPr>
              <w:t>2、水泥</w:t>
            </w:r>
          </w:p>
          <w:p w14:paraId="10B5CF62">
            <w:pPr>
              <w:tabs>
                <w:tab w:val="left" w:pos="0"/>
              </w:tabs>
              <w:spacing w:line="360" w:lineRule="auto"/>
              <w:ind w:firstLine="480" w:firstLineChars="200"/>
              <w:jc w:val="left"/>
              <w:rPr>
                <w:bCs/>
                <w:color w:val="000000" w:themeColor="text1"/>
                <w:kern w:val="21"/>
                <w:sz w:val="24"/>
                <w14:textFill>
                  <w14:solidFill>
                    <w14:schemeClr w14:val="tx1"/>
                  </w14:solidFill>
                </w14:textFill>
              </w:rPr>
            </w:pPr>
            <w:r>
              <w:rPr>
                <w:rFonts w:hint="eastAsia"/>
                <w:bCs/>
                <w:color w:val="000000" w:themeColor="text1"/>
                <w:kern w:val="21"/>
                <w:sz w:val="24"/>
                <w14:textFill>
                  <w14:solidFill>
                    <w14:schemeClr w14:val="tx1"/>
                  </w14:solidFill>
                </w14:textFill>
              </w:rPr>
              <w:t>粉状水硬性无机胶凝材料。加水搅拌后成浆体，能在空气中硬化或者在水中更好的硬化，并能把砂、石等材料牢固地胶结在一起。早期石灰与火山灰的混合物与现代的石灰火山灰水泥很相似，用它胶结碎石制成的混凝土，硬化后不但强度较高，而且还能抵抗淡水或含盐水的侵蚀。长期以来，水泥作为一种重要的胶凝材料。</w:t>
            </w:r>
          </w:p>
          <w:p w14:paraId="29E19495">
            <w:pPr>
              <w:spacing w:line="360" w:lineRule="auto"/>
              <w:ind w:firstLine="482" w:firstLineChars="200"/>
              <w:jc w:val="left"/>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五、产品方案</w:t>
            </w:r>
          </w:p>
          <w:p w14:paraId="4E0DD186">
            <w:pPr>
              <w:spacing w:line="360" w:lineRule="auto"/>
              <w:ind w:firstLine="480" w:firstLineChars="200"/>
              <w:jc w:val="left"/>
              <w:rPr>
                <w:b/>
                <w:bCs/>
                <w:color w:val="000000" w:themeColor="text1"/>
                <w:kern w:val="0"/>
                <w:sz w:val="24"/>
                <w14:textFill>
                  <w14:solidFill>
                    <w14:schemeClr w14:val="tx1"/>
                  </w14:solidFill>
                </w14:textFill>
              </w:rPr>
            </w:pPr>
            <w:r>
              <w:rPr>
                <w:rFonts w:hint="eastAsia"/>
                <w:color w:val="000000" w:themeColor="text1"/>
                <w:sz w:val="24"/>
                <w14:textFill>
                  <w14:solidFill>
                    <w14:schemeClr w14:val="tx1"/>
                  </w14:solidFill>
                </w14:textFill>
              </w:rPr>
              <w:t>本</w:t>
            </w:r>
            <w:r>
              <w:rPr>
                <w:color w:val="000000" w:themeColor="text1"/>
                <w:sz w:val="24"/>
                <w14:textFill>
                  <w14:solidFill>
                    <w14:schemeClr w14:val="tx1"/>
                  </w14:solidFill>
                </w14:textFill>
              </w:rPr>
              <w:t>项目产品见表2-</w:t>
            </w:r>
            <w:r>
              <w:rPr>
                <w:rFonts w:hint="eastAsia"/>
                <w:color w:val="000000" w:themeColor="text1"/>
                <w:sz w:val="24"/>
                <w14:textFill>
                  <w14:solidFill>
                    <w14:schemeClr w14:val="tx1"/>
                  </w14:solidFill>
                </w14:textFill>
              </w:rPr>
              <w:t>5</w:t>
            </w:r>
            <w:r>
              <w:rPr>
                <w:color w:val="000000" w:themeColor="text1"/>
                <w:sz w:val="24"/>
                <w14:textFill>
                  <w14:solidFill>
                    <w14:schemeClr w14:val="tx1"/>
                  </w14:solidFill>
                </w14:textFill>
              </w:rPr>
              <w:t>。</w:t>
            </w:r>
          </w:p>
          <w:p w14:paraId="032BE0C5">
            <w:pPr>
              <w:jc w:val="center"/>
              <w:rPr>
                <w:rFonts w:hint="default" w:eastAsia="宋体"/>
                <w:b/>
                <w:bCs/>
                <w:color w:val="000000" w:themeColor="text1"/>
                <w:kern w:val="0"/>
                <w:sz w:val="24"/>
                <w:lang w:val="en-US" w:eastAsia="zh-CN"/>
                <w14:textFill>
                  <w14:solidFill>
                    <w14:schemeClr w14:val="tx1"/>
                  </w14:solidFill>
                </w14:textFill>
              </w:rPr>
            </w:pPr>
            <w:r>
              <w:rPr>
                <w:b/>
                <w:bCs/>
                <w:color w:val="000000" w:themeColor="text1"/>
                <w:kern w:val="0"/>
                <w:sz w:val="24"/>
                <w14:textFill>
                  <w14:solidFill>
                    <w14:schemeClr w14:val="tx1"/>
                  </w14:solidFill>
                </w14:textFill>
              </w:rPr>
              <w:t>表2-</w:t>
            </w:r>
            <w:r>
              <w:rPr>
                <w:rFonts w:hint="eastAsia"/>
                <w:b/>
                <w:bCs/>
                <w:color w:val="000000" w:themeColor="text1"/>
                <w:kern w:val="0"/>
                <w:sz w:val="24"/>
                <w14:textFill>
                  <w14:solidFill>
                    <w14:schemeClr w14:val="tx1"/>
                  </w14:solidFill>
                </w14:textFill>
              </w:rPr>
              <w:t>5</w:t>
            </w:r>
            <w:r>
              <w:rPr>
                <w:b/>
                <w:bCs/>
                <w:color w:val="000000" w:themeColor="text1"/>
                <w:kern w:val="0"/>
                <w:sz w:val="24"/>
                <w14:textFill>
                  <w14:solidFill>
                    <w14:schemeClr w14:val="tx1"/>
                  </w14:solidFill>
                </w14:textFill>
              </w:rPr>
              <w:t xml:space="preserve">   项目</w:t>
            </w:r>
            <w:r>
              <w:rPr>
                <w:rFonts w:hint="eastAsia"/>
                <w:b/>
                <w:bCs/>
                <w:color w:val="000000" w:themeColor="text1"/>
                <w:kern w:val="0"/>
                <w:sz w:val="24"/>
                <w14:textFill>
                  <w14:solidFill>
                    <w14:schemeClr w14:val="tx1"/>
                  </w14:solidFill>
                </w14:textFill>
              </w:rPr>
              <w:t>扩建</w:t>
            </w:r>
            <w:r>
              <w:rPr>
                <w:b/>
                <w:bCs/>
                <w:color w:val="000000" w:themeColor="text1"/>
                <w:kern w:val="0"/>
                <w:sz w:val="24"/>
                <w14:textFill>
                  <w14:solidFill>
                    <w14:schemeClr w14:val="tx1"/>
                  </w14:solidFill>
                </w14:textFill>
              </w:rPr>
              <w:t>后</w:t>
            </w:r>
            <w:r>
              <w:rPr>
                <w:rFonts w:hint="eastAsia"/>
                <w:b/>
                <w:bCs/>
                <w:color w:val="000000" w:themeColor="text1"/>
                <w:kern w:val="0"/>
                <w:sz w:val="24"/>
                <w14:textFill>
                  <w14:solidFill>
                    <w14:schemeClr w14:val="tx1"/>
                  </w14:solidFill>
                </w14:textFill>
              </w:rPr>
              <w:t>全厂</w:t>
            </w:r>
            <w:r>
              <w:rPr>
                <w:b/>
                <w:bCs/>
                <w:color w:val="000000" w:themeColor="text1"/>
                <w:kern w:val="0"/>
                <w:sz w:val="24"/>
                <w14:textFill>
                  <w14:solidFill>
                    <w14:schemeClr w14:val="tx1"/>
                  </w14:solidFill>
                </w14:textFill>
              </w:rPr>
              <w:t>产品方案</w:t>
            </w:r>
            <w:r>
              <w:rPr>
                <w:rFonts w:hint="eastAsia"/>
                <w:b/>
                <w:bCs/>
                <w:color w:val="000000" w:themeColor="text1"/>
                <w:kern w:val="0"/>
                <w:sz w:val="24"/>
                <w:lang w:val="en-US" w:eastAsia="zh-CN"/>
                <w14:textFill>
                  <w14:solidFill>
                    <w14:schemeClr w14:val="tx1"/>
                  </w14:solidFill>
                </w14:textFill>
              </w:rPr>
              <w:t xml:space="preserve">   单位：t/a</w:t>
            </w:r>
          </w:p>
          <w:tbl>
            <w:tblPr>
              <w:tblStyle w:val="45"/>
              <w:tblW w:w="4997"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506"/>
              <w:gridCol w:w="1187"/>
              <w:gridCol w:w="1323"/>
              <w:gridCol w:w="1270"/>
              <w:gridCol w:w="810"/>
              <w:gridCol w:w="1180"/>
              <w:gridCol w:w="2756"/>
            </w:tblGrid>
            <w:tr w14:paraId="41C1414C">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27" w:hRule="atLeast"/>
                <w:jc w:val="center"/>
              </w:trPr>
              <w:tc>
                <w:tcPr>
                  <w:tcW w:w="280" w:type="pct"/>
                  <w:vMerge w:val="restart"/>
                  <w:vAlign w:val="center"/>
                </w:tcPr>
                <w:p w14:paraId="455A85EF">
                  <w:pPr>
                    <w:adjustRightInd w:val="0"/>
                    <w:snapToGrid w:val="0"/>
                    <w:spacing w:line="340" w:lineRule="exact"/>
                    <w:jc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序号</w:t>
                  </w:r>
                </w:p>
              </w:tc>
              <w:tc>
                <w:tcPr>
                  <w:tcW w:w="657" w:type="pct"/>
                  <w:vMerge w:val="restart"/>
                  <w:vAlign w:val="center"/>
                </w:tcPr>
                <w:p w14:paraId="3CD10DA6">
                  <w:pPr>
                    <w:adjustRightInd w:val="0"/>
                    <w:snapToGrid w:val="0"/>
                    <w:spacing w:line="340" w:lineRule="exact"/>
                    <w:jc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产品</w:t>
                  </w:r>
                  <w:r>
                    <w:rPr>
                      <w:rFonts w:hint="eastAsia"/>
                      <w:b/>
                      <w:bCs/>
                      <w:color w:val="000000" w:themeColor="text1"/>
                      <w:sz w:val="18"/>
                      <w:szCs w:val="18"/>
                      <w14:textFill>
                        <w14:solidFill>
                          <w14:schemeClr w14:val="tx1"/>
                        </w14:solidFill>
                      </w14:textFill>
                    </w:rPr>
                    <w:t>名称</w:t>
                  </w:r>
                </w:p>
              </w:tc>
              <w:tc>
                <w:tcPr>
                  <w:tcW w:w="1883" w:type="pct"/>
                  <w:gridSpan w:val="3"/>
                  <w:vAlign w:val="center"/>
                </w:tcPr>
                <w:p w14:paraId="3B057265">
                  <w:pPr>
                    <w:adjustRightInd w:val="0"/>
                    <w:snapToGrid w:val="0"/>
                    <w:spacing w:line="340" w:lineRule="exact"/>
                    <w:jc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产量</w:t>
                  </w:r>
                  <w:r>
                    <w:rPr>
                      <w:b/>
                      <w:bCs/>
                      <w:color w:val="000000" w:themeColor="text1"/>
                      <w:sz w:val="18"/>
                      <w:szCs w:val="18"/>
                      <w14:textFill>
                        <w14:solidFill>
                          <w14:schemeClr w14:val="tx1"/>
                        </w14:solidFill>
                      </w14:textFill>
                    </w:rPr>
                    <w:t>t/a</w:t>
                  </w:r>
                </w:p>
              </w:tc>
              <w:tc>
                <w:tcPr>
                  <w:tcW w:w="653" w:type="pct"/>
                  <w:vMerge w:val="restart"/>
                  <w:vAlign w:val="center"/>
                </w:tcPr>
                <w:p w14:paraId="5B026568">
                  <w:pPr>
                    <w:adjustRightInd w:val="0"/>
                    <w:snapToGrid w:val="0"/>
                    <w:spacing w:line="340" w:lineRule="exact"/>
                    <w:jc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规格</w:t>
                  </w:r>
                </w:p>
              </w:tc>
              <w:tc>
                <w:tcPr>
                  <w:tcW w:w="1525" w:type="pct"/>
                  <w:vMerge w:val="restart"/>
                  <w:vAlign w:val="center"/>
                </w:tcPr>
                <w:p w14:paraId="05F92306">
                  <w:pPr>
                    <w:adjustRightInd w:val="0"/>
                    <w:snapToGrid w:val="0"/>
                    <w:spacing w:line="340" w:lineRule="exact"/>
                    <w:jc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产品执行标准</w:t>
                  </w:r>
                </w:p>
              </w:tc>
            </w:tr>
            <w:tr w14:paraId="32F6A36B">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27" w:hRule="atLeast"/>
                <w:jc w:val="center"/>
              </w:trPr>
              <w:tc>
                <w:tcPr>
                  <w:tcW w:w="280" w:type="pct"/>
                  <w:vMerge w:val="continue"/>
                  <w:vAlign w:val="center"/>
                </w:tcPr>
                <w:p w14:paraId="2DF2C937">
                  <w:pPr>
                    <w:adjustRightInd w:val="0"/>
                    <w:snapToGrid w:val="0"/>
                    <w:spacing w:line="340" w:lineRule="exact"/>
                    <w:jc w:val="center"/>
                    <w:rPr>
                      <w:color w:val="000000" w:themeColor="text1"/>
                      <w:sz w:val="18"/>
                      <w:szCs w:val="18"/>
                      <w14:textFill>
                        <w14:solidFill>
                          <w14:schemeClr w14:val="tx1"/>
                        </w14:solidFill>
                      </w14:textFill>
                    </w:rPr>
                  </w:pPr>
                </w:p>
              </w:tc>
              <w:tc>
                <w:tcPr>
                  <w:tcW w:w="657" w:type="pct"/>
                  <w:vMerge w:val="continue"/>
                  <w:vAlign w:val="center"/>
                </w:tcPr>
                <w:p w14:paraId="561E1D31">
                  <w:pPr>
                    <w:adjustRightInd w:val="0"/>
                    <w:snapToGrid w:val="0"/>
                    <w:spacing w:line="340" w:lineRule="exact"/>
                    <w:jc w:val="center"/>
                    <w:rPr>
                      <w:color w:val="000000" w:themeColor="text1"/>
                      <w:sz w:val="18"/>
                      <w:szCs w:val="18"/>
                      <w14:textFill>
                        <w14:solidFill>
                          <w14:schemeClr w14:val="tx1"/>
                        </w14:solidFill>
                      </w14:textFill>
                    </w:rPr>
                  </w:pPr>
                </w:p>
              </w:tc>
              <w:tc>
                <w:tcPr>
                  <w:tcW w:w="732" w:type="pct"/>
                  <w:vAlign w:val="center"/>
                </w:tcPr>
                <w:p w14:paraId="5C52D550">
                  <w:pPr>
                    <w:adjustRightInd w:val="0"/>
                    <w:snapToGrid w:val="0"/>
                    <w:spacing w:line="340" w:lineRule="exact"/>
                    <w:jc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本项目扩建前</w:t>
                  </w:r>
                </w:p>
              </w:tc>
              <w:tc>
                <w:tcPr>
                  <w:tcW w:w="703" w:type="pct"/>
                  <w:vAlign w:val="center"/>
                </w:tcPr>
                <w:p w14:paraId="70CE4935">
                  <w:pPr>
                    <w:adjustRightInd w:val="0"/>
                    <w:snapToGrid w:val="0"/>
                    <w:spacing w:line="340" w:lineRule="exact"/>
                    <w:jc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本项目扩建后</w:t>
                  </w:r>
                </w:p>
              </w:tc>
              <w:tc>
                <w:tcPr>
                  <w:tcW w:w="448" w:type="pct"/>
                  <w:vAlign w:val="center"/>
                </w:tcPr>
                <w:p w14:paraId="34DB6CB7">
                  <w:pPr>
                    <w:adjustRightInd w:val="0"/>
                    <w:snapToGrid w:val="0"/>
                    <w:spacing w:line="340" w:lineRule="exact"/>
                    <w:jc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变化量</w:t>
                  </w:r>
                </w:p>
              </w:tc>
              <w:tc>
                <w:tcPr>
                  <w:tcW w:w="653" w:type="pct"/>
                  <w:vMerge w:val="continue"/>
                  <w:vAlign w:val="center"/>
                </w:tcPr>
                <w:p w14:paraId="60E68910">
                  <w:pPr>
                    <w:adjustRightInd w:val="0"/>
                    <w:snapToGrid w:val="0"/>
                    <w:spacing w:line="340" w:lineRule="exact"/>
                    <w:jc w:val="center"/>
                    <w:rPr>
                      <w:color w:val="000000" w:themeColor="text1"/>
                      <w:sz w:val="18"/>
                      <w:szCs w:val="18"/>
                      <w14:textFill>
                        <w14:solidFill>
                          <w14:schemeClr w14:val="tx1"/>
                        </w14:solidFill>
                      </w14:textFill>
                    </w:rPr>
                  </w:pPr>
                </w:p>
              </w:tc>
              <w:tc>
                <w:tcPr>
                  <w:tcW w:w="1525" w:type="pct"/>
                  <w:vMerge w:val="continue"/>
                  <w:vAlign w:val="center"/>
                </w:tcPr>
                <w:p w14:paraId="072509D3">
                  <w:pPr>
                    <w:adjustRightInd w:val="0"/>
                    <w:snapToGrid w:val="0"/>
                    <w:spacing w:line="340" w:lineRule="exact"/>
                    <w:jc w:val="center"/>
                    <w:rPr>
                      <w:color w:val="000000" w:themeColor="text1"/>
                      <w:sz w:val="18"/>
                      <w:szCs w:val="18"/>
                      <w14:textFill>
                        <w14:solidFill>
                          <w14:schemeClr w14:val="tx1"/>
                        </w14:solidFill>
                      </w14:textFill>
                    </w:rPr>
                  </w:pPr>
                </w:p>
              </w:tc>
            </w:tr>
            <w:tr w14:paraId="2F9FDF0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27" w:hRule="atLeast"/>
                <w:jc w:val="center"/>
              </w:trPr>
              <w:tc>
                <w:tcPr>
                  <w:tcW w:w="280" w:type="pct"/>
                  <w:vAlign w:val="center"/>
                </w:tcPr>
                <w:p w14:paraId="3AE80974">
                  <w:pPr>
                    <w:adjustRightInd w:val="0"/>
                    <w:snapToGrid w:val="0"/>
                    <w:spacing w:line="340" w:lineRule="exact"/>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p>
              </w:tc>
              <w:tc>
                <w:tcPr>
                  <w:tcW w:w="657" w:type="pct"/>
                  <w:vAlign w:val="center"/>
                </w:tcPr>
                <w:p w14:paraId="72BF68DA">
                  <w:pPr>
                    <w:adjustRightInd w:val="0"/>
                    <w:snapToGrid w:val="0"/>
                    <w:spacing w:line="34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水稳料</w:t>
                  </w:r>
                </w:p>
              </w:tc>
              <w:tc>
                <w:tcPr>
                  <w:tcW w:w="732" w:type="pct"/>
                  <w:vAlign w:val="center"/>
                </w:tcPr>
                <w:p w14:paraId="34265880">
                  <w:pPr>
                    <w:adjustRightInd w:val="0"/>
                    <w:snapToGrid w:val="0"/>
                    <w:spacing w:line="34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w:t>
                  </w:r>
                </w:p>
              </w:tc>
              <w:tc>
                <w:tcPr>
                  <w:tcW w:w="703" w:type="pct"/>
                  <w:vAlign w:val="center"/>
                </w:tcPr>
                <w:p w14:paraId="3E1DF028">
                  <w:pPr>
                    <w:adjustRightInd w:val="0"/>
                    <w:snapToGrid w:val="0"/>
                    <w:spacing w:line="340" w:lineRule="exact"/>
                    <w:jc w:val="center"/>
                    <w:rPr>
                      <w:rFonts w:hint="eastAsia" w:eastAsia="宋体"/>
                      <w:color w:val="000000" w:themeColor="text1"/>
                      <w:sz w:val="18"/>
                      <w:szCs w:val="18"/>
                      <w:lang w:val="en-US" w:eastAsia="zh-CN"/>
                      <w14:textFill>
                        <w14:solidFill>
                          <w14:schemeClr w14:val="tx1"/>
                        </w14:solidFill>
                      </w14:textFill>
                    </w:rPr>
                  </w:pPr>
                  <w:r>
                    <w:rPr>
                      <w:rFonts w:hint="eastAsia"/>
                      <w:color w:val="000000" w:themeColor="text1"/>
                      <w:sz w:val="18"/>
                      <w:szCs w:val="18"/>
                      <w14:textFill>
                        <w14:solidFill>
                          <w14:schemeClr w14:val="tx1"/>
                        </w14:solidFill>
                      </w14:textFill>
                    </w:rPr>
                    <w:t>100</w:t>
                  </w:r>
                  <w:r>
                    <w:rPr>
                      <w:rFonts w:hint="eastAsia"/>
                      <w:color w:val="000000" w:themeColor="text1"/>
                      <w:sz w:val="18"/>
                      <w:szCs w:val="18"/>
                      <w:lang w:val="en-US" w:eastAsia="zh-CN"/>
                      <w14:textFill>
                        <w14:solidFill>
                          <w14:schemeClr w14:val="tx1"/>
                        </w14:solidFill>
                      </w14:textFill>
                    </w:rPr>
                    <w:t>万</w:t>
                  </w:r>
                </w:p>
              </w:tc>
              <w:tc>
                <w:tcPr>
                  <w:tcW w:w="448" w:type="pct"/>
                  <w:vAlign w:val="center"/>
                </w:tcPr>
                <w:p w14:paraId="1D92F737">
                  <w:pPr>
                    <w:adjustRightInd w:val="0"/>
                    <w:snapToGrid w:val="0"/>
                    <w:spacing w:line="340" w:lineRule="exact"/>
                    <w:jc w:val="center"/>
                    <w:rPr>
                      <w:rFonts w:hint="eastAsia" w:eastAsia="宋体"/>
                      <w:color w:val="000000" w:themeColor="text1"/>
                      <w:sz w:val="18"/>
                      <w:szCs w:val="18"/>
                      <w:lang w:val="en-US" w:eastAsia="zh-CN"/>
                      <w14:textFill>
                        <w14:solidFill>
                          <w14:schemeClr w14:val="tx1"/>
                        </w14:solidFill>
                      </w14:textFill>
                    </w:rPr>
                  </w:pPr>
                  <w:r>
                    <w:rPr>
                      <w:rFonts w:hint="eastAsia"/>
                      <w:color w:val="000000" w:themeColor="text1"/>
                      <w:sz w:val="18"/>
                      <w:szCs w:val="18"/>
                      <w14:textFill>
                        <w14:solidFill>
                          <w14:schemeClr w14:val="tx1"/>
                        </w14:solidFill>
                      </w14:textFill>
                    </w:rPr>
                    <w:t>+100</w:t>
                  </w:r>
                  <w:r>
                    <w:rPr>
                      <w:rFonts w:hint="eastAsia"/>
                      <w:color w:val="000000" w:themeColor="text1"/>
                      <w:sz w:val="18"/>
                      <w:szCs w:val="18"/>
                      <w:lang w:val="en-US" w:eastAsia="zh-CN"/>
                      <w14:textFill>
                        <w14:solidFill>
                          <w14:schemeClr w14:val="tx1"/>
                        </w14:solidFill>
                      </w14:textFill>
                    </w:rPr>
                    <w:t>万</w:t>
                  </w:r>
                </w:p>
              </w:tc>
              <w:tc>
                <w:tcPr>
                  <w:tcW w:w="653" w:type="pct"/>
                  <w:vAlign w:val="center"/>
                </w:tcPr>
                <w:p w14:paraId="2A22B3CD">
                  <w:pPr>
                    <w:adjustRightInd w:val="0"/>
                    <w:snapToGrid w:val="0"/>
                    <w:spacing w:line="34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含水率约7%</w:t>
                  </w:r>
                </w:p>
              </w:tc>
              <w:tc>
                <w:tcPr>
                  <w:tcW w:w="1525" w:type="pct"/>
                  <w:vAlign w:val="center"/>
                </w:tcPr>
                <w:p w14:paraId="10588981">
                  <w:pPr>
                    <w:adjustRightInd w:val="0"/>
                    <w:snapToGrid w:val="0"/>
                    <w:spacing w:line="34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不在厂区储存，生产后直接运输至施工现场，应符合《混凝土外加剂》（GB8076-2008）标准</w:t>
                  </w:r>
                </w:p>
              </w:tc>
            </w:tr>
            <w:tr w14:paraId="1BFB78A2">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27" w:hRule="atLeast"/>
                <w:jc w:val="center"/>
              </w:trPr>
              <w:tc>
                <w:tcPr>
                  <w:tcW w:w="280" w:type="pct"/>
                  <w:vAlign w:val="center"/>
                </w:tcPr>
                <w:p w14:paraId="233BB5C2">
                  <w:pPr>
                    <w:adjustRightInd w:val="0"/>
                    <w:snapToGrid w:val="0"/>
                    <w:spacing w:line="340" w:lineRule="exact"/>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p>
              </w:tc>
              <w:tc>
                <w:tcPr>
                  <w:tcW w:w="657" w:type="pct"/>
                  <w:vAlign w:val="center"/>
                </w:tcPr>
                <w:p w14:paraId="44B89F61">
                  <w:pPr>
                    <w:adjustRightInd w:val="0"/>
                    <w:snapToGrid w:val="0"/>
                    <w:spacing w:line="34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混凝土预制件</w:t>
                  </w:r>
                </w:p>
              </w:tc>
              <w:tc>
                <w:tcPr>
                  <w:tcW w:w="732" w:type="pct"/>
                  <w:vAlign w:val="center"/>
                </w:tcPr>
                <w:p w14:paraId="79C72626">
                  <w:pPr>
                    <w:adjustRightInd w:val="0"/>
                    <w:snapToGrid w:val="0"/>
                    <w:spacing w:line="340" w:lineRule="exact"/>
                    <w:jc w:val="center"/>
                    <w:rPr>
                      <w:rFonts w:hint="default" w:eastAsia="宋体"/>
                      <w:color w:val="000000" w:themeColor="text1"/>
                      <w:sz w:val="18"/>
                      <w:szCs w:val="18"/>
                      <w:lang w:val="en-US" w:eastAsia="zh-CN"/>
                      <w14:textFill>
                        <w14:solidFill>
                          <w14:schemeClr w14:val="tx1"/>
                        </w14:solidFill>
                      </w14:textFill>
                    </w:rPr>
                  </w:pPr>
                  <w:r>
                    <w:rPr>
                      <w:rFonts w:hint="eastAsia"/>
                      <w:color w:val="000000" w:themeColor="text1"/>
                      <w:sz w:val="18"/>
                      <w:szCs w:val="18"/>
                      <w14:textFill>
                        <w14:solidFill>
                          <w14:schemeClr w14:val="tx1"/>
                        </w14:solidFill>
                      </w14:textFill>
                    </w:rPr>
                    <w:t>300</w:t>
                  </w:r>
                  <w:r>
                    <w:rPr>
                      <w:rFonts w:hint="eastAsia"/>
                      <w:color w:val="000000" w:themeColor="text1"/>
                      <w:sz w:val="18"/>
                      <w:szCs w:val="18"/>
                      <w:lang w:val="en-US" w:eastAsia="zh-CN"/>
                      <w14:textFill>
                        <w14:solidFill>
                          <w14:schemeClr w14:val="tx1"/>
                        </w14:solidFill>
                      </w14:textFill>
                    </w:rPr>
                    <w:t>万件/年</w:t>
                  </w:r>
                </w:p>
              </w:tc>
              <w:tc>
                <w:tcPr>
                  <w:tcW w:w="1270" w:type="dxa"/>
                  <w:vAlign w:val="center"/>
                </w:tcPr>
                <w:p w14:paraId="680F7ECE">
                  <w:pPr>
                    <w:adjustRightInd w:val="0"/>
                    <w:snapToGrid w:val="0"/>
                    <w:spacing w:line="34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300</w:t>
                  </w:r>
                  <w:r>
                    <w:rPr>
                      <w:rFonts w:hint="eastAsia"/>
                      <w:color w:val="000000" w:themeColor="text1"/>
                      <w:sz w:val="18"/>
                      <w:szCs w:val="18"/>
                      <w:lang w:val="en-US" w:eastAsia="zh-CN"/>
                      <w14:textFill>
                        <w14:solidFill>
                          <w14:schemeClr w14:val="tx1"/>
                        </w14:solidFill>
                      </w14:textFill>
                    </w:rPr>
                    <w:t>万件/年</w:t>
                  </w:r>
                </w:p>
              </w:tc>
              <w:tc>
                <w:tcPr>
                  <w:tcW w:w="448" w:type="pct"/>
                  <w:vAlign w:val="center"/>
                </w:tcPr>
                <w:p w14:paraId="3580A08B">
                  <w:pPr>
                    <w:adjustRightInd w:val="0"/>
                    <w:snapToGrid w:val="0"/>
                    <w:spacing w:line="34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w:t>
                  </w:r>
                </w:p>
              </w:tc>
              <w:tc>
                <w:tcPr>
                  <w:tcW w:w="653" w:type="pct"/>
                  <w:vAlign w:val="center"/>
                </w:tcPr>
                <w:p w14:paraId="229BCA11">
                  <w:pPr>
                    <w:adjustRightInd w:val="0"/>
                    <w:snapToGrid w:val="0"/>
                    <w:spacing w:line="34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1525" w:type="pct"/>
                  <w:vAlign w:val="center"/>
                </w:tcPr>
                <w:p w14:paraId="4DA3B249">
                  <w:pPr>
                    <w:adjustRightInd w:val="0"/>
                    <w:snapToGrid w:val="0"/>
                    <w:spacing w:line="34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外售，应符合《预制混凝土构件质量检验标准》(T/CCPA 53-2024)</w:t>
                  </w:r>
                </w:p>
              </w:tc>
            </w:tr>
            <w:tr w14:paraId="2451068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27" w:hRule="atLeast"/>
                <w:jc w:val="center"/>
              </w:trPr>
              <w:tc>
                <w:tcPr>
                  <w:tcW w:w="280" w:type="pct"/>
                  <w:vAlign w:val="center"/>
                </w:tcPr>
                <w:p w14:paraId="194F97BA">
                  <w:pPr>
                    <w:adjustRightInd w:val="0"/>
                    <w:snapToGrid w:val="0"/>
                    <w:spacing w:line="34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w:t>
                  </w:r>
                </w:p>
              </w:tc>
              <w:tc>
                <w:tcPr>
                  <w:tcW w:w="657" w:type="pct"/>
                  <w:vAlign w:val="center"/>
                </w:tcPr>
                <w:p w14:paraId="1D7C68E1">
                  <w:pPr>
                    <w:adjustRightInd w:val="0"/>
                    <w:snapToGrid w:val="0"/>
                    <w:spacing w:line="34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商品混凝土</w:t>
                  </w:r>
                </w:p>
              </w:tc>
              <w:tc>
                <w:tcPr>
                  <w:tcW w:w="732" w:type="pct"/>
                  <w:vAlign w:val="center"/>
                </w:tcPr>
                <w:p w14:paraId="48D03CF4">
                  <w:pPr>
                    <w:adjustRightInd w:val="0"/>
                    <w:snapToGrid w:val="0"/>
                    <w:spacing w:line="340" w:lineRule="exact"/>
                    <w:jc w:val="center"/>
                    <w:rPr>
                      <w:rFonts w:hint="default" w:eastAsia="宋体"/>
                      <w:color w:val="000000" w:themeColor="text1"/>
                      <w:sz w:val="18"/>
                      <w:szCs w:val="18"/>
                      <w:lang w:val="en-US" w:eastAsia="zh-CN"/>
                      <w14:textFill>
                        <w14:solidFill>
                          <w14:schemeClr w14:val="tx1"/>
                        </w14:solidFill>
                      </w14:textFill>
                    </w:rPr>
                  </w:pPr>
                  <w:r>
                    <w:rPr>
                      <w:rFonts w:hint="eastAsia"/>
                      <w:color w:val="000000" w:themeColor="text1"/>
                      <w:sz w:val="18"/>
                      <w:szCs w:val="18"/>
                      <w14:textFill>
                        <w14:solidFill>
                          <w14:schemeClr w14:val="tx1"/>
                        </w14:solidFill>
                      </w14:textFill>
                    </w:rPr>
                    <w:t>90</w:t>
                  </w:r>
                  <w:r>
                    <w:rPr>
                      <w:rFonts w:hint="eastAsia"/>
                      <w:color w:val="000000" w:themeColor="text1"/>
                      <w:sz w:val="18"/>
                      <w:szCs w:val="18"/>
                      <w:lang w:val="en-US" w:eastAsia="zh-CN"/>
                      <w14:textFill>
                        <w14:solidFill>
                          <w14:schemeClr w14:val="tx1"/>
                        </w14:solidFill>
                      </w14:textFill>
                    </w:rPr>
                    <w:t>万立方/年</w:t>
                  </w:r>
                </w:p>
              </w:tc>
              <w:tc>
                <w:tcPr>
                  <w:tcW w:w="1270" w:type="dxa"/>
                  <w:vAlign w:val="center"/>
                </w:tcPr>
                <w:p w14:paraId="77BF45D6">
                  <w:pPr>
                    <w:adjustRightInd w:val="0"/>
                    <w:snapToGrid w:val="0"/>
                    <w:spacing w:line="34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90</w:t>
                  </w:r>
                  <w:r>
                    <w:rPr>
                      <w:rFonts w:hint="eastAsia"/>
                      <w:color w:val="000000" w:themeColor="text1"/>
                      <w:sz w:val="18"/>
                      <w:szCs w:val="18"/>
                      <w:lang w:val="en-US" w:eastAsia="zh-CN"/>
                      <w14:textFill>
                        <w14:solidFill>
                          <w14:schemeClr w14:val="tx1"/>
                        </w14:solidFill>
                      </w14:textFill>
                    </w:rPr>
                    <w:t>万立方/年</w:t>
                  </w:r>
                </w:p>
              </w:tc>
              <w:tc>
                <w:tcPr>
                  <w:tcW w:w="448" w:type="pct"/>
                  <w:vAlign w:val="center"/>
                </w:tcPr>
                <w:p w14:paraId="7FE723D7">
                  <w:pPr>
                    <w:adjustRightInd w:val="0"/>
                    <w:snapToGrid w:val="0"/>
                    <w:spacing w:line="34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w:t>
                  </w:r>
                </w:p>
              </w:tc>
              <w:tc>
                <w:tcPr>
                  <w:tcW w:w="653" w:type="pct"/>
                  <w:vAlign w:val="center"/>
                </w:tcPr>
                <w:p w14:paraId="6156EE1B">
                  <w:pPr>
                    <w:adjustRightInd w:val="0"/>
                    <w:snapToGrid w:val="0"/>
                    <w:spacing w:line="34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1525" w:type="pct"/>
                  <w:vAlign w:val="center"/>
                </w:tcPr>
                <w:p w14:paraId="5EF97D83">
                  <w:pPr>
                    <w:adjustRightInd w:val="0"/>
                    <w:snapToGrid w:val="0"/>
                    <w:spacing w:line="34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外售，应符合《混凝土质量控制标准》（GB 50164-2011）</w:t>
                  </w:r>
                </w:p>
              </w:tc>
            </w:tr>
          </w:tbl>
          <w:p w14:paraId="537406CA">
            <w:pPr>
              <w:numPr>
                <w:ilvl w:val="0"/>
                <w:numId w:val="11"/>
              </w:numPr>
              <w:spacing w:line="360" w:lineRule="auto"/>
              <w:ind w:firstLine="482" w:firstLineChars="200"/>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仓储能力匹配性分析</w:t>
            </w:r>
          </w:p>
          <w:p w14:paraId="2535517F">
            <w:pPr>
              <w:spacing w:line="360" w:lineRule="auto"/>
              <w:ind w:firstLine="48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1、</w:t>
            </w:r>
            <w:r>
              <w:rPr>
                <w:bCs/>
                <w:color w:val="000000" w:themeColor="text1"/>
                <w:sz w:val="24"/>
                <w14:textFill>
                  <w14:solidFill>
                    <w14:schemeClr w14:val="tx1"/>
                  </w14:solidFill>
                </w14:textFill>
              </w:rPr>
              <w:t>原料</w:t>
            </w:r>
            <w:r>
              <w:rPr>
                <w:rFonts w:hint="eastAsia"/>
                <w:bCs/>
                <w:color w:val="000000" w:themeColor="text1"/>
                <w:sz w:val="24"/>
                <w14:textFill>
                  <w14:solidFill>
                    <w14:schemeClr w14:val="tx1"/>
                  </w14:solidFill>
                </w14:textFill>
              </w:rPr>
              <w:t>堆场区、半成品</w:t>
            </w:r>
            <w:r>
              <w:rPr>
                <w:bCs/>
                <w:color w:val="000000" w:themeColor="text1"/>
                <w:sz w:val="24"/>
                <w14:textFill>
                  <w14:solidFill>
                    <w14:schemeClr w14:val="tx1"/>
                  </w14:solidFill>
                </w14:textFill>
              </w:rPr>
              <w:t>区匹配分析</w:t>
            </w:r>
          </w:p>
          <w:p w14:paraId="09842E03">
            <w:pPr>
              <w:spacing w:line="360" w:lineRule="auto"/>
              <w:ind w:firstLine="480"/>
              <w:rPr>
                <w:bCs/>
                <w:color w:val="000000" w:themeColor="text1"/>
                <w:sz w:val="24"/>
                <w14:textFill>
                  <w14:solidFill>
                    <w14:schemeClr w14:val="tx1"/>
                  </w14:solidFill>
                </w14:textFill>
              </w:rPr>
            </w:pPr>
            <w:r>
              <w:rPr>
                <w:bCs/>
                <w:color w:val="000000" w:themeColor="text1"/>
                <w:sz w:val="24"/>
                <w14:textFill>
                  <w14:solidFill>
                    <w14:schemeClr w14:val="tx1"/>
                  </w14:solidFill>
                </w14:textFill>
              </w:rPr>
              <w:t>项目原料</w:t>
            </w:r>
            <w:r>
              <w:rPr>
                <w:rFonts w:hint="eastAsia"/>
                <w:bCs/>
                <w:color w:val="000000" w:themeColor="text1"/>
                <w:sz w:val="24"/>
                <w14:textFill>
                  <w14:solidFill>
                    <w14:schemeClr w14:val="tx1"/>
                  </w14:solidFill>
                </w14:textFill>
              </w:rPr>
              <w:t>堆场</w:t>
            </w:r>
            <w:r>
              <w:rPr>
                <w:bCs/>
                <w:color w:val="000000" w:themeColor="text1"/>
                <w:sz w:val="24"/>
                <w14:textFill>
                  <w14:solidFill>
                    <w14:schemeClr w14:val="tx1"/>
                  </w14:solidFill>
                </w14:textFill>
              </w:rPr>
              <w:t>区用于堆存</w:t>
            </w:r>
            <w:r>
              <w:rPr>
                <w:rFonts w:hint="eastAsia"/>
                <w:bCs/>
                <w:color w:val="000000" w:themeColor="text1"/>
                <w:sz w:val="24"/>
                <w14:textFill>
                  <w14:solidFill>
                    <w14:schemeClr w14:val="tx1"/>
                  </w14:solidFill>
                </w14:textFill>
              </w:rPr>
              <w:t>毛石、半成品</w:t>
            </w:r>
            <w:r>
              <w:rPr>
                <w:bCs/>
                <w:color w:val="000000" w:themeColor="text1"/>
                <w:sz w:val="24"/>
                <w14:textFill>
                  <w14:solidFill>
                    <w14:schemeClr w14:val="tx1"/>
                  </w14:solidFill>
                </w14:textFill>
              </w:rPr>
              <w:t>区</w:t>
            </w:r>
            <w:r>
              <w:rPr>
                <w:rFonts w:hint="eastAsia"/>
                <w:bCs/>
                <w:color w:val="000000" w:themeColor="text1"/>
                <w:sz w:val="24"/>
                <w14:textFill>
                  <w14:solidFill>
                    <w14:schemeClr w14:val="tx1"/>
                  </w14:solidFill>
                </w14:textFill>
              </w:rPr>
              <w:t>用于堆存毛石破碎筛分后的小粒径骨料和中粒径骨料</w:t>
            </w:r>
            <w:r>
              <w:rPr>
                <w:bCs/>
                <w:color w:val="000000" w:themeColor="text1"/>
                <w:sz w:val="24"/>
                <w14:textFill>
                  <w14:solidFill>
                    <w14:schemeClr w14:val="tx1"/>
                  </w14:solidFill>
                </w14:textFill>
              </w:rPr>
              <w:t>，原料</w:t>
            </w:r>
            <w:r>
              <w:rPr>
                <w:rFonts w:hint="eastAsia"/>
                <w:bCs/>
                <w:color w:val="000000" w:themeColor="text1"/>
                <w:sz w:val="24"/>
                <w14:textFill>
                  <w14:solidFill>
                    <w14:schemeClr w14:val="tx1"/>
                  </w14:solidFill>
                </w14:textFill>
              </w:rPr>
              <w:t>堆场</w:t>
            </w:r>
            <w:r>
              <w:rPr>
                <w:bCs/>
                <w:color w:val="000000" w:themeColor="text1"/>
                <w:sz w:val="24"/>
                <w14:textFill>
                  <w14:solidFill>
                    <w14:schemeClr w14:val="tx1"/>
                  </w14:solidFill>
                </w14:textFill>
              </w:rPr>
              <w:t>区占地面积</w:t>
            </w:r>
            <w:r>
              <w:rPr>
                <w:rFonts w:hint="eastAsia"/>
                <w:bCs/>
                <w:color w:val="000000" w:themeColor="text1"/>
                <w:sz w:val="24"/>
                <w14:textFill>
                  <w14:solidFill>
                    <w14:schemeClr w14:val="tx1"/>
                  </w14:solidFill>
                </w14:textFill>
              </w:rPr>
              <w:t>300</w:t>
            </w:r>
            <w:r>
              <w:rPr>
                <w:bCs/>
                <w:color w:val="000000" w:themeColor="text1"/>
                <w:sz w:val="24"/>
                <w14:textFill>
                  <w14:solidFill>
                    <w14:schemeClr w14:val="tx1"/>
                  </w14:solidFill>
                </w14:textFill>
              </w:rPr>
              <w:t>0m</w:t>
            </w:r>
            <w:r>
              <w:rPr>
                <w:bCs/>
                <w:color w:val="000000" w:themeColor="text1"/>
                <w:sz w:val="24"/>
                <w:vertAlign w:val="superscript"/>
                <w14:textFill>
                  <w14:solidFill>
                    <w14:schemeClr w14:val="tx1"/>
                  </w14:solidFill>
                </w14:textFill>
              </w:rPr>
              <w:t>2</w:t>
            </w:r>
            <w:r>
              <w:rPr>
                <w:bCs/>
                <w:color w:val="000000" w:themeColor="text1"/>
                <w:sz w:val="24"/>
                <w14:textFill>
                  <w14:solidFill>
                    <w14:schemeClr w14:val="tx1"/>
                  </w14:solidFill>
                </w14:textFill>
              </w:rPr>
              <w:t>，</w:t>
            </w:r>
            <w:r>
              <w:rPr>
                <w:rFonts w:hint="eastAsia"/>
                <w:bCs/>
                <w:color w:val="000000" w:themeColor="text1"/>
                <w:sz w:val="24"/>
                <w14:textFill>
                  <w14:solidFill>
                    <w14:schemeClr w14:val="tx1"/>
                  </w14:solidFill>
                </w14:textFill>
              </w:rPr>
              <w:t>半成品</w:t>
            </w:r>
            <w:r>
              <w:rPr>
                <w:bCs/>
                <w:color w:val="000000" w:themeColor="text1"/>
                <w:sz w:val="24"/>
                <w14:textFill>
                  <w14:solidFill>
                    <w14:schemeClr w14:val="tx1"/>
                  </w14:solidFill>
                </w14:textFill>
              </w:rPr>
              <w:t>区</w:t>
            </w:r>
            <w:r>
              <w:rPr>
                <w:rFonts w:hint="eastAsia"/>
                <w:bCs/>
                <w:color w:val="000000" w:themeColor="text1"/>
                <w:sz w:val="24"/>
                <w14:textFill>
                  <w14:solidFill>
                    <w14:schemeClr w14:val="tx1"/>
                  </w14:solidFill>
                </w14:textFill>
              </w:rPr>
              <w:t>堆场面积</w:t>
            </w:r>
            <w:r>
              <w:rPr>
                <w:bCs/>
                <w:color w:val="000000" w:themeColor="text1"/>
                <w:sz w:val="24"/>
                <w14:textFill>
                  <w14:solidFill>
                    <w14:schemeClr w14:val="tx1"/>
                  </w14:solidFill>
                </w14:textFill>
              </w:rPr>
              <w:t>占地面积</w:t>
            </w:r>
            <w:r>
              <w:rPr>
                <w:rFonts w:hint="eastAsia"/>
                <w:bCs/>
                <w:color w:val="000000" w:themeColor="text1"/>
                <w:sz w:val="24"/>
                <w14:textFill>
                  <w14:solidFill>
                    <w14:schemeClr w14:val="tx1"/>
                  </w14:solidFill>
                </w14:textFill>
              </w:rPr>
              <w:t>300</w:t>
            </w:r>
            <w:r>
              <w:rPr>
                <w:bCs/>
                <w:color w:val="000000" w:themeColor="text1"/>
                <w:sz w:val="24"/>
                <w14:textFill>
                  <w14:solidFill>
                    <w14:schemeClr w14:val="tx1"/>
                  </w14:solidFill>
                </w14:textFill>
              </w:rPr>
              <w:t>0m</w:t>
            </w:r>
            <w:r>
              <w:rPr>
                <w:bCs/>
                <w:color w:val="000000" w:themeColor="text1"/>
                <w:sz w:val="24"/>
                <w:vertAlign w:val="superscript"/>
                <w14:textFill>
                  <w14:solidFill>
                    <w14:schemeClr w14:val="tx1"/>
                  </w14:solidFill>
                </w14:textFill>
              </w:rPr>
              <w:t>2</w:t>
            </w:r>
            <w:r>
              <w:rPr>
                <w:rFonts w:hint="eastAsia"/>
                <w:bCs/>
                <w:color w:val="000000" w:themeColor="text1"/>
                <w:sz w:val="24"/>
                <w14:textFill>
                  <w14:solidFill>
                    <w14:schemeClr w14:val="tx1"/>
                  </w14:solidFill>
                </w14:textFill>
              </w:rPr>
              <w:t>，原料转运周期为7d（1周转运1次），</w:t>
            </w:r>
            <w:r>
              <w:rPr>
                <w:bCs/>
                <w:color w:val="000000" w:themeColor="text1"/>
                <w:sz w:val="24"/>
                <w14:textFill>
                  <w14:solidFill>
                    <w14:schemeClr w14:val="tx1"/>
                  </w14:solidFill>
                </w14:textFill>
              </w:rPr>
              <w:t>原料</w:t>
            </w:r>
            <w:r>
              <w:rPr>
                <w:rFonts w:hint="eastAsia"/>
                <w:bCs/>
                <w:color w:val="000000" w:themeColor="text1"/>
                <w:sz w:val="24"/>
                <w14:textFill>
                  <w14:solidFill>
                    <w14:schemeClr w14:val="tx1"/>
                  </w14:solidFill>
                </w14:textFill>
              </w:rPr>
              <w:t>堆场区、半成品</w:t>
            </w:r>
            <w:r>
              <w:rPr>
                <w:bCs/>
                <w:color w:val="000000" w:themeColor="text1"/>
                <w:sz w:val="24"/>
                <w14:textFill>
                  <w14:solidFill>
                    <w14:schemeClr w14:val="tx1"/>
                  </w14:solidFill>
                </w14:textFill>
              </w:rPr>
              <w:t>区最大可堆放高度约</w:t>
            </w:r>
            <w:r>
              <w:rPr>
                <w:rFonts w:hint="eastAsia"/>
                <w:bCs/>
                <w:color w:val="000000" w:themeColor="text1"/>
                <w:sz w:val="24"/>
                <w14:textFill>
                  <w14:solidFill>
                    <w14:schemeClr w14:val="tx1"/>
                  </w14:solidFill>
                </w14:textFill>
              </w:rPr>
              <w:t>6.5</w:t>
            </w:r>
            <w:r>
              <w:rPr>
                <w:bCs/>
                <w:color w:val="000000" w:themeColor="text1"/>
                <w:sz w:val="24"/>
                <w14:textFill>
                  <w14:solidFill>
                    <w14:schemeClr w14:val="tx1"/>
                  </w14:solidFill>
                </w14:textFill>
              </w:rPr>
              <w:t>m，</w:t>
            </w:r>
            <w:r>
              <w:rPr>
                <w:rFonts w:hint="eastAsia"/>
                <w:bCs/>
                <w:color w:val="000000" w:themeColor="text1"/>
                <w:sz w:val="24"/>
                <w14:textFill>
                  <w14:solidFill>
                    <w14:schemeClr w14:val="tx1"/>
                  </w14:solidFill>
                </w14:textFill>
              </w:rPr>
              <w:t>毛石以及毛石破碎筛分后的小粒径骨料和中粒径骨料</w:t>
            </w:r>
            <w:r>
              <w:rPr>
                <w:bCs/>
                <w:color w:val="000000" w:themeColor="text1"/>
                <w:sz w:val="24"/>
                <w14:textFill>
                  <w14:solidFill>
                    <w14:schemeClr w14:val="tx1"/>
                  </w14:solidFill>
                </w14:textFill>
              </w:rPr>
              <w:t>密度</w:t>
            </w:r>
            <w:r>
              <w:rPr>
                <w:rFonts w:hint="eastAsia"/>
                <w:bCs/>
                <w:color w:val="000000" w:themeColor="text1"/>
                <w:sz w:val="24"/>
                <w14:textFill>
                  <w14:solidFill>
                    <w14:schemeClr w14:val="tx1"/>
                  </w14:solidFill>
                </w14:textFill>
              </w:rPr>
              <w:t>参考石灰石一般密度</w:t>
            </w:r>
            <w:r>
              <w:rPr>
                <w:bCs/>
                <w:color w:val="000000" w:themeColor="text1"/>
                <w:sz w:val="24"/>
                <w14:textFill>
                  <w14:solidFill>
                    <w14:schemeClr w14:val="tx1"/>
                  </w14:solidFill>
                </w14:textFill>
              </w:rPr>
              <w:t>2.65到2.93g/cm³</w:t>
            </w:r>
            <w:r>
              <w:rPr>
                <w:rFonts w:hint="eastAsia"/>
                <w:bCs/>
                <w:color w:val="000000" w:themeColor="text1"/>
                <w:sz w:val="24"/>
                <w14:textFill>
                  <w14:solidFill>
                    <w14:schemeClr w14:val="tx1"/>
                  </w14:solidFill>
                </w14:textFill>
              </w:rPr>
              <w:t>（本次评价</w:t>
            </w:r>
            <w:r>
              <w:rPr>
                <w:bCs/>
                <w:color w:val="000000" w:themeColor="text1"/>
                <w:sz w:val="24"/>
                <w14:textFill>
                  <w14:solidFill>
                    <w14:schemeClr w14:val="tx1"/>
                  </w14:solidFill>
                </w14:textFill>
              </w:rPr>
              <w:t>按2.</w:t>
            </w:r>
            <w:r>
              <w:rPr>
                <w:rFonts w:hint="eastAsia"/>
                <w:bCs/>
                <w:color w:val="000000" w:themeColor="text1"/>
                <w:sz w:val="24"/>
                <w14:textFill>
                  <w14:solidFill>
                    <w14:schemeClr w14:val="tx1"/>
                  </w14:solidFill>
                </w14:textFill>
              </w:rPr>
              <w:t>8</w:t>
            </w:r>
            <w:r>
              <w:rPr>
                <w:bCs/>
                <w:color w:val="000000" w:themeColor="text1"/>
                <w:sz w:val="24"/>
                <w14:textFill>
                  <w14:solidFill>
                    <w14:schemeClr w14:val="tx1"/>
                  </w14:solidFill>
                </w14:textFill>
              </w:rPr>
              <w:t>g/cm³计</w:t>
            </w:r>
            <w:r>
              <w:rPr>
                <w:rFonts w:hint="eastAsia"/>
                <w:bCs/>
                <w:color w:val="000000" w:themeColor="text1"/>
                <w:sz w:val="24"/>
                <w14:textFill>
                  <w14:solidFill>
                    <w14:schemeClr w14:val="tx1"/>
                  </w14:solidFill>
                </w14:textFill>
              </w:rPr>
              <w:t>）</w:t>
            </w:r>
            <w:r>
              <w:rPr>
                <w:bCs/>
                <w:color w:val="000000" w:themeColor="text1"/>
                <w:sz w:val="24"/>
                <w14:textFill>
                  <w14:solidFill>
                    <w14:schemeClr w14:val="tx1"/>
                  </w14:solidFill>
                </w14:textFill>
              </w:rPr>
              <w:t>，则原料</w:t>
            </w:r>
            <w:r>
              <w:rPr>
                <w:rFonts w:hint="eastAsia"/>
                <w:bCs/>
                <w:color w:val="000000" w:themeColor="text1"/>
                <w:sz w:val="24"/>
                <w14:textFill>
                  <w14:solidFill>
                    <w14:schemeClr w14:val="tx1"/>
                  </w14:solidFill>
                </w14:textFill>
              </w:rPr>
              <w:t>堆场区、半成品</w:t>
            </w:r>
            <w:r>
              <w:rPr>
                <w:bCs/>
                <w:color w:val="000000" w:themeColor="text1"/>
                <w:sz w:val="24"/>
                <w14:textFill>
                  <w14:solidFill>
                    <w14:schemeClr w14:val="tx1"/>
                  </w14:solidFill>
                </w14:textFill>
              </w:rPr>
              <w:t>区最大堆容量约</w:t>
            </w:r>
            <w:r>
              <w:rPr>
                <w:rFonts w:hint="eastAsia"/>
                <w:bCs/>
                <w:color w:val="000000" w:themeColor="text1"/>
                <w:sz w:val="24"/>
                <w14:textFill>
                  <w14:solidFill>
                    <w14:schemeClr w14:val="tx1"/>
                  </w14:solidFill>
                </w14:textFill>
              </w:rPr>
              <w:t>300</w:t>
            </w:r>
            <w:r>
              <w:rPr>
                <w:bCs/>
                <w:color w:val="000000" w:themeColor="text1"/>
                <w:sz w:val="24"/>
                <w14:textFill>
                  <w14:solidFill>
                    <w14:schemeClr w14:val="tx1"/>
                  </w14:solidFill>
                </w14:textFill>
              </w:rPr>
              <w:t>0m</w:t>
            </w:r>
            <w:r>
              <w:rPr>
                <w:bCs/>
                <w:color w:val="000000" w:themeColor="text1"/>
                <w:sz w:val="24"/>
                <w:vertAlign w:val="superscript"/>
                <w14:textFill>
                  <w14:solidFill>
                    <w14:schemeClr w14:val="tx1"/>
                  </w14:solidFill>
                </w14:textFill>
              </w:rPr>
              <w:t>2</w:t>
            </w:r>
            <w:r>
              <w:rPr>
                <w:rFonts w:hint="eastAsia"/>
                <w:bCs/>
                <w:color w:val="000000" w:themeColor="text1"/>
                <w:sz w:val="24"/>
                <w14:textFill>
                  <w14:solidFill>
                    <w14:schemeClr w14:val="tx1"/>
                  </w14:solidFill>
                </w14:textFill>
              </w:rPr>
              <w:t>×6.5</w:t>
            </w:r>
            <w:r>
              <w:rPr>
                <w:bCs/>
                <w:color w:val="000000" w:themeColor="text1"/>
                <w:sz w:val="24"/>
                <w14:textFill>
                  <w14:solidFill>
                    <w14:schemeClr w14:val="tx1"/>
                  </w14:solidFill>
                </w14:textFill>
              </w:rPr>
              <w:t>m</w:t>
            </w:r>
            <w:r>
              <w:rPr>
                <w:rFonts w:hint="eastAsia"/>
                <w:bCs/>
                <w:color w:val="000000" w:themeColor="text1"/>
                <w:sz w:val="24"/>
                <w14:textFill>
                  <w14:solidFill>
                    <w14:schemeClr w14:val="tx1"/>
                  </w14:solidFill>
                </w14:textFill>
              </w:rPr>
              <w:t>×2.8</w:t>
            </w:r>
            <w:r>
              <w:rPr>
                <w:bCs/>
                <w:color w:val="000000" w:themeColor="text1"/>
                <w:sz w:val="24"/>
                <w14:textFill>
                  <w14:solidFill>
                    <w14:schemeClr w14:val="tx1"/>
                  </w14:solidFill>
                </w14:textFill>
              </w:rPr>
              <w:t>t/m</w:t>
            </w:r>
            <w:r>
              <w:rPr>
                <w:bCs/>
                <w:color w:val="000000" w:themeColor="text1"/>
                <w:sz w:val="24"/>
                <w:vertAlign w:val="superscript"/>
                <w14:textFill>
                  <w14:solidFill>
                    <w14:schemeClr w14:val="tx1"/>
                  </w14:solidFill>
                </w14:textFill>
              </w:rPr>
              <w:t>3</w:t>
            </w:r>
            <w:r>
              <w:rPr>
                <w:rFonts w:hint="eastAsia"/>
                <w:bCs/>
                <w:color w:val="000000" w:themeColor="text1"/>
                <w:sz w:val="24"/>
                <w14:textFill>
                  <w14:solidFill>
                    <w14:schemeClr w14:val="tx1"/>
                  </w14:solidFill>
                </w14:textFill>
              </w:rPr>
              <w:t>×40%（装填系数，考虑进入通道及锥形堆高）=21840</w:t>
            </w:r>
            <w:r>
              <w:rPr>
                <w:bCs/>
                <w:color w:val="000000" w:themeColor="text1"/>
                <w:sz w:val="24"/>
                <w14:textFill>
                  <w14:solidFill>
                    <w14:schemeClr w14:val="tx1"/>
                  </w14:solidFill>
                </w14:textFill>
              </w:rPr>
              <w:t>t。本项目</w:t>
            </w:r>
            <w:r>
              <w:rPr>
                <w:rFonts w:hint="eastAsia"/>
                <w:bCs/>
                <w:color w:val="000000" w:themeColor="text1"/>
                <w:sz w:val="24"/>
                <w14:textFill>
                  <w14:solidFill>
                    <w14:schemeClr w14:val="tx1"/>
                  </w14:solidFill>
                </w14:textFill>
              </w:rPr>
              <w:t>原料毛石用量887200</w:t>
            </w:r>
            <w:r>
              <w:rPr>
                <w:bCs/>
                <w:color w:val="000000" w:themeColor="text1"/>
                <w:sz w:val="24"/>
                <w14:textFill>
                  <w14:solidFill>
                    <w14:schemeClr w14:val="tx1"/>
                  </w14:solidFill>
                </w14:textFill>
              </w:rPr>
              <w:t>t/a</w:t>
            </w:r>
            <w:r>
              <w:rPr>
                <w:rFonts w:hint="eastAsia"/>
                <w:bCs/>
                <w:color w:val="000000" w:themeColor="text1"/>
                <w:sz w:val="24"/>
                <w14:textFill>
                  <w14:solidFill>
                    <w14:schemeClr w14:val="tx1"/>
                  </w14:solidFill>
                </w14:textFill>
              </w:rPr>
              <w:t>（2857.333t/d）、石破碎筛分后的小粒径骨料和中粒径骨料用量约887200</w:t>
            </w:r>
            <w:r>
              <w:rPr>
                <w:bCs/>
                <w:color w:val="000000" w:themeColor="text1"/>
                <w:sz w:val="24"/>
                <w14:textFill>
                  <w14:solidFill>
                    <w14:schemeClr w14:val="tx1"/>
                  </w14:solidFill>
                </w14:textFill>
              </w:rPr>
              <w:t>t/a</w:t>
            </w:r>
            <w:r>
              <w:rPr>
                <w:rFonts w:hint="eastAsia"/>
                <w:bCs/>
                <w:color w:val="000000" w:themeColor="text1"/>
                <w:sz w:val="24"/>
                <w14:textFill>
                  <w14:solidFill>
                    <w14:schemeClr w14:val="tx1"/>
                  </w14:solidFill>
                </w14:textFill>
              </w:rPr>
              <w:t>（2857.333t/d）</w:t>
            </w:r>
            <w:r>
              <w:rPr>
                <w:bCs/>
                <w:color w:val="000000" w:themeColor="text1"/>
                <w:sz w:val="24"/>
                <w14:textFill>
                  <w14:solidFill>
                    <w14:schemeClr w14:val="tx1"/>
                  </w14:solidFill>
                </w14:textFill>
              </w:rPr>
              <w:t>，能满足</w:t>
            </w:r>
            <w:r>
              <w:rPr>
                <w:rFonts w:hint="eastAsia"/>
                <w:bCs/>
                <w:color w:val="000000" w:themeColor="text1"/>
                <w:sz w:val="24"/>
                <w14:textFill>
                  <w14:solidFill>
                    <w14:schemeClr w14:val="tx1"/>
                  </w14:solidFill>
                </w14:textFill>
              </w:rPr>
              <w:t>7d（2857.333×7=20001.33t＜21840t）</w:t>
            </w:r>
            <w:r>
              <w:rPr>
                <w:bCs/>
                <w:color w:val="000000" w:themeColor="text1"/>
                <w:sz w:val="24"/>
                <w14:textFill>
                  <w14:solidFill>
                    <w14:schemeClr w14:val="tx1"/>
                  </w14:solidFill>
                </w14:textFill>
              </w:rPr>
              <w:t>的堆放量需求。</w:t>
            </w:r>
          </w:p>
          <w:p w14:paraId="2EE5D766">
            <w:pPr>
              <w:spacing w:line="360" w:lineRule="auto"/>
              <w:ind w:firstLine="48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2、水泥筒仓</w:t>
            </w:r>
            <w:r>
              <w:rPr>
                <w:bCs/>
                <w:color w:val="000000" w:themeColor="text1"/>
                <w:sz w:val="24"/>
                <w14:textFill>
                  <w14:solidFill>
                    <w14:schemeClr w14:val="tx1"/>
                  </w14:solidFill>
                </w14:textFill>
              </w:rPr>
              <w:t>匹配分析</w:t>
            </w:r>
          </w:p>
          <w:p w14:paraId="42852145">
            <w:pPr>
              <w:spacing w:line="360" w:lineRule="auto"/>
              <w:ind w:firstLine="480"/>
              <w:rPr>
                <w:bCs/>
                <w:color w:val="000000" w:themeColor="text1"/>
                <w:sz w:val="24"/>
                <w14:textFill>
                  <w14:solidFill>
                    <w14:schemeClr w14:val="tx1"/>
                  </w14:solidFill>
                </w14:textFill>
              </w:rPr>
            </w:pPr>
            <w:r>
              <w:rPr>
                <w:bCs/>
                <w:color w:val="000000" w:themeColor="text1"/>
                <w:sz w:val="24"/>
                <w14:textFill>
                  <w14:solidFill>
                    <w14:schemeClr w14:val="tx1"/>
                  </w14:solidFill>
                </w14:textFill>
              </w:rPr>
              <w:t>项目</w:t>
            </w:r>
            <w:r>
              <w:rPr>
                <w:rFonts w:hint="eastAsia"/>
                <w:bCs/>
                <w:color w:val="000000" w:themeColor="text1"/>
                <w:sz w:val="24"/>
                <w14:textFill>
                  <w14:solidFill>
                    <w14:schemeClr w14:val="tx1"/>
                  </w14:solidFill>
                </w14:textFill>
              </w:rPr>
              <w:t>设置4个水泥筒仓用于储存水泥</w:t>
            </w:r>
            <w:r>
              <w:rPr>
                <w:bCs/>
                <w:color w:val="000000" w:themeColor="text1"/>
                <w:sz w:val="24"/>
                <w14:textFill>
                  <w14:solidFill>
                    <w14:schemeClr w14:val="tx1"/>
                  </w14:solidFill>
                </w14:textFill>
              </w:rPr>
              <w:t>。项目</w:t>
            </w:r>
            <w:r>
              <w:rPr>
                <w:rFonts w:hint="eastAsia"/>
                <w:bCs/>
                <w:color w:val="000000" w:themeColor="text1"/>
                <w:sz w:val="24"/>
                <w14:textFill>
                  <w14:solidFill>
                    <w14:schemeClr w14:val="tx1"/>
                  </w14:solidFill>
                </w14:textFill>
              </w:rPr>
              <w:t>水泥筒仓规格为150T</w:t>
            </w:r>
            <w:r>
              <w:rPr>
                <w:bCs/>
                <w:color w:val="000000" w:themeColor="text1"/>
                <w:sz w:val="24"/>
                <w14:textFill>
                  <w14:solidFill>
                    <w14:schemeClr w14:val="tx1"/>
                  </w14:solidFill>
                </w14:textFill>
              </w:rPr>
              <w:t>，</w:t>
            </w:r>
            <w:r>
              <w:rPr>
                <w:rFonts w:hint="eastAsia"/>
                <w:bCs/>
                <w:color w:val="000000" w:themeColor="text1"/>
                <w:sz w:val="24"/>
                <w14:textFill>
                  <w14:solidFill>
                    <w14:schemeClr w14:val="tx1"/>
                  </w14:solidFill>
                </w14:textFill>
              </w:rPr>
              <w:t>直径：3.5m，单个水泥筒仓贮存量 150t，则水泥筒仓理论贮存量150t/个×4个=600t。本项目水泥用量50000</w:t>
            </w:r>
            <w:r>
              <w:rPr>
                <w:bCs/>
                <w:color w:val="000000" w:themeColor="text1"/>
                <w14:textFill>
                  <w14:solidFill>
                    <w14:schemeClr w14:val="tx1"/>
                  </w14:solidFill>
                </w14:textFill>
              </w:rPr>
              <w:t xml:space="preserve"> </w:t>
            </w:r>
            <w:r>
              <w:rPr>
                <w:bCs/>
                <w:color w:val="000000" w:themeColor="text1"/>
                <w:sz w:val="24"/>
                <w14:textFill>
                  <w14:solidFill>
                    <w14:schemeClr w14:val="tx1"/>
                  </w14:solidFill>
                </w14:textFill>
              </w:rPr>
              <w:t>t/a</w:t>
            </w:r>
            <w:r>
              <w:rPr>
                <w:rFonts w:hint="eastAsia"/>
                <w:bCs/>
                <w:color w:val="000000" w:themeColor="text1"/>
                <w:sz w:val="24"/>
                <w14:textFill>
                  <w14:solidFill>
                    <w14:schemeClr w14:val="tx1"/>
                  </w14:solidFill>
                </w14:textFill>
              </w:rPr>
              <w:t>，年工作300天，平均每3天对出料后的水泥筒仓进行上料，则水泥筒仓年上料水泥100次，水泥最大存在量为500</w:t>
            </w:r>
            <w:r>
              <w:rPr>
                <w:bCs/>
                <w:color w:val="000000" w:themeColor="text1"/>
                <w14:textFill>
                  <w14:solidFill>
                    <w14:schemeClr w14:val="tx1"/>
                  </w14:solidFill>
                </w14:textFill>
              </w:rPr>
              <w:t xml:space="preserve"> </w:t>
            </w:r>
            <w:r>
              <w:rPr>
                <w:bCs/>
                <w:color w:val="000000" w:themeColor="text1"/>
                <w:sz w:val="24"/>
                <w14:textFill>
                  <w14:solidFill>
                    <w14:schemeClr w14:val="tx1"/>
                  </w14:solidFill>
                </w14:textFill>
              </w:rPr>
              <w:t>t</w:t>
            </w:r>
            <w:r>
              <w:rPr>
                <w:rFonts w:hint="eastAsia"/>
                <w:bCs/>
                <w:color w:val="000000" w:themeColor="text1"/>
                <w:sz w:val="24"/>
                <w14:textFill>
                  <w14:solidFill>
                    <w14:schemeClr w14:val="tx1"/>
                  </w14:solidFill>
                </w14:textFill>
              </w:rPr>
              <w:t>（按设计容积的约83%计），因此本项目水泥筒仓的规格满足水泥的存放需求。</w:t>
            </w:r>
          </w:p>
          <w:p w14:paraId="085A3D45">
            <w:pPr>
              <w:spacing w:line="360" w:lineRule="auto"/>
              <w:ind w:firstLine="482" w:firstLineChars="200"/>
              <w:jc w:val="left"/>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七</w:t>
            </w:r>
            <w:r>
              <w:rPr>
                <w:b/>
                <w:bCs/>
                <w:color w:val="000000" w:themeColor="text1"/>
                <w:sz w:val="24"/>
                <w14:textFill>
                  <w14:solidFill>
                    <w14:schemeClr w14:val="tx1"/>
                  </w14:solidFill>
                </w14:textFill>
              </w:rPr>
              <w:t>、项目劳动定员和工作制度</w:t>
            </w:r>
          </w:p>
          <w:p w14:paraId="08ED3472">
            <w:pPr>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1、工作制度</w:t>
            </w:r>
          </w:p>
          <w:p w14:paraId="0F01AB9F">
            <w:pPr>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年工作</w:t>
            </w:r>
            <w:r>
              <w:rPr>
                <w:rFonts w:hint="eastAsia"/>
                <w:color w:val="000000" w:themeColor="text1"/>
                <w:sz w:val="24"/>
                <w14:textFill>
                  <w14:solidFill>
                    <w14:schemeClr w14:val="tx1"/>
                  </w14:solidFill>
                </w14:textFill>
              </w:rPr>
              <w:t>300</w:t>
            </w:r>
            <w:r>
              <w:rPr>
                <w:color w:val="000000" w:themeColor="text1"/>
                <w:sz w:val="24"/>
                <w14:textFill>
                  <w14:solidFill>
                    <w14:schemeClr w14:val="tx1"/>
                  </w14:solidFill>
                </w14:textFill>
              </w:rPr>
              <w:t>天，</w:t>
            </w:r>
            <w:r>
              <w:rPr>
                <w:rFonts w:hint="eastAsia"/>
                <w:color w:val="000000" w:themeColor="text1"/>
                <w:sz w:val="24"/>
                <w14:textFill>
                  <w14:solidFill>
                    <w14:schemeClr w14:val="tx1"/>
                  </w14:solidFill>
                </w14:textFill>
              </w:rPr>
              <w:t>三班制，</w:t>
            </w:r>
            <w:r>
              <w:rPr>
                <w:color w:val="000000" w:themeColor="text1"/>
                <w:sz w:val="24"/>
                <w14:textFill>
                  <w14:solidFill>
                    <w14:schemeClr w14:val="tx1"/>
                  </w14:solidFill>
                </w14:textFill>
              </w:rPr>
              <w:t>每</w:t>
            </w:r>
            <w:r>
              <w:rPr>
                <w:rFonts w:hint="eastAsia"/>
                <w:color w:val="000000" w:themeColor="text1"/>
                <w:sz w:val="24"/>
                <w14:textFill>
                  <w14:solidFill>
                    <w14:schemeClr w14:val="tx1"/>
                  </w14:solidFill>
                </w14:textFill>
              </w:rPr>
              <w:t>班</w:t>
            </w:r>
            <w:r>
              <w:rPr>
                <w:color w:val="000000" w:themeColor="text1"/>
                <w:sz w:val="24"/>
                <w14:textFill>
                  <w14:solidFill>
                    <w14:schemeClr w14:val="tx1"/>
                  </w14:solidFill>
                </w14:textFill>
              </w:rPr>
              <w:t>8小时</w:t>
            </w:r>
            <w:r>
              <w:rPr>
                <w:rFonts w:hint="eastAsia"/>
                <w:color w:val="000000" w:themeColor="text1"/>
                <w:sz w:val="24"/>
                <w14:textFill>
                  <w14:solidFill>
                    <w14:schemeClr w14:val="tx1"/>
                  </w14:solidFill>
                </w14:textFill>
              </w:rPr>
              <w:t>，年工作7200h</w:t>
            </w:r>
            <w:r>
              <w:rPr>
                <w:color w:val="000000" w:themeColor="text1"/>
                <w:sz w:val="24"/>
                <w14:textFill>
                  <w14:solidFill>
                    <w14:schemeClr w14:val="tx1"/>
                  </w14:solidFill>
                </w14:textFill>
              </w:rPr>
              <w:t>。</w:t>
            </w:r>
          </w:p>
          <w:p w14:paraId="4E219AB3">
            <w:pPr>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2、劳动定员</w:t>
            </w:r>
          </w:p>
          <w:p w14:paraId="7A3897BF">
            <w:pPr>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现有项目劳动定员30人，均在厂区食宿；本项目完成后新增</w:t>
            </w:r>
            <w:r>
              <w:rPr>
                <w:color w:val="000000" w:themeColor="text1"/>
                <w:sz w:val="24"/>
                <w14:textFill>
                  <w14:solidFill>
                    <w14:schemeClr w14:val="tx1"/>
                  </w14:solidFill>
                </w14:textFill>
              </w:rPr>
              <w:t>员工</w:t>
            </w:r>
            <w:r>
              <w:rPr>
                <w:rFonts w:hint="eastAsia"/>
                <w:color w:val="000000" w:themeColor="text1"/>
                <w:sz w:val="24"/>
                <w14:textFill>
                  <w14:solidFill>
                    <w14:schemeClr w14:val="tx1"/>
                  </w14:solidFill>
                </w14:textFill>
              </w:rPr>
              <w:t>20</w:t>
            </w:r>
            <w:r>
              <w:rPr>
                <w:color w:val="000000" w:themeColor="text1"/>
                <w:sz w:val="24"/>
                <w14:textFill>
                  <w14:solidFill>
                    <w14:schemeClr w14:val="tx1"/>
                  </w14:solidFill>
                </w14:textFill>
              </w:rPr>
              <w:t>人，</w:t>
            </w:r>
            <w:r>
              <w:rPr>
                <w:rFonts w:hint="eastAsia"/>
                <w:color w:val="000000" w:themeColor="text1"/>
                <w:sz w:val="24"/>
                <w14:textFill>
                  <w14:solidFill>
                    <w14:schemeClr w14:val="tx1"/>
                  </w14:solidFill>
                </w14:textFill>
              </w:rPr>
              <w:t>依托现有一期</w:t>
            </w:r>
            <w:r>
              <w:rPr>
                <w:color w:val="000000" w:themeColor="text1"/>
                <w:sz w:val="24"/>
                <w14:textFill>
                  <w14:solidFill>
                    <w14:schemeClr w14:val="tx1"/>
                  </w14:solidFill>
                </w14:textFill>
              </w:rPr>
              <w:t>项目食堂</w:t>
            </w:r>
            <w:r>
              <w:rPr>
                <w:rFonts w:hint="eastAsia"/>
                <w:color w:val="000000" w:themeColor="text1"/>
                <w:sz w:val="24"/>
                <w14:textFill>
                  <w14:solidFill>
                    <w14:schemeClr w14:val="tx1"/>
                  </w14:solidFill>
                </w14:textFill>
              </w:rPr>
              <w:t>就餐和</w:t>
            </w:r>
            <w:r>
              <w:rPr>
                <w:color w:val="000000" w:themeColor="text1"/>
                <w:sz w:val="24"/>
                <w14:textFill>
                  <w14:solidFill>
                    <w14:schemeClr w14:val="tx1"/>
                  </w14:solidFill>
                </w14:textFill>
              </w:rPr>
              <w:t>宿舍</w:t>
            </w:r>
            <w:r>
              <w:rPr>
                <w:rFonts w:hint="eastAsia"/>
                <w:color w:val="000000" w:themeColor="text1"/>
                <w:sz w:val="24"/>
                <w14:textFill>
                  <w14:solidFill>
                    <w14:schemeClr w14:val="tx1"/>
                  </w14:solidFill>
                </w14:textFill>
              </w:rPr>
              <w:t>住宿。</w:t>
            </w:r>
          </w:p>
          <w:p w14:paraId="6822689B">
            <w:pPr>
              <w:spacing w:line="360" w:lineRule="auto"/>
              <w:ind w:firstLine="482" w:firstLineChars="200"/>
              <w:jc w:val="left"/>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八</w:t>
            </w:r>
            <w:r>
              <w:rPr>
                <w:b/>
                <w:bCs/>
                <w:color w:val="000000" w:themeColor="text1"/>
                <w:sz w:val="24"/>
                <w14:textFill>
                  <w14:solidFill>
                    <w14:schemeClr w14:val="tx1"/>
                  </w14:solidFill>
                </w14:textFill>
              </w:rPr>
              <w:t>、厂区平面布置</w:t>
            </w:r>
          </w:p>
          <w:p w14:paraId="0B13E3A5">
            <w:pPr>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江西承诚实业有限公司位于江西省景德镇市乐平市金山工业园金一路CH-1地块，整个厂区西侧为现有项目一期工程区域，由综合办公楼、生活楼、混凝土搅拌站料仓、混凝土搅拌站、实验、检修楼等组成，其中综合办公楼位于厂区中部临金一路侧，厂区按地形和生产流程情况将设置两处出入口临金一路侧，便于原材料运输和成品运输。厂区东侧为本项目区域，厂区东南侧为生产车间、原料堆放区、半成品堆放区，一般固废间和危险暂存间，同时在厂区东北侧设置了一座洗车平台、一座沉淀池和一座压滤间。厂区整个区域分布按办公要求、工艺流程布置，各工序紧密衔接；场地布置紧凑，同时人流、物流畅通。项目各功能分区明确及建构筑物均能满足防火间距要求，项目总体布局切合实际，布置较为合理。</w:t>
            </w:r>
          </w:p>
          <w:p w14:paraId="1510E28C">
            <w:pPr>
              <w:spacing w:line="360" w:lineRule="auto"/>
              <w:ind w:firstLine="480" w:firstLineChars="200"/>
              <w:jc w:val="left"/>
              <w:rPr>
                <w:color w:val="000000" w:themeColor="text1"/>
                <w:sz w:val="24"/>
                <w14:textFill>
                  <w14:solidFill>
                    <w14:schemeClr w14:val="tx1"/>
                  </w14:solidFill>
                </w14:textFill>
              </w:rPr>
            </w:pPr>
          </w:p>
          <w:p w14:paraId="43CFD1C7">
            <w:pPr>
              <w:spacing w:line="360" w:lineRule="auto"/>
              <w:ind w:firstLine="480" w:firstLineChars="200"/>
              <w:jc w:val="left"/>
              <w:rPr>
                <w:color w:val="000000" w:themeColor="text1"/>
                <w:sz w:val="24"/>
                <w14:textFill>
                  <w14:solidFill>
                    <w14:schemeClr w14:val="tx1"/>
                  </w14:solidFill>
                </w14:textFill>
              </w:rPr>
            </w:pPr>
          </w:p>
          <w:p w14:paraId="16AF8C9F">
            <w:pPr>
              <w:spacing w:line="360" w:lineRule="auto"/>
              <w:jc w:val="left"/>
              <w:rPr>
                <w:color w:val="000000" w:themeColor="text1"/>
                <w:sz w:val="24"/>
                <w14:textFill>
                  <w14:solidFill>
                    <w14:schemeClr w14:val="tx1"/>
                  </w14:solidFill>
                </w14:textFill>
              </w:rPr>
            </w:pPr>
          </w:p>
          <w:p w14:paraId="0BA2EEA3">
            <w:pPr>
              <w:pStyle w:val="2"/>
              <w:rPr>
                <w:color w:val="000000" w:themeColor="text1"/>
                <w:sz w:val="24"/>
                <w14:textFill>
                  <w14:solidFill>
                    <w14:schemeClr w14:val="tx1"/>
                  </w14:solidFill>
                </w14:textFill>
              </w:rPr>
            </w:pPr>
          </w:p>
          <w:p w14:paraId="2FD35F35">
            <w:pPr>
              <w:pStyle w:val="2"/>
              <w:rPr>
                <w:color w:val="000000" w:themeColor="text1"/>
                <w:sz w:val="24"/>
                <w14:textFill>
                  <w14:solidFill>
                    <w14:schemeClr w14:val="tx1"/>
                  </w14:solidFill>
                </w14:textFill>
              </w:rPr>
            </w:pPr>
          </w:p>
          <w:p w14:paraId="5FA308E5">
            <w:pPr>
              <w:pStyle w:val="2"/>
              <w:rPr>
                <w:color w:val="000000" w:themeColor="text1"/>
                <w:sz w:val="24"/>
                <w14:textFill>
                  <w14:solidFill>
                    <w14:schemeClr w14:val="tx1"/>
                  </w14:solidFill>
                </w14:textFill>
              </w:rPr>
            </w:pPr>
          </w:p>
          <w:p w14:paraId="5A3A6902">
            <w:pPr>
              <w:pStyle w:val="2"/>
              <w:rPr>
                <w:color w:val="000000" w:themeColor="text1"/>
                <w:sz w:val="24"/>
                <w14:textFill>
                  <w14:solidFill>
                    <w14:schemeClr w14:val="tx1"/>
                  </w14:solidFill>
                </w14:textFill>
              </w:rPr>
            </w:pPr>
          </w:p>
          <w:p w14:paraId="0967AEEE">
            <w:pPr>
              <w:pStyle w:val="2"/>
              <w:rPr>
                <w:color w:val="000000" w:themeColor="text1"/>
                <w:sz w:val="24"/>
                <w14:textFill>
                  <w14:solidFill>
                    <w14:schemeClr w14:val="tx1"/>
                  </w14:solidFill>
                </w14:textFill>
              </w:rPr>
            </w:pPr>
          </w:p>
          <w:p w14:paraId="674B2B60">
            <w:pPr>
              <w:pStyle w:val="2"/>
              <w:rPr>
                <w:color w:val="000000" w:themeColor="text1"/>
                <w:sz w:val="24"/>
                <w14:textFill>
                  <w14:solidFill>
                    <w14:schemeClr w14:val="tx1"/>
                  </w14:solidFill>
                </w14:textFill>
              </w:rPr>
            </w:pPr>
          </w:p>
          <w:p w14:paraId="3F4EEDF5">
            <w:pPr>
              <w:pStyle w:val="2"/>
              <w:rPr>
                <w:color w:val="000000" w:themeColor="text1"/>
                <w:sz w:val="24"/>
                <w14:textFill>
                  <w14:solidFill>
                    <w14:schemeClr w14:val="tx1"/>
                  </w14:solidFill>
                </w14:textFill>
              </w:rPr>
            </w:pPr>
          </w:p>
          <w:p w14:paraId="13DDC649">
            <w:pPr>
              <w:pStyle w:val="2"/>
              <w:rPr>
                <w:color w:val="000000" w:themeColor="text1"/>
                <w:sz w:val="24"/>
                <w14:textFill>
                  <w14:solidFill>
                    <w14:schemeClr w14:val="tx1"/>
                  </w14:solidFill>
                </w14:textFill>
              </w:rPr>
            </w:pPr>
          </w:p>
          <w:p w14:paraId="158037B9">
            <w:pPr>
              <w:pStyle w:val="2"/>
              <w:rPr>
                <w:color w:val="000000" w:themeColor="text1"/>
                <w:sz w:val="24"/>
                <w14:textFill>
                  <w14:solidFill>
                    <w14:schemeClr w14:val="tx1"/>
                  </w14:solidFill>
                </w14:textFill>
              </w:rPr>
            </w:pPr>
          </w:p>
          <w:p w14:paraId="13AD9D5A">
            <w:pPr>
              <w:pStyle w:val="2"/>
              <w:rPr>
                <w:color w:val="000000" w:themeColor="text1"/>
                <w:sz w:val="24"/>
                <w14:textFill>
                  <w14:solidFill>
                    <w14:schemeClr w14:val="tx1"/>
                  </w14:solidFill>
                </w14:textFill>
              </w:rPr>
            </w:pPr>
          </w:p>
          <w:p w14:paraId="657D273D">
            <w:pPr>
              <w:pStyle w:val="2"/>
              <w:rPr>
                <w:color w:val="000000" w:themeColor="text1"/>
                <w:sz w:val="24"/>
                <w14:textFill>
                  <w14:solidFill>
                    <w14:schemeClr w14:val="tx1"/>
                  </w14:solidFill>
                </w14:textFill>
              </w:rPr>
            </w:pPr>
          </w:p>
          <w:p w14:paraId="1A9363E3">
            <w:pPr>
              <w:pStyle w:val="2"/>
              <w:rPr>
                <w:color w:val="000000" w:themeColor="text1"/>
                <w:sz w:val="24"/>
                <w14:textFill>
                  <w14:solidFill>
                    <w14:schemeClr w14:val="tx1"/>
                  </w14:solidFill>
                </w14:textFill>
              </w:rPr>
            </w:pPr>
          </w:p>
          <w:p w14:paraId="1BB8D5B0">
            <w:pPr>
              <w:pStyle w:val="2"/>
              <w:rPr>
                <w:color w:val="000000" w:themeColor="text1"/>
                <w:sz w:val="24"/>
                <w14:textFill>
                  <w14:solidFill>
                    <w14:schemeClr w14:val="tx1"/>
                  </w14:solidFill>
                </w14:textFill>
              </w:rPr>
            </w:pPr>
          </w:p>
          <w:p w14:paraId="332E0D92">
            <w:pPr>
              <w:pStyle w:val="2"/>
              <w:rPr>
                <w:color w:val="000000" w:themeColor="text1"/>
                <w:sz w:val="24"/>
                <w14:textFill>
                  <w14:solidFill>
                    <w14:schemeClr w14:val="tx1"/>
                  </w14:solidFill>
                </w14:textFill>
              </w:rPr>
            </w:pPr>
          </w:p>
          <w:p w14:paraId="1C727F24">
            <w:pPr>
              <w:pStyle w:val="2"/>
              <w:rPr>
                <w:color w:val="000000" w:themeColor="text1"/>
                <w:sz w:val="24"/>
                <w14:textFill>
                  <w14:solidFill>
                    <w14:schemeClr w14:val="tx1"/>
                  </w14:solidFill>
                </w14:textFill>
              </w:rPr>
            </w:pPr>
          </w:p>
          <w:p w14:paraId="31DF4F0E">
            <w:pPr>
              <w:pStyle w:val="2"/>
              <w:rPr>
                <w:color w:val="000000" w:themeColor="text1"/>
                <w:sz w:val="24"/>
                <w14:textFill>
                  <w14:solidFill>
                    <w14:schemeClr w14:val="tx1"/>
                  </w14:solidFill>
                </w14:textFill>
              </w:rPr>
            </w:pPr>
          </w:p>
          <w:p w14:paraId="5692ECEB">
            <w:pPr>
              <w:pStyle w:val="2"/>
              <w:rPr>
                <w:color w:val="000000" w:themeColor="text1"/>
                <w:sz w:val="24"/>
                <w14:textFill>
                  <w14:solidFill>
                    <w14:schemeClr w14:val="tx1"/>
                  </w14:solidFill>
                </w14:textFill>
              </w:rPr>
            </w:pPr>
          </w:p>
          <w:p w14:paraId="28B81201">
            <w:pPr>
              <w:pStyle w:val="2"/>
              <w:rPr>
                <w:color w:val="000000" w:themeColor="text1"/>
                <w:sz w:val="24"/>
                <w14:textFill>
                  <w14:solidFill>
                    <w14:schemeClr w14:val="tx1"/>
                  </w14:solidFill>
                </w14:textFill>
              </w:rPr>
            </w:pPr>
          </w:p>
          <w:p w14:paraId="43E101F9">
            <w:pPr>
              <w:pStyle w:val="2"/>
              <w:rPr>
                <w:color w:val="000000" w:themeColor="text1"/>
                <w:sz w:val="24"/>
                <w14:textFill>
                  <w14:solidFill>
                    <w14:schemeClr w14:val="tx1"/>
                  </w14:solidFill>
                </w14:textFill>
              </w:rPr>
            </w:pPr>
          </w:p>
        </w:tc>
      </w:tr>
      <w:tr w14:paraId="6917CD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450" w:hRule="atLeast"/>
          <w:jc w:val="center"/>
        </w:trPr>
        <w:tc>
          <w:tcPr>
            <w:tcW w:w="457" w:type="dxa"/>
            <w:vAlign w:val="center"/>
          </w:tcPr>
          <w:p w14:paraId="4430CED4">
            <w:pPr>
              <w:pStyle w:val="40"/>
              <w:adjustRightInd w:val="0"/>
              <w:snapToGrid w:val="0"/>
              <w:spacing w:before="0" w:beforeAutospacing="0" w:after="0" w:afterAutospacing="0"/>
              <w:jc w:val="center"/>
              <w:rPr>
                <w:rFonts w:ascii="Times New Roman" w:hAnsi="Times New Roman"/>
                <w:b/>
                <w:bCs/>
                <w:color w:val="000000" w:themeColor="text1"/>
                <w:szCs w:val="24"/>
                <w14:textFill>
                  <w14:solidFill>
                    <w14:schemeClr w14:val="tx1"/>
                  </w14:solidFill>
                </w14:textFill>
              </w:rPr>
            </w:pPr>
            <w:r>
              <w:rPr>
                <w:rFonts w:ascii="Times New Roman" w:hAnsi="Times New Roman"/>
                <w:b/>
                <w:bCs/>
                <w:color w:val="000000" w:themeColor="text1"/>
                <w:szCs w:val="24"/>
                <w14:textFill>
                  <w14:solidFill>
                    <w14:schemeClr w14:val="tx1"/>
                  </w14:solidFill>
                </w14:textFill>
              </w:rPr>
              <w:t>工艺流程和产排污环节</w:t>
            </w:r>
          </w:p>
        </w:tc>
        <w:tc>
          <w:tcPr>
            <w:tcW w:w="9283" w:type="dxa"/>
            <w:vAlign w:val="center"/>
          </w:tcPr>
          <w:p w14:paraId="1F7B7768">
            <w:pPr>
              <w:numPr>
                <w:ilvl w:val="0"/>
                <w:numId w:val="12"/>
              </w:numPr>
              <w:spacing w:line="360" w:lineRule="auto"/>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施工期工艺流程</w:t>
            </w:r>
          </w:p>
          <w:p w14:paraId="5EA082D5">
            <w:pPr>
              <w:spacing w:line="360" w:lineRule="auto"/>
              <w:ind w:firstLine="480" w:firstLineChars="200"/>
              <w:rPr>
                <w:color w:val="000000" w:themeColor="text1"/>
                <w:kern w:val="21"/>
                <w:sz w:val="24"/>
                <w14:textFill>
                  <w14:solidFill>
                    <w14:schemeClr w14:val="tx1"/>
                  </w14:solidFill>
                </w14:textFill>
              </w:rPr>
            </w:pPr>
            <w:r>
              <w:rPr>
                <w:rFonts w:hint="eastAsia"/>
                <w:color w:val="000000" w:themeColor="text1"/>
                <w:kern w:val="21"/>
                <w:sz w:val="24"/>
                <w14:textFill>
                  <w14:solidFill>
                    <w14:schemeClr w14:val="tx1"/>
                  </w14:solidFill>
                </w14:textFill>
              </w:rPr>
              <w:t>本项目施工期工艺流程及产污图详见图2-1。</w:t>
            </w:r>
            <w:r>
              <w:rPr>
                <w:color w:val="000000" w:themeColor="text1"/>
                <w:kern w:val="21"/>
                <w:sz w:val="24"/>
                <w14:textFill>
                  <w14:solidFill>
                    <w14:schemeClr w14:val="tx1"/>
                  </w14:solidFill>
                </w14:textFill>
              </w:rPr>
              <w:t>。</w:t>
            </w:r>
          </w:p>
          <w:p w14:paraId="4EC80C1B">
            <w:pPr>
              <w:spacing w:line="360" w:lineRule="auto"/>
              <w:ind w:firstLine="420" w:firstLineChars="200"/>
              <w:rPr>
                <w:rFonts w:eastAsia="仿宋_GB2312"/>
                <w:i/>
                <w:color w:val="000000" w:themeColor="text1"/>
                <w:kern w:val="21"/>
                <w:sz w:val="24"/>
                <w14:textFill>
                  <w14:solidFill>
                    <w14:schemeClr w14:val="tx1"/>
                  </w14:solidFill>
                </w14:textFill>
              </w:rPr>
            </w:pPr>
            <w:r>
              <w:rPr>
                <w:color w:val="000000" w:themeColor="text1"/>
                <w14:textFill>
                  <w14:solidFill>
                    <w14:schemeClr w14:val="tx1"/>
                  </w14:solidFill>
                </w14:textFill>
              </w:rPr>
              <w:object>
                <v:shape id="_x0000_i1025" o:spt="75" type="#_x0000_t75" style="height:96pt;width:409.5pt;" o:ole="t" filled="f" o:preferrelative="t" stroked="f" coordsize="21600,21600">
                  <v:path/>
                  <v:fill on="f" focussize="0,0"/>
                  <v:stroke on="f"/>
                  <v:imagedata r:id="rId9" o:title=""/>
                  <o:lock v:ext="edit" aspectratio="t"/>
                  <w10:wrap type="none"/>
                  <w10:anchorlock/>
                </v:shape>
                <o:OLEObject Type="Embed" ProgID="Visio.Drawing.11" ShapeID="_x0000_i1025" DrawAspect="Content" ObjectID="_1468075725" r:id="rId8">
                  <o:LockedField>false</o:LockedField>
                </o:OLEObject>
              </w:object>
            </w:r>
          </w:p>
          <w:p w14:paraId="6B8542C5">
            <w:pPr>
              <w:spacing w:line="360" w:lineRule="auto"/>
              <w:jc w:val="center"/>
              <w:rPr>
                <w:b/>
                <w:color w:val="000000" w:themeColor="text1"/>
                <w:kern w:val="21"/>
                <w:sz w:val="24"/>
                <w14:textFill>
                  <w14:solidFill>
                    <w14:schemeClr w14:val="tx1"/>
                  </w14:solidFill>
                </w14:textFill>
              </w:rPr>
            </w:pPr>
            <w:r>
              <w:rPr>
                <w:b/>
                <w:color w:val="000000" w:themeColor="text1"/>
                <w:kern w:val="21"/>
                <w:sz w:val="24"/>
                <w14:textFill>
                  <w14:solidFill>
                    <w14:schemeClr w14:val="tx1"/>
                  </w14:solidFill>
                </w14:textFill>
              </w:rPr>
              <w:t>图2-1   施工期产污示意图</w:t>
            </w:r>
          </w:p>
          <w:p w14:paraId="725F6D09">
            <w:pPr>
              <w:spacing w:line="360" w:lineRule="auto"/>
              <w:ind w:firstLine="482" w:firstLineChars="200"/>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二、营运期工艺流程</w:t>
            </w:r>
          </w:p>
          <w:p w14:paraId="51E6DAA5">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项目生产工艺分为毛石破碎与水稳料生产两条核心生产线，具体流程如下：首先，外购毛石由汽车运输至厂区，暂存于原料堆放区，作为毛石破碎生产线的初始原料；接着，毛石经破碎生产线的破碎、筛分设备处理后，加工为符合规格的小颗粒骨料与中颗粒骨料；随后，小颗粒骨料与中颗粒骨料通过叉车与装载机转运至水稳料生产线的料仓暂存；最后，该原料与水泥筒仓内的水泥按比例搭配，共同通过输送带输送至计量系统，经精准计量后送入搅拌机，最终搅拌生产水稳料。</w:t>
            </w:r>
          </w:p>
          <w:p w14:paraId="205EC6D5">
            <w:pPr>
              <w:spacing w:line="360" w:lineRule="auto"/>
              <w:ind w:firstLine="482" w:firstLineChars="200"/>
              <w:jc w:val="left"/>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1、毛石破碎生产工艺</w:t>
            </w:r>
            <w:r>
              <w:rPr>
                <w:b/>
                <w:bCs/>
                <w:color w:val="000000" w:themeColor="text1"/>
                <w:sz w:val="24"/>
                <w14:textFill>
                  <w14:solidFill>
                    <w14:schemeClr w14:val="tx1"/>
                  </w14:solidFill>
                </w14:textFill>
              </w:rPr>
              <w:t>流程：</w:t>
            </w:r>
          </w:p>
          <w:p w14:paraId="6EFE9984">
            <w:pPr>
              <w:pStyle w:val="201"/>
              <w:spacing w:line="240" w:lineRule="auto"/>
              <w:jc w:val="center"/>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drawing>
                <wp:inline distT="0" distB="0" distL="0" distR="0">
                  <wp:extent cx="2838450" cy="4170045"/>
                  <wp:effectExtent l="0" t="0" r="0" b="1905"/>
                  <wp:docPr id="20386434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643419" name="图片 6"/>
                          <pic:cNvPicPr>
                            <a:picLocks noChangeAspect="1" noChangeArrowheads="1"/>
                          </pic:cNvPicPr>
                        </pic:nvPicPr>
                        <pic:blipFill>
                          <a:blip r:embed="rId10">
                            <a:extLst>
                              <a:ext uri="{28A0092B-C50C-407E-A947-70E740481C1C}">
                                <a14:useLocalDpi xmlns:a14="http://schemas.microsoft.com/office/drawing/2010/main" val="0"/>
                              </a:ext>
                            </a:extLst>
                          </a:blip>
                          <a:srcRect l="24611" r="28972" b="47629"/>
                          <a:stretch>
                            <a:fillRect/>
                          </a:stretch>
                        </pic:blipFill>
                        <pic:spPr>
                          <a:xfrm>
                            <a:off x="0" y="0"/>
                            <a:ext cx="2838450" cy="4170045"/>
                          </a:xfrm>
                          <a:prstGeom prst="rect">
                            <a:avLst/>
                          </a:prstGeom>
                          <a:noFill/>
                          <a:ln>
                            <a:noFill/>
                          </a:ln>
                        </pic:spPr>
                      </pic:pic>
                    </a:graphicData>
                  </a:graphic>
                </wp:inline>
              </w:drawing>
            </w:r>
          </w:p>
          <w:p w14:paraId="38544960">
            <w:pPr>
              <w:pStyle w:val="201"/>
              <w:spacing w:line="240" w:lineRule="auto"/>
              <w:rPr>
                <w:rFonts w:hint="eastAsia"/>
                <w:b/>
                <w:bCs/>
                <w:color w:val="000000" w:themeColor="text1"/>
                <w14:textFill>
                  <w14:solidFill>
                    <w14:schemeClr w14:val="tx1"/>
                  </w14:solidFill>
                </w14:textFill>
              </w:rPr>
            </w:pPr>
            <w:r>
              <w:rPr>
                <w:b/>
                <w:bCs/>
                <w:color w:val="000000" w:themeColor="text1"/>
                <w14:textFill>
                  <w14:solidFill>
                    <w14:schemeClr w14:val="tx1"/>
                  </w14:solidFill>
                </w14:textFill>
              </w:rPr>
              <w:t>图例：废气——G；废水——W；固废——S；噪声——N</w:t>
            </w:r>
          </w:p>
          <w:p w14:paraId="148FBB6C">
            <w:pPr>
              <w:pStyle w:val="56"/>
              <w:jc w:val="center"/>
              <w:rPr>
                <w:rFonts w:ascii="Times New Roman" w:eastAsia="宋体"/>
                <w:b/>
                <w:color w:val="000000" w:themeColor="text1"/>
                <w14:textFill>
                  <w14:solidFill>
                    <w14:schemeClr w14:val="tx1"/>
                  </w14:solidFill>
                </w14:textFill>
              </w:rPr>
            </w:pPr>
            <w:r>
              <w:rPr>
                <w:rFonts w:ascii="Times New Roman" w:eastAsia="宋体"/>
                <w:b/>
                <w:color w:val="000000" w:themeColor="text1"/>
                <w14:textFill>
                  <w14:solidFill>
                    <w14:schemeClr w14:val="tx1"/>
                  </w14:solidFill>
                </w14:textFill>
              </w:rPr>
              <w:t>图</w:t>
            </w:r>
            <w:r>
              <w:rPr>
                <w:rFonts w:hint="eastAsia" w:ascii="Times New Roman" w:eastAsia="宋体"/>
                <w:b/>
                <w:color w:val="000000" w:themeColor="text1"/>
                <w14:textFill>
                  <w14:solidFill>
                    <w14:schemeClr w14:val="tx1"/>
                  </w14:solidFill>
                </w14:textFill>
              </w:rPr>
              <w:t>2-2</w:t>
            </w:r>
            <w:r>
              <w:rPr>
                <w:rFonts w:ascii="Times New Roman" w:eastAsia="宋体"/>
                <w:b/>
                <w:color w:val="000000" w:themeColor="text1"/>
                <w14:textFill>
                  <w14:solidFill>
                    <w14:schemeClr w14:val="tx1"/>
                  </w14:solidFill>
                </w14:textFill>
              </w:rPr>
              <w:t xml:space="preserve">    </w:t>
            </w:r>
            <w:r>
              <w:rPr>
                <w:rFonts w:hint="eastAsia" w:ascii="Times New Roman" w:eastAsia="宋体"/>
                <w:b/>
                <w:bCs/>
                <w:color w:val="000000" w:themeColor="text1"/>
                <w14:textFill>
                  <w14:solidFill>
                    <w14:schemeClr w14:val="tx1"/>
                  </w14:solidFill>
                </w14:textFill>
              </w:rPr>
              <w:t>毛石破碎生产及</w:t>
            </w:r>
            <w:r>
              <w:rPr>
                <w:rFonts w:ascii="Times New Roman" w:eastAsia="宋体"/>
                <w:b/>
                <w:color w:val="000000" w:themeColor="text1"/>
                <w14:textFill>
                  <w14:solidFill>
                    <w14:schemeClr w14:val="tx1"/>
                  </w14:solidFill>
                </w14:textFill>
              </w:rPr>
              <w:t>产污</w:t>
            </w:r>
            <w:r>
              <w:rPr>
                <w:rFonts w:hint="eastAsia" w:ascii="Times New Roman" w:eastAsia="宋体"/>
                <w:b/>
                <w:color w:val="000000" w:themeColor="text1"/>
                <w14:textFill>
                  <w14:solidFill>
                    <w14:schemeClr w14:val="tx1"/>
                  </w14:solidFill>
                </w14:textFill>
              </w:rPr>
              <w:t>示意图</w:t>
            </w:r>
          </w:p>
          <w:p w14:paraId="6915E603">
            <w:pPr>
              <w:spacing w:line="360" w:lineRule="auto"/>
              <w:ind w:firstLine="482" w:firstLineChars="200"/>
              <w:rPr>
                <w:b/>
                <w:color w:val="000000" w:themeColor="text1"/>
                <w:sz w:val="24"/>
                <w14:textFill>
                  <w14:solidFill>
                    <w14:schemeClr w14:val="tx1"/>
                  </w14:solidFill>
                </w14:textFill>
              </w:rPr>
            </w:pPr>
            <w:r>
              <w:rPr>
                <w:b/>
                <w:color w:val="000000" w:themeColor="text1"/>
                <w:sz w:val="24"/>
                <w14:textFill>
                  <w14:solidFill>
                    <w14:schemeClr w14:val="tx1"/>
                  </w14:solidFill>
                </w14:textFill>
              </w:rPr>
              <w:t>工艺流程简述：</w:t>
            </w:r>
          </w:p>
          <w:p w14:paraId="082601BF">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①卸料堆放：本项目外购的毛石</w:t>
            </w:r>
            <w:r>
              <w:rPr>
                <w:color w:val="000000" w:themeColor="text1"/>
                <w:sz w:val="24"/>
                <w14:textFill>
                  <w14:solidFill>
                    <w14:schemeClr w14:val="tx1"/>
                  </w14:solidFill>
                </w14:textFill>
              </w:rPr>
              <w:t>由卖方</w:t>
            </w:r>
            <w:r>
              <w:rPr>
                <w:rFonts w:hint="eastAsia"/>
                <w:color w:val="000000" w:themeColor="text1"/>
                <w:sz w:val="24"/>
                <w14:textFill>
                  <w14:solidFill>
                    <w14:schemeClr w14:val="tx1"/>
                  </w14:solidFill>
                </w14:textFill>
              </w:rPr>
              <w:t>车辆采用编织覆盖后通过公路上</w:t>
            </w:r>
            <w:r>
              <w:rPr>
                <w:color w:val="000000" w:themeColor="text1"/>
                <w:sz w:val="24"/>
                <w14:textFill>
                  <w14:solidFill>
                    <w14:schemeClr w14:val="tx1"/>
                  </w14:solidFill>
                </w14:textFill>
              </w:rPr>
              <w:t>运输至厂内</w:t>
            </w:r>
            <w:r>
              <w:rPr>
                <w:rFonts w:hint="eastAsia"/>
                <w:color w:val="000000" w:themeColor="text1"/>
                <w:sz w:val="24"/>
                <w14:textFill>
                  <w14:solidFill>
                    <w14:schemeClr w14:val="tx1"/>
                  </w14:solidFill>
                </w14:textFill>
              </w:rPr>
              <w:t>原料堆放区</w:t>
            </w:r>
            <w:r>
              <w:rPr>
                <w:color w:val="000000" w:themeColor="text1"/>
                <w:sz w:val="24"/>
                <w14:textFill>
                  <w14:solidFill>
                    <w14:schemeClr w14:val="tx1"/>
                  </w14:solidFill>
                </w14:textFill>
              </w:rPr>
              <w:t>进行装卸并堆放存储。本项目不包括原料和产品的运输。采用</w:t>
            </w:r>
            <w:r>
              <w:rPr>
                <w:rFonts w:hint="eastAsia"/>
                <w:color w:val="000000" w:themeColor="text1"/>
                <w:sz w:val="24"/>
                <w14:textFill>
                  <w14:solidFill>
                    <w14:schemeClr w14:val="tx1"/>
                  </w14:solidFill>
                </w14:textFill>
              </w:rPr>
              <w:t>装载机</w:t>
            </w:r>
            <w:r>
              <w:rPr>
                <w:color w:val="000000" w:themeColor="text1"/>
                <w:sz w:val="24"/>
                <w14:textFill>
                  <w14:solidFill>
                    <w14:schemeClr w14:val="tx1"/>
                  </w14:solidFill>
                </w14:textFill>
              </w:rPr>
              <w:t>将</w:t>
            </w:r>
            <w:r>
              <w:rPr>
                <w:rFonts w:hint="eastAsia"/>
                <w:color w:val="000000" w:themeColor="text1"/>
                <w:sz w:val="24"/>
                <w14:textFill>
                  <w14:solidFill>
                    <w14:schemeClr w14:val="tx1"/>
                  </w14:solidFill>
                </w14:textFill>
              </w:rPr>
              <w:t>毛石</w:t>
            </w:r>
            <w:r>
              <w:rPr>
                <w:color w:val="000000" w:themeColor="text1"/>
                <w:sz w:val="24"/>
                <w14:textFill>
                  <w14:solidFill>
                    <w14:schemeClr w14:val="tx1"/>
                  </w14:solidFill>
                </w14:textFill>
              </w:rPr>
              <w:t>从原料堆放</w:t>
            </w:r>
            <w:r>
              <w:rPr>
                <w:rFonts w:hint="eastAsia"/>
                <w:color w:val="000000" w:themeColor="text1"/>
                <w:sz w:val="24"/>
                <w14:textFill>
                  <w14:solidFill>
                    <w14:schemeClr w14:val="tx1"/>
                  </w14:solidFill>
                </w14:textFill>
              </w:rPr>
              <w:t>区</w:t>
            </w:r>
            <w:r>
              <w:rPr>
                <w:color w:val="000000" w:themeColor="text1"/>
                <w:sz w:val="24"/>
                <w14:textFill>
                  <w14:solidFill>
                    <w14:schemeClr w14:val="tx1"/>
                  </w14:solidFill>
                </w14:textFill>
              </w:rPr>
              <w:t>中输送至</w:t>
            </w:r>
            <w:r>
              <w:rPr>
                <w:rFonts w:hint="eastAsia"/>
                <w:color w:val="000000" w:themeColor="text1"/>
                <w:sz w:val="24"/>
                <w14:textFill>
                  <w14:solidFill>
                    <w14:schemeClr w14:val="tx1"/>
                  </w14:solidFill>
                </w14:textFill>
              </w:rPr>
              <w:t>过水池</w:t>
            </w:r>
            <w:bookmarkStart w:id="36" w:name="OLE_LINK16"/>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过水池</w:t>
            </w:r>
            <w:r>
              <w:rPr>
                <w:color w:val="000000" w:themeColor="text1"/>
                <w:sz w:val="24"/>
                <w14:textFill>
                  <w14:solidFill>
                    <w14:schemeClr w14:val="tx1"/>
                  </w14:solidFill>
                </w14:textFill>
              </w:rPr>
              <w:t>尺寸为：</w:t>
            </w:r>
            <w:r>
              <w:rPr>
                <w:rFonts w:hint="eastAsia"/>
                <w:color w:val="000000" w:themeColor="text1"/>
                <w:sz w:val="24"/>
                <w14:textFill>
                  <w14:solidFill>
                    <w14:schemeClr w14:val="tx1"/>
                  </w14:solidFill>
                </w14:textFill>
              </w:rPr>
              <w:t>5.5m×3m×1.5m</w:t>
            </w:r>
            <w:r>
              <w:rPr>
                <w:color w:val="000000" w:themeColor="text1"/>
                <w:sz w:val="24"/>
                <w14:textFill>
                  <w14:solidFill>
                    <w14:schemeClr w14:val="tx1"/>
                  </w14:solidFill>
                </w14:textFill>
              </w:rPr>
              <w:t>）</w:t>
            </w:r>
            <w:bookmarkEnd w:id="36"/>
          </w:p>
          <w:p w14:paraId="351DAB25">
            <w:pPr>
              <w:widowControl/>
              <w:spacing w:line="360" w:lineRule="auto"/>
              <w:ind w:firstLine="482" w:firstLineChars="200"/>
              <w:jc w:val="left"/>
              <w:rPr>
                <w:rFonts w:ascii="宋体"/>
                <w:b/>
                <w:color w:val="000000" w:themeColor="text1"/>
                <w:kern w:val="0"/>
                <w:sz w:val="24"/>
                <w14:textFill>
                  <w14:solidFill>
                    <w14:schemeClr w14:val="tx1"/>
                  </w14:solidFill>
                </w14:textFill>
              </w:rPr>
            </w:pPr>
            <w:r>
              <w:rPr>
                <w:rFonts w:hint="eastAsia" w:ascii="宋体"/>
                <w:b/>
                <w:color w:val="000000" w:themeColor="text1"/>
                <w:kern w:val="0"/>
                <w:sz w:val="24"/>
                <w14:textFill>
                  <w14:solidFill>
                    <w14:schemeClr w14:val="tx1"/>
                  </w14:solidFill>
                </w14:textFill>
              </w:rPr>
              <w:t>产污节点主要为</w:t>
            </w:r>
            <w:r>
              <w:rPr>
                <w:b/>
                <w:color w:val="000000" w:themeColor="text1"/>
                <w:kern w:val="0"/>
                <w:sz w:val="24"/>
                <w14:textFill>
                  <w14:solidFill>
                    <w14:schemeClr w14:val="tx1"/>
                  </w14:solidFill>
                </w14:textFill>
              </w:rPr>
              <w:t>N</w:t>
            </w:r>
            <w:r>
              <w:rPr>
                <w:rFonts w:hint="eastAsia"/>
                <w:b/>
                <w:color w:val="000000" w:themeColor="text1"/>
                <w:kern w:val="0"/>
                <w:sz w:val="24"/>
                <w14:textFill>
                  <w14:solidFill>
                    <w14:schemeClr w14:val="tx1"/>
                  </w14:solidFill>
                </w14:textFill>
              </w:rPr>
              <w:t>1</w:t>
            </w:r>
            <w:r>
              <w:rPr>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1</w:t>
            </w:r>
            <w:r>
              <w:rPr>
                <w:b/>
                <w:color w:val="000000" w:themeColor="text1"/>
                <w:kern w:val="0"/>
                <w:sz w:val="24"/>
                <w14:textFill>
                  <w14:solidFill>
                    <w14:schemeClr w14:val="tx1"/>
                  </w14:solidFill>
                </w14:textFill>
              </w:rPr>
              <w:t>噪声、</w:t>
            </w:r>
            <w:r>
              <w:rPr>
                <w:rFonts w:hint="eastAsia"/>
                <w:b/>
                <w:color w:val="000000" w:themeColor="text1"/>
                <w:kern w:val="0"/>
                <w:sz w:val="24"/>
                <w14:textFill>
                  <w14:solidFill>
                    <w14:schemeClr w14:val="tx1"/>
                  </w14:solidFill>
                </w14:textFill>
              </w:rPr>
              <w:t>G1</w:t>
            </w:r>
            <w:r>
              <w:rPr>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1堆场扬尘</w:t>
            </w:r>
            <w:r>
              <w:rPr>
                <w:rFonts w:hint="eastAsia" w:ascii="宋体"/>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G1</w:t>
            </w:r>
            <w:r>
              <w:rPr>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1堆场扬尘</w:t>
            </w:r>
            <w:r>
              <w:rPr>
                <w:rFonts w:hint="eastAsia" w:ascii="宋体"/>
                <w:b/>
                <w:color w:val="000000" w:themeColor="text1"/>
                <w:kern w:val="0"/>
                <w:sz w:val="24"/>
                <w14:textFill>
                  <w14:solidFill>
                    <w14:schemeClr w14:val="tx1"/>
                  </w14:solidFill>
                </w14:textFill>
              </w:rPr>
              <w:t>经洒水抑尘处理后无组织排放。</w:t>
            </w:r>
          </w:p>
          <w:p w14:paraId="4E3B6B1B">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②过水清洗：毛石经过传送带在过水池中过水，利用高压水力冲洗结合机械振动或搅拌作用，使毛石表面的泥土、粉尘等污染物剥离并与水分离。该工艺的作用机制主要包括三个方面：首先是水力冲击作用，通过高压水流的动能冲击毛石表面，使粘附的污染物松动；其次是浸泡软化作用，毛石在水中浸泡使污染物吸水膨胀，降低与毛石表面的结合力；最后是机械揉搓作用，通过振动筛的振动或叶桨的搅动使毛石颗粒之间相互摩擦，加速污染物的脱落分拣。过水池中水进入联通的1个200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沉淀池进行沉淀后循环使用。</w:t>
            </w:r>
          </w:p>
          <w:p w14:paraId="5888BB48">
            <w:pPr>
              <w:widowControl/>
              <w:spacing w:line="360" w:lineRule="auto"/>
              <w:ind w:firstLine="482" w:firstLineChars="200"/>
              <w:jc w:val="left"/>
              <w:rPr>
                <w:rFonts w:ascii="宋体"/>
                <w:b/>
                <w:color w:val="000000" w:themeColor="text1"/>
                <w:kern w:val="0"/>
                <w:sz w:val="24"/>
                <w14:textFill>
                  <w14:solidFill>
                    <w14:schemeClr w14:val="tx1"/>
                  </w14:solidFill>
                </w14:textFill>
              </w:rPr>
            </w:pPr>
            <w:r>
              <w:rPr>
                <w:rFonts w:hint="eastAsia" w:ascii="宋体"/>
                <w:b/>
                <w:color w:val="000000" w:themeColor="text1"/>
                <w:kern w:val="0"/>
                <w:sz w:val="24"/>
                <w14:textFill>
                  <w14:solidFill>
                    <w14:schemeClr w14:val="tx1"/>
                  </w14:solidFill>
                </w14:textFill>
              </w:rPr>
              <w:t>产污节点主要为</w:t>
            </w:r>
            <w:r>
              <w:rPr>
                <w:b/>
                <w:color w:val="000000" w:themeColor="text1"/>
                <w:kern w:val="0"/>
                <w:sz w:val="24"/>
                <w14:textFill>
                  <w14:solidFill>
                    <w14:schemeClr w14:val="tx1"/>
                  </w14:solidFill>
                </w14:textFill>
              </w:rPr>
              <w:t>N</w:t>
            </w:r>
            <w:r>
              <w:rPr>
                <w:rFonts w:hint="eastAsia"/>
                <w:b/>
                <w:color w:val="000000" w:themeColor="text1"/>
                <w:kern w:val="0"/>
                <w:sz w:val="24"/>
                <w14:textFill>
                  <w14:solidFill>
                    <w14:schemeClr w14:val="tx1"/>
                  </w14:solidFill>
                </w14:textFill>
              </w:rPr>
              <w:t>1</w:t>
            </w:r>
            <w:r>
              <w:rPr>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2</w:t>
            </w:r>
            <w:r>
              <w:rPr>
                <w:b/>
                <w:color w:val="000000" w:themeColor="text1"/>
                <w:kern w:val="0"/>
                <w:sz w:val="24"/>
                <w14:textFill>
                  <w14:solidFill>
                    <w14:schemeClr w14:val="tx1"/>
                  </w14:solidFill>
                </w14:textFill>
              </w:rPr>
              <w:t>噪声、</w:t>
            </w:r>
            <w:r>
              <w:rPr>
                <w:rFonts w:hint="eastAsia"/>
                <w:b/>
                <w:color w:val="000000" w:themeColor="text1"/>
                <w:kern w:val="0"/>
                <w:sz w:val="24"/>
                <w14:textFill>
                  <w14:solidFill>
                    <w14:schemeClr w14:val="tx1"/>
                  </w14:solidFill>
                </w14:textFill>
              </w:rPr>
              <w:t>W1-1过水清洗废水</w:t>
            </w:r>
            <w:r>
              <w:rPr>
                <w:rFonts w:hint="eastAsia" w:ascii="宋体"/>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W1-1过水清洗废水</w:t>
            </w:r>
            <w:r>
              <w:rPr>
                <w:rFonts w:hint="eastAsia" w:ascii="宋体"/>
                <w:b/>
                <w:color w:val="000000" w:themeColor="text1"/>
                <w:kern w:val="0"/>
                <w:sz w:val="24"/>
                <w14:textFill>
                  <w14:solidFill>
                    <w14:schemeClr w14:val="tx1"/>
                  </w14:solidFill>
                </w14:textFill>
              </w:rPr>
              <w:t>经沉淀池处理后回用于过水清洗工序。</w:t>
            </w:r>
          </w:p>
          <w:p w14:paraId="10859625">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③</w:t>
            </w:r>
            <w:r>
              <w:rPr>
                <w:color w:val="000000" w:themeColor="text1"/>
                <w:sz w:val="24"/>
                <w14:textFill>
                  <w14:solidFill>
                    <w14:schemeClr w14:val="tx1"/>
                  </w14:solidFill>
                </w14:textFill>
              </w:rPr>
              <w:t>脱水：水洗脱泥后的</w:t>
            </w:r>
            <w:r>
              <w:rPr>
                <w:rFonts w:hint="eastAsia"/>
                <w:color w:val="000000" w:themeColor="text1"/>
                <w:sz w:val="24"/>
                <w14:textFill>
                  <w14:solidFill>
                    <w14:schemeClr w14:val="tx1"/>
                  </w14:solidFill>
                </w14:textFill>
              </w:rPr>
              <w:t>毛石</w:t>
            </w:r>
            <w:r>
              <w:rPr>
                <w:color w:val="000000" w:themeColor="text1"/>
                <w:sz w:val="24"/>
                <w14:textFill>
                  <w14:solidFill>
                    <w14:schemeClr w14:val="tx1"/>
                  </w14:solidFill>
                </w14:textFill>
              </w:rPr>
              <w:t>进入脱水筛，通过快速振动</w:t>
            </w:r>
            <w:r>
              <w:rPr>
                <w:rFonts w:hint="eastAsia"/>
                <w:color w:val="000000" w:themeColor="text1"/>
                <w:sz w:val="24"/>
                <w14:textFill>
                  <w14:solidFill>
                    <w14:schemeClr w14:val="tx1"/>
                  </w14:solidFill>
                </w14:textFill>
              </w:rPr>
              <w:t>（转速为600r/min）</w:t>
            </w:r>
            <w:r>
              <w:rPr>
                <w:color w:val="000000" w:themeColor="text1"/>
                <w:sz w:val="24"/>
                <w14:textFill>
                  <w14:solidFill>
                    <w14:schemeClr w14:val="tx1"/>
                  </w14:solidFill>
                </w14:textFill>
              </w:rPr>
              <w:t>达到脱水效果，脱水后的</w:t>
            </w:r>
            <w:r>
              <w:rPr>
                <w:rFonts w:hint="eastAsia"/>
                <w:color w:val="000000" w:themeColor="text1"/>
                <w:sz w:val="24"/>
                <w14:textFill>
                  <w14:solidFill>
                    <w14:schemeClr w14:val="tx1"/>
                  </w14:solidFill>
                </w14:textFill>
              </w:rPr>
              <w:t>毛石</w:t>
            </w:r>
            <w:r>
              <w:rPr>
                <w:color w:val="000000" w:themeColor="text1"/>
                <w:sz w:val="24"/>
                <w14:textFill>
                  <w14:solidFill>
                    <w14:schemeClr w14:val="tx1"/>
                  </w14:solidFill>
                </w14:textFill>
              </w:rPr>
              <w:t>经输送带送至</w:t>
            </w:r>
            <w:r>
              <w:rPr>
                <w:rFonts w:hint="eastAsia"/>
                <w:color w:val="000000" w:themeColor="text1"/>
                <w:sz w:val="24"/>
                <w14:textFill>
                  <w14:solidFill>
                    <w14:schemeClr w14:val="tx1"/>
                  </w14:solidFill>
                </w14:textFill>
              </w:rPr>
              <w:t>破碎区域</w:t>
            </w:r>
            <w:r>
              <w:rPr>
                <w:color w:val="000000" w:themeColor="text1"/>
                <w:sz w:val="24"/>
                <w14:textFill>
                  <w14:solidFill>
                    <w14:schemeClr w14:val="tx1"/>
                  </w14:solidFill>
                </w14:textFill>
              </w:rPr>
              <w:t>。脱水废水通过收集沟进入</w:t>
            </w:r>
            <w:r>
              <w:rPr>
                <w:rFonts w:hint="eastAsia"/>
                <w:color w:val="000000" w:themeColor="text1"/>
                <w:sz w:val="24"/>
                <w14:textFill>
                  <w14:solidFill>
                    <w14:schemeClr w14:val="tx1"/>
                  </w14:solidFill>
                </w14:textFill>
              </w:rPr>
              <w:t>沉淀池</w:t>
            </w:r>
            <w:r>
              <w:rPr>
                <w:color w:val="000000" w:themeColor="text1"/>
                <w:sz w:val="24"/>
                <w14:textFill>
                  <w14:solidFill>
                    <w14:schemeClr w14:val="tx1"/>
                  </w14:solidFill>
                </w14:textFill>
              </w:rPr>
              <w:t>沉淀处理后回用于</w:t>
            </w:r>
            <w:r>
              <w:rPr>
                <w:rFonts w:hint="eastAsia"/>
                <w:color w:val="000000" w:themeColor="text1"/>
                <w:sz w:val="24"/>
                <w14:textFill>
                  <w14:solidFill>
                    <w14:schemeClr w14:val="tx1"/>
                  </w14:solidFill>
                </w14:textFill>
              </w:rPr>
              <w:t>过水清洗工序</w:t>
            </w:r>
            <w:r>
              <w:rPr>
                <w:color w:val="000000" w:themeColor="text1"/>
                <w:sz w:val="24"/>
                <w14:textFill>
                  <w14:solidFill>
                    <w14:schemeClr w14:val="tx1"/>
                  </w14:solidFill>
                </w14:textFill>
              </w:rPr>
              <w:t>。</w:t>
            </w:r>
          </w:p>
          <w:p w14:paraId="6FDDCCE0">
            <w:pPr>
              <w:widowControl/>
              <w:spacing w:line="360" w:lineRule="auto"/>
              <w:ind w:firstLine="482" w:firstLineChars="200"/>
              <w:jc w:val="left"/>
              <w:rPr>
                <w:rFonts w:ascii="宋体"/>
                <w:b/>
                <w:color w:val="000000" w:themeColor="text1"/>
                <w:kern w:val="0"/>
                <w:sz w:val="24"/>
                <w14:textFill>
                  <w14:solidFill>
                    <w14:schemeClr w14:val="tx1"/>
                  </w14:solidFill>
                </w14:textFill>
              </w:rPr>
            </w:pPr>
            <w:r>
              <w:rPr>
                <w:rFonts w:hint="eastAsia" w:ascii="宋体"/>
                <w:b/>
                <w:color w:val="000000" w:themeColor="text1"/>
                <w:kern w:val="0"/>
                <w:sz w:val="24"/>
                <w14:textFill>
                  <w14:solidFill>
                    <w14:schemeClr w14:val="tx1"/>
                  </w14:solidFill>
                </w14:textFill>
              </w:rPr>
              <w:t>产污节点主要为</w:t>
            </w:r>
            <w:r>
              <w:rPr>
                <w:b/>
                <w:color w:val="000000" w:themeColor="text1"/>
                <w:kern w:val="0"/>
                <w:sz w:val="24"/>
                <w14:textFill>
                  <w14:solidFill>
                    <w14:schemeClr w14:val="tx1"/>
                  </w14:solidFill>
                </w14:textFill>
              </w:rPr>
              <w:t>N</w:t>
            </w:r>
            <w:r>
              <w:rPr>
                <w:rFonts w:hint="eastAsia"/>
                <w:b/>
                <w:color w:val="000000" w:themeColor="text1"/>
                <w:kern w:val="0"/>
                <w:sz w:val="24"/>
                <w14:textFill>
                  <w14:solidFill>
                    <w14:schemeClr w14:val="tx1"/>
                  </w14:solidFill>
                </w14:textFill>
              </w:rPr>
              <w:t>1</w:t>
            </w:r>
            <w:r>
              <w:rPr>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3</w:t>
            </w:r>
            <w:r>
              <w:rPr>
                <w:b/>
                <w:color w:val="000000" w:themeColor="text1"/>
                <w:kern w:val="0"/>
                <w:sz w:val="24"/>
                <w14:textFill>
                  <w14:solidFill>
                    <w14:schemeClr w14:val="tx1"/>
                  </w14:solidFill>
                </w14:textFill>
              </w:rPr>
              <w:t>噪声、</w:t>
            </w:r>
            <w:r>
              <w:rPr>
                <w:rFonts w:hint="eastAsia"/>
                <w:b/>
                <w:color w:val="000000" w:themeColor="text1"/>
                <w:kern w:val="0"/>
                <w:sz w:val="24"/>
                <w14:textFill>
                  <w14:solidFill>
                    <w14:schemeClr w14:val="tx1"/>
                  </w14:solidFill>
                </w14:textFill>
              </w:rPr>
              <w:t>W1-2脱水废水</w:t>
            </w:r>
            <w:r>
              <w:rPr>
                <w:rFonts w:hint="eastAsia" w:ascii="宋体"/>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W1-2脱水废水</w:t>
            </w:r>
            <w:r>
              <w:rPr>
                <w:rFonts w:hint="eastAsia" w:ascii="宋体"/>
                <w:b/>
                <w:color w:val="000000" w:themeColor="text1"/>
                <w:kern w:val="0"/>
                <w:sz w:val="24"/>
                <w14:textFill>
                  <w14:solidFill>
                    <w14:schemeClr w14:val="tx1"/>
                  </w14:solidFill>
                </w14:textFill>
              </w:rPr>
              <w:t>经沉淀池处理后回用于过水清洗工序。</w:t>
            </w:r>
          </w:p>
          <w:p w14:paraId="2B099980">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④破碎：通过铲车将过水清洗后的毛石直接卸入振动筛分给料机内，并由振动筛分给料机喂入鄂式破碎机内进行一级破碎，一级破碎后的原料通过皮带输送机直接进入二级反击式破碎机内进行二级破碎，二级破碎后的原料进入筛分阶段。</w:t>
            </w:r>
          </w:p>
          <w:p w14:paraId="2A527B2C">
            <w:pPr>
              <w:widowControl/>
              <w:spacing w:line="360" w:lineRule="auto"/>
              <w:ind w:firstLine="482" w:firstLineChars="200"/>
              <w:jc w:val="left"/>
              <w:rPr>
                <w:rFonts w:ascii="宋体"/>
                <w:b/>
                <w:color w:val="000000" w:themeColor="text1"/>
                <w:kern w:val="0"/>
                <w:sz w:val="24"/>
                <w14:textFill>
                  <w14:solidFill>
                    <w14:schemeClr w14:val="tx1"/>
                  </w14:solidFill>
                </w14:textFill>
              </w:rPr>
            </w:pPr>
            <w:r>
              <w:rPr>
                <w:rFonts w:hint="eastAsia" w:ascii="宋体"/>
                <w:b/>
                <w:color w:val="000000" w:themeColor="text1"/>
                <w:kern w:val="0"/>
                <w:sz w:val="24"/>
                <w14:textFill>
                  <w14:solidFill>
                    <w14:schemeClr w14:val="tx1"/>
                  </w14:solidFill>
                </w14:textFill>
              </w:rPr>
              <w:t>产污节点主要为</w:t>
            </w:r>
            <w:r>
              <w:rPr>
                <w:b/>
                <w:color w:val="000000" w:themeColor="text1"/>
                <w:kern w:val="0"/>
                <w:sz w:val="24"/>
                <w14:textFill>
                  <w14:solidFill>
                    <w14:schemeClr w14:val="tx1"/>
                  </w14:solidFill>
                </w14:textFill>
              </w:rPr>
              <w:t>N</w:t>
            </w:r>
            <w:r>
              <w:rPr>
                <w:rFonts w:hint="eastAsia"/>
                <w:b/>
                <w:color w:val="000000" w:themeColor="text1"/>
                <w:kern w:val="0"/>
                <w:sz w:val="24"/>
                <w14:textFill>
                  <w14:solidFill>
                    <w14:schemeClr w14:val="tx1"/>
                  </w14:solidFill>
                </w14:textFill>
              </w:rPr>
              <w:t>1</w:t>
            </w:r>
            <w:r>
              <w:rPr>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4</w:t>
            </w:r>
            <w:r>
              <w:rPr>
                <w:b/>
                <w:color w:val="000000" w:themeColor="text1"/>
                <w:kern w:val="0"/>
                <w:sz w:val="24"/>
                <w14:textFill>
                  <w14:solidFill>
                    <w14:schemeClr w14:val="tx1"/>
                  </w14:solidFill>
                </w14:textFill>
              </w:rPr>
              <w:t>噪声、</w:t>
            </w:r>
            <w:r>
              <w:rPr>
                <w:rFonts w:hint="eastAsia"/>
                <w:b/>
                <w:color w:val="000000" w:themeColor="text1"/>
                <w:kern w:val="0"/>
                <w:sz w:val="24"/>
                <w14:textFill>
                  <w14:solidFill>
                    <w14:schemeClr w14:val="tx1"/>
                  </w14:solidFill>
                </w14:textFill>
              </w:rPr>
              <w:t>G1</w:t>
            </w:r>
            <w:r>
              <w:rPr>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2破碎</w:t>
            </w:r>
            <w:r>
              <w:rPr>
                <w:b/>
                <w:color w:val="000000" w:themeColor="text1"/>
                <w:kern w:val="0"/>
                <w:sz w:val="24"/>
                <w14:textFill>
                  <w14:solidFill>
                    <w14:schemeClr w14:val="tx1"/>
                  </w14:solidFill>
                </w14:textFill>
              </w:rPr>
              <w:t>粉尘</w:t>
            </w:r>
            <w:r>
              <w:rPr>
                <w:rFonts w:hint="eastAsia" w:ascii="宋体"/>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G1</w:t>
            </w:r>
            <w:r>
              <w:rPr>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2破碎</w:t>
            </w:r>
            <w:r>
              <w:rPr>
                <w:b/>
                <w:color w:val="000000" w:themeColor="text1"/>
                <w:kern w:val="0"/>
                <w:sz w:val="24"/>
                <w14:textFill>
                  <w14:solidFill>
                    <w14:schemeClr w14:val="tx1"/>
                  </w14:solidFill>
                </w14:textFill>
              </w:rPr>
              <w:t>粉尘</w:t>
            </w:r>
            <w:r>
              <w:rPr>
                <w:rFonts w:hint="eastAsia" w:ascii="宋体"/>
                <w:b/>
                <w:color w:val="000000" w:themeColor="text1"/>
                <w:kern w:val="0"/>
                <w:sz w:val="24"/>
                <w14:textFill>
                  <w14:solidFill>
                    <w14:schemeClr w14:val="tx1"/>
                  </w14:solidFill>
                </w14:textFill>
              </w:rPr>
              <w:t>经洒水抑尘处理后无组织排放。</w:t>
            </w:r>
          </w:p>
          <w:p w14:paraId="394C1F40">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⑤筛分：完成破碎工序的骨料进入振动筛进行筛分，振动筛转速为800r/min，筛分为粒径为小于4.75mm的小颗粒骨料和粒径为4.75-19mm的中颗粒骨料，合格粒径骨料经输送带送至半成品堆场储存，不合格砂石骨料（&gt;19mm）返回破碎工序重新破碎形成闭路循环，直到制成半成品骨料，筛分过程中会产生一定量的粉尘，本项目传送带皆密闭传送，但在开启、关闭过程中排出空气会产生一定的粉尘。</w:t>
            </w:r>
          </w:p>
          <w:p w14:paraId="3857B30A">
            <w:pPr>
              <w:widowControl/>
              <w:spacing w:line="360" w:lineRule="auto"/>
              <w:ind w:firstLine="482" w:firstLineChars="200"/>
              <w:jc w:val="left"/>
              <w:rPr>
                <w:b/>
                <w:color w:val="000000" w:themeColor="text1"/>
                <w:kern w:val="0"/>
                <w:sz w:val="24"/>
                <w14:textFill>
                  <w14:solidFill>
                    <w14:schemeClr w14:val="tx1"/>
                  </w14:solidFill>
                </w14:textFill>
              </w:rPr>
            </w:pPr>
            <w:r>
              <w:rPr>
                <w:rFonts w:hint="eastAsia" w:ascii="宋体"/>
                <w:b/>
                <w:color w:val="000000" w:themeColor="text1"/>
                <w:kern w:val="0"/>
                <w:sz w:val="24"/>
                <w14:textFill>
                  <w14:solidFill>
                    <w14:schemeClr w14:val="tx1"/>
                  </w14:solidFill>
                </w14:textFill>
              </w:rPr>
              <w:t>产污节点主要为</w:t>
            </w:r>
            <w:r>
              <w:rPr>
                <w:b/>
                <w:color w:val="000000" w:themeColor="text1"/>
                <w:kern w:val="0"/>
                <w:sz w:val="24"/>
                <w14:textFill>
                  <w14:solidFill>
                    <w14:schemeClr w14:val="tx1"/>
                  </w14:solidFill>
                </w14:textFill>
              </w:rPr>
              <w:t>N</w:t>
            </w:r>
            <w:r>
              <w:rPr>
                <w:rFonts w:hint="eastAsia"/>
                <w:b/>
                <w:color w:val="000000" w:themeColor="text1"/>
                <w:kern w:val="0"/>
                <w:sz w:val="24"/>
                <w14:textFill>
                  <w14:solidFill>
                    <w14:schemeClr w14:val="tx1"/>
                  </w14:solidFill>
                </w14:textFill>
              </w:rPr>
              <w:t>1</w:t>
            </w:r>
            <w:r>
              <w:rPr>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5</w:t>
            </w:r>
            <w:r>
              <w:rPr>
                <w:b/>
                <w:color w:val="000000" w:themeColor="text1"/>
                <w:kern w:val="0"/>
                <w:sz w:val="24"/>
                <w14:textFill>
                  <w14:solidFill>
                    <w14:schemeClr w14:val="tx1"/>
                  </w14:solidFill>
                </w14:textFill>
              </w:rPr>
              <w:t>噪声、</w:t>
            </w:r>
            <w:r>
              <w:rPr>
                <w:rFonts w:hint="eastAsia"/>
                <w:b/>
                <w:color w:val="000000" w:themeColor="text1"/>
                <w:kern w:val="0"/>
                <w:sz w:val="24"/>
                <w14:textFill>
                  <w14:solidFill>
                    <w14:schemeClr w14:val="tx1"/>
                  </w14:solidFill>
                </w14:textFill>
              </w:rPr>
              <w:t>G1</w:t>
            </w:r>
            <w:r>
              <w:rPr>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3筛分</w:t>
            </w:r>
            <w:r>
              <w:rPr>
                <w:b/>
                <w:color w:val="000000" w:themeColor="text1"/>
                <w:kern w:val="0"/>
                <w:sz w:val="24"/>
                <w14:textFill>
                  <w14:solidFill>
                    <w14:schemeClr w14:val="tx1"/>
                  </w14:solidFill>
                </w14:textFill>
              </w:rPr>
              <w:t>粉尘。</w:t>
            </w:r>
            <w:r>
              <w:rPr>
                <w:rFonts w:hint="eastAsia"/>
                <w:b/>
                <w:color w:val="000000" w:themeColor="text1"/>
                <w:kern w:val="0"/>
                <w:sz w:val="24"/>
                <w14:textFill>
                  <w14:solidFill>
                    <w14:schemeClr w14:val="tx1"/>
                  </w14:solidFill>
                </w14:textFill>
              </w:rPr>
              <w:t>G1</w:t>
            </w:r>
            <w:r>
              <w:rPr>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3筛分</w:t>
            </w:r>
            <w:r>
              <w:rPr>
                <w:b/>
                <w:color w:val="000000" w:themeColor="text1"/>
                <w:kern w:val="0"/>
                <w:sz w:val="24"/>
                <w14:textFill>
                  <w14:solidFill>
                    <w14:schemeClr w14:val="tx1"/>
                  </w14:solidFill>
                </w14:textFill>
              </w:rPr>
              <w:t>粉尘</w:t>
            </w:r>
            <w:r>
              <w:rPr>
                <w:rFonts w:hint="eastAsia" w:ascii="宋体"/>
                <w:b/>
                <w:color w:val="000000" w:themeColor="text1"/>
                <w:kern w:val="0"/>
                <w:sz w:val="24"/>
                <w14:textFill>
                  <w14:solidFill>
                    <w14:schemeClr w14:val="tx1"/>
                  </w14:solidFill>
                </w14:textFill>
              </w:rPr>
              <w:t>经洒水抑尘处理后无组织排放</w:t>
            </w:r>
            <w:r>
              <w:rPr>
                <w:b/>
                <w:color w:val="000000" w:themeColor="text1"/>
                <w:kern w:val="0"/>
                <w:sz w:val="24"/>
                <w14:textFill>
                  <w14:solidFill>
                    <w14:schemeClr w14:val="tx1"/>
                  </w14:solidFill>
                </w14:textFill>
              </w:rPr>
              <w:t>。</w:t>
            </w:r>
          </w:p>
          <w:p w14:paraId="177C69D7">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⑤出料：筛分后的</w:t>
            </w:r>
            <w:r>
              <w:rPr>
                <w:rFonts w:hint="eastAsia"/>
                <w:bCs/>
                <w:color w:val="000000" w:themeColor="text1"/>
                <w:sz w:val="24"/>
                <w14:textFill>
                  <w14:solidFill>
                    <w14:schemeClr w14:val="tx1"/>
                  </w14:solidFill>
                </w14:textFill>
              </w:rPr>
              <w:t>小颗粒骨料、中颗粒骨料</w:t>
            </w:r>
            <w:r>
              <w:rPr>
                <w:rFonts w:hint="eastAsia"/>
                <w:color w:val="000000" w:themeColor="text1"/>
                <w:sz w:val="24"/>
                <w14:textFill>
                  <w14:solidFill>
                    <w14:schemeClr w14:val="tx1"/>
                  </w14:solidFill>
                </w14:textFill>
              </w:rPr>
              <w:t>通过叉车转移至半成品堆放区中，半成品堆放区</w:t>
            </w:r>
            <w:r>
              <w:rPr>
                <w:color w:val="000000" w:themeColor="text1"/>
                <w:sz w:val="24"/>
                <w14:textFill>
                  <w14:solidFill>
                    <w14:schemeClr w14:val="tx1"/>
                  </w14:solidFill>
                </w14:textFill>
              </w:rPr>
              <w:t>设置封闭车间，车间内定期洒水抑尘</w:t>
            </w:r>
            <w:r>
              <w:rPr>
                <w:rFonts w:hint="eastAsia"/>
                <w:color w:val="000000" w:themeColor="text1"/>
                <w:sz w:val="24"/>
                <w14:textFill>
                  <w14:solidFill>
                    <w14:schemeClr w14:val="tx1"/>
                  </w14:solidFill>
                </w14:textFill>
              </w:rPr>
              <w:t>。</w:t>
            </w:r>
          </w:p>
          <w:p w14:paraId="1AF52377">
            <w:pPr>
              <w:widowControl/>
              <w:spacing w:line="360" w:lineRule="auto"/>
              <w:ind w:firstLine="482" w:firstLineChars="200"/>
              <w:jc w:val="left"/>
              <w:rPr>
                <w:rFonts w:ascii="宋体"/>
                <w:b/>
                <w:color w:val="000000" w:themeColor="text1"/>
                <w:kern w:val="0"/>
                <w:sz w:val="24"/>
                <w14:textFill>
                  <w14:solidFill>
                    <w14:schemeClr w14:val="tx1"/>
                  </w14:solidFill>
                </w14:textFill>
              </w:rPr>
            </w:pPr>
            <w:r>
              <w:rPr>
                <w:rFonts w:hint="eastAsia" w:ascii="宋体"/>
                <w:b/>
                <w:color w:val="000000" w:themeColor="text1"/>
                <w:kern w:val="0"/>
                <w:sz w:val="24"/>
                <w14:textFill>
                  <w14:solidFill>
                    <w14:schemeClr w14:val="tx1"/>
                  </w14:solidFill>
                </w14:textFill>
              </w:rPr>
              <w:t>产污节点主要为</w:t>
            </w:r>
            <w:r>
              <w:rPr>
                <w:b/>
                <w:color w:val="000000" w:themeColor="text1"/>
                <w:kern w:val="0"/>
                <w:sz w:val="24"/>
                <w14:textFill>
                  <w14:solidFill>
                    <w14:schemeClr w14:val="tx1"/>
                  </w14:solidFill>
                </w14:textFill>
              </w:rPr>
              <w:t>N</w:t>
            </w:r>
            <w:r>
              <w:rPr>
                <w:rFonts w:hint="eastAsia"/>
                <w:b/>
                <w:color w:val="000000" w:themeColor="text1"/>
                <w:kern w:val="0"/>
                <w:sz w:val="24"/>
                <w14:textFill>
                  <w14:solidFill>
                    <w14:schemeClr w14:val="tx1"/>
                  </w14:solidFill>
                </w14:textFill>
              </w:rPr>
              <w:t>1</w:t>
            </w:r>
            <w:r>
              <w:rPr>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1</w:t>
            </w:r>
            <w:r>
              <w:rPr>
                <w:b/>
                <w:color w:val="000000" w:themeColor="text1"/>
                <w:kern w:val="0"/>
                <w:sz w:val="24"/>
                <w14:textFill>
                  <w14:solidFill>
                    <w14:schemeClr w14:val="tx1"/>
                  </w14:solidFill>
                </w14:textFill>
              </w:rPr>
              <w:t>噪声、</w:t>
            </w:r>
            <w:r>
              <w:rPr>
                <w:rFonts w:hint="eastAsia"/>
                <w:b/>
                <w:color w:val="000000" w:themeColor="text1"/>
                <w:kern w:val="0"/>
                <w:sz w:val="24"/>
                <w14:textFill>
                  <w14:solidFill>
                    <w14:schemeClr w14:val="tx1"/>
                  </w14:solidFill>
                </w14:textFill>
              </w:rPr>
              <w:t>G1</w:t>
            </w:r>
            <w:r>
              <w:rPr>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4堆场扬尘</w:t>
            </w:r>
            <w:r>
              <w:rPr>
                <w:rFonts w:hint="eastAsia" w:ascii="宋体"/>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G1</w:t>
            </w:r>
            <w:r>
              <w:rPr>
                <w:b/>
                <w:color w:val="000000" w:themeColor="text1"/>
                <w:kern w:val="0"/>
                <w:sz w:val="24"/>
                <w14:textFill>
                  <w14:solidFill>
                    <w14:schemeClr w14:val="tx1"/>
                  </w14:solidFill>
                </w14:textFill>
              </w:rPr>
              <w:t>-</w:t>
            </w:r>
            <w:r>
              <w:rPr>
                <w:rFonts w:hint="eastAsia"/>
                <w:b/>
                <w:color w:val="000000" w:themeColor="text1"/>
                <w:kern w:val="0"/>
                <w:sz w:val="24"/>
                <w14:textFill>
                  <w14:solidFill>
                    <w14:schemeClr w14:val="tx1"/>
                  </w14:solidFill>
                </w14:textFill>
              </w:rPr>
              <w:t>4堆场扬尘</w:t>
            </w:r>
            <w:r>
              <w:rPr>
                <w:rFonts w:hint="eastAsia" w:ascii="宋体"/>
                <w:b/>
                <w:color w:val="000000" w:themeColor="text1"/>
                <w:kern w:val="0"/>
                <w:sz w:val="24"/>
                <w14:textFill>
                  <w14:solidFill>
                    <w14:schemeClr w14:val="tx1"/>
                  </w14:solidFill>
                </w14:textFill>
              </w:rPr>
              <w:t>经洒水抑尘处理后无组织排放。</w:t>
            </w:r>
          </w:p>
          <w:p w14:paraId="495E5536">
            <w:pPr>
              <w:spacing w:line="360" w:lineRule="auto"/>
              <w:ind w:firstLine="482" w:firstLineChars="200"/>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2、水稳料生产工艺流程</w:t>
            </w:r>
          </w:p>
          <w:p w14:paraId="42F7CF4F">
            <w:pPr>
              <w:pStyle w:val="56"/>
              <w:jc w:val="center"/>
              <w:rPr>
                <w:rFonts w:ascii="Times New Roman" w:eastAsia="宋体"/>
                <w:b/>
                <w:color w:val="000000" w:themeColor="text1"/>
                <w14:textFill>
                  <w14:solidFill>
                    <w14:schemeClr w14:val="tx1"/>
                  </w14:solidFill>
                </w14:textFill>
              </w:rPr>
            </w:pPr>
            <w:r>
              <w:rPr>
                <w:rFonts w:ascii="Times New Roman" w:eastAsia="宋体"/>
                <w:b/>
                <w:color w:val="000000" w:themeColor="text1"/>
                <w14:textFill>
                  <w14:solidFill>
                    <w14:schemeClr w14:val="tx1"/>
                  </w14:solidFill>
                </w14:textFill>
              </w:rPr>
              <w:drawing>
                <wp:inline distT="0" distB="0" distL="0" distR="0">
                  <wp:extent cx="3216275" cy="3337560"/>
                  <wp:effectExtent l="0" t="0" r="3175" b="15240"/>
                  <wp:docPr id="162162246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622467" name="图片 5"/>
                          <pic:cNvPicPr>
                            <a:picLocks noChangeAspect="1" noChangeArrowheads="1"/>
                          </pic:cNvPicPr>
                        </pic:nvPicPr>
                        <pic:blipFill>
                          <a:blip r:embed="rId11">
                            <a:extLst>
                              <a:ext uri="{28A0092B-C50C-407E-A947-70E740481C1C}">
                                <a14:useLocalDpi xmlns:a14="http://schemas.microsoft.com/office/drawing/2010/main" val="0"/>
                              </a:ext>
                            </a:extLst>
                          </a:blip>
                          <a:srcRect l="21339" t="55388" r="24922" b="6034"/>
                          <a:stretch>
                            <a:fillRect/>
                          </a:stretch>
                        </pic:blipFill>
                        <pic:spPr>
                          <a:xfrm>
                            <a:off x="0" y="0"/>
                            <a:ext cx="3216275" cy="3337560"/>
                          </a:xfrm>
                          <a:prstGeom prst="rect">
                            <a:avLst/>
                          </a:prstGeom>
                          <a:noFill/>
                          <a:ln>
                            <a:noFill/>
                          </a:ln>
                        </pic:spPr>
                      </pic:pic>
                    </a:graphicData>
                  </a:graphic>
                </wp:inline>
              </w:drawing>
            </w:r>
          </w:p>
          <w:p w14:paraId="37D8E99C">
            <w:pPr>
              <w:pStyle w:val="201"/>
              <w:spacing w:before="120" w:after="120"/>
              <w:rPr>
                <w:rFonts w:hint="eastAsia"/>
                <w:b/>
                <w:bCs/>
                <w:color w:val="000000" w:themeColor="text1"/>
                <w14:textFill>
                  <w14:solidFill>
                    <w14:schemeClr w14:val="tx1"/>
                  </w14:solidFill>
                </w14:textFill>
              </w:rPr>
            </w:pPr>
            <w:r>
              <w:rPr>
                <w:b/>
                <w:bCs/>
                <w:color w:val="000000" w:themeColor="text1"/>
                <w14:textFill>
                  <w14:solidFill>
                    <w14:schemeClr w14:val="tx1"/>
                  </w14:solidFill>
                </w14:textFill>
              </w:rPr>
              <w:t>图例：废气——G；废水——W；固废——S；噪声——N</w:t>
            </w:r>
          </w:p>
          <w:p w14:paraId="1786CC55">
            <w:pPr>
              <w:pStyle w:val="56"/>
              <w:jc w:val="center"/>
              <w:rPr>
                <w:rFonts w:ascii="Times New Roman" w:eastAsia="宋体"/>
                <w:b/>
                <w:color w:val="000000" w:themeColor="text1"/>
                <w14:textFill>
                  <w14:solidFill>
                    <w14:schemeClr w14:val="tx1"/>
                  </w14:solidFill>
                </w14:textFill>
              </w:rPr>
            </w:pPr>
            <w:r>
              <w:rPr>
                <w:rFonts w:ascii="Times New Roman" w:eastAsia="宋体"/>
                <w:b/>
                <w:color w:val="000000" w:themeColor="text1"/>
                <w14:textFill>
                  <w14:solidFill>
                    <w14:schemeClr w14:val="tx1"/>
                  </w14:solidFill>
                </w14:textFill>
              </w:rPr>
              <w:t>图</w:t>
            </w:r>
            <w:r>
              <w:rPr>
                <w:rFonts w:hint="eastAsia" w:ascii="Times New Roman" w:eastAsia="宋体"/>
                <w:b/>
                <w:color w:val="000000" w:themeColor="text1"/>
                <w14:textFill>
                  <w14:solidFill>
                    <w14:schemeClr w14:val="tx1"/>
                  </w14:solidFill>
                </w14:textFill>
              </w:rPr>
              <w:t>2-3</w:t>
            </w:r>
            <w:r>
              <w:rPr>
                <w:rFonts w:ascii="Times New Roman" w:eastAsia="宋体"/>
                <w:b/>
                <w:color w:val="000000" w:themeColor="text1"/>
                <w14:textFill>
                  <w14:solidFill>
                    <w14:schemeClr w14:val="tx1"/>
                  </w14:solidFill>
                </w14:textFill>
              </w:rPr>
              <w:t xml:space="preserve">    </w:t>
            </w:r>
            <w:r>
              <w:rPr>
                <w:rFonts w:hint="eastAsia" w:ascii="Times New Roman" w:eastAsia="宋体"/>
                <w:b/>
                <w:bCs/>
                <w:color w:val="000000" w:themeColor="text1"/>
                <w14:textFill>
                  <w14:solidFill>
                    <w14:schemeClr w14:val="tx1"/>
                  </w14:solidFill>
                </w14:textFill>
              </w:rPr>
              <w:t>水稳料生产及</w:t>
            </w:r>
            <w:r>
              <w:rPr>
                <w:rFonts w:ascii="Times New Roman" w:eastAsia="宋体"/>
                <w:b/>
                <w:color w:val="000000" w:themeColor="text1"/>
                <w14:textFill>
                  <w14:solidFill>
                    <w14:schemeClr w14:val="tx1"/>
                  </w14:solidFill>
                </w14:textFill>
              </w:rPr>
              <w:t>产污</w:t>
            </w:r>
            <w:r>
              <w:rPr>
                <w:rFonts w:hint="eastAsia" w:ascii="Times New Roman" w:eastAsia="宋体"/>
                <w:b/>
                <w:color w:val="000000" w:themeColor="text1"/>
                <w14:textFill>
                  <w14:solidFill>
                    <w14:schemeClr w14:val="tx1"/>
                  </w14:solidFill>
                </w14:textFill>
              </w:rPr>
              <w:t>示意图</w:t>
            </w:r>
          </w:p>
          <w:p w14:paraId="2959975F">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①上料：水泥为外购原料，由罐车打入并储存至水泥筒仓，通过密闭管道经计量落入搅拌机中；通过装载机、铲车将半成品堆放区的</w:t>
            </w:r>
            <w:r>
              <w:rPr>
                <w:rFonts w:hint="eastAsia"/>
                <w:bCs/>
                <w:color w:val="000000" w:themeColor="text1"/>
                <w:sz w:val="24"/>
                <w14:textFill>
                  <w14:solidFill>
                    <w14:schemeClr w14:val="tx1"/>
                  </w14:solidFill>
                </w14:textFill>
              </w:rPr>
              <w:t>小颗粒骨料、中颗粒骨料</w:t>
            </w:r>
            <w:r>
              <w:rPr>
                <w:rFonts w:hint="eastAsia"/>
                <w:color w:val="000000" w:themeColor="text1"/>
                <w:sz w:val="24"/>
                <w14:textFill>
                  <w14:solidFill>
                    <w14:schemeClr w14:val="tx1"/>
                  </w14:solidFill>
                </w14:textFill>
              </w:rPr>
              <w:t>铲至料仓。</w:t>
            </w:r>
          </w:p>
          <w:p w14:paraId="6D10DDB8">
            <w:pPr>
              <w:widowControl/>
              <w:spacing w:line="360" w:lineRule="auto"/>
              <w:ind w:firstLine="482" w:firstLineChars="200"/>
              <w:jc w:val="left"/>
              <w:rPr>
                <w:rFonts w:ascii="宋体"/>
                <w:b/>
                <w:color w:val="000000" w:themeColor="text1"/>
                <w:kern w:val="0"/>
                <w:sz w:val="24"/>
                <w14:textFill>
                  <w14:solidFill>
                    <w14:schemeClr w14:val="tx1"/>
                  </w14:solidFill>
                </w14:textFill>
              </w:rPr>
            </w:pPr>
            <w:r>
              <w:rPr>
                <w:b/>
                <w:color w:val="000000" w:themeColor="text1"/>
                <w:kern w:val="0"/>
                <w:sz w:val="24"/>
                <w14:textFill>
                  <w14:solidFill>
                    <w14:schemeClr w14:val="tx1"/>
                  </w14:solidFill>
                </w14:textFill>
              </w:rPr>
              <w:t>产污节点主要为G2-1筒仓呼吸粉尘、G2-2</w:t>
            </w:r>
            <w:r>
              <w:rPr>
                <w:rFonts w:hint="eastAsia"/>
                <w:b/>
                <w:color w:val="000000" w:themeColor="text1"/>
                <w:kern w:val="0"/>
                <w:sz w:val="24"/>
                <w14:textFill>
                  <w14:solidFill>
                    <w14:schemeClr w14:val="tx1"/>
                  </w14:solidFill>
                </w14:textFill>
              </w:rPr>
              <w:t>投</w:t>
            </w:r>
            <w:r>
              <w:rPr>
                <w:b/>
                <w:color w:val="000000" w:themeColor="text1"/>
                <w:kern w:val="0"/>
                <w:sz w:val="24"/>
                <w14:textFill>
                  <w14:solidFill>
                    <w14:schemeClr w14:val="tx1"/>
                  </w14:solidFill>
                </w14:textFill>
              </w:rPr>
              <w:t>料粉尘。G2-1筒仓呼吸粉尘</w:t>
            </w:r>
            <w:r>
              <w:rPr>
                <w:rFonts w:hint="eastAsia"/>
                <w:b/>
                <w:color w:val="000000" w:themeColor="text1"/>
                <w:kern w:val="0"/>
                <w:sz w:val="24"/>
                <w14:textFill>
                  <w14:solidFill>
                    <w14:schemeClr w14:val="tx1"/>
                  </w14:solidFill>
                </w14:textFill>
              </w:rPr>
              <w:t>经</w:t>
            </w:r>
            <w:r>
              <w:rPr>
                <w:b/>
                <w:color w:val="000000" w:themeColor="text1"/>
                <w:kern w:val="0"/>
                <w:sz w:val="24"/>
                <w14:textFill>
                  <w14:solidFill>
                    <w14:schemeClr w14:val="tx1"/>
                  </w14:solidFill>
                </w14:textFill>
              </w:rPr>
              <w:t>筒仓</w:t>
            </w:r>
            <w:r>
              <w:rPr>
                <w:rFonts w:hint="eastAsia"/>
                <w:b/>
                <w:color w:val="000000" w:themeColor="text1"/>
                <w:kern w:val="0"/>
                <w:sz w:val="24"/>
                <w14:textFill>
                  <w14:solidFill>
                    <w14:schemeClr w14:val="tx1"/>
                  </w14:solidFill>
                </w14:textFill>
              </w:rPr>
              <w:t>顶部的脉冲布袋除尘器处理后无组织排放，</w:t>
            </w:r>
            <w:r>
              <w:rPr>
                <w:b/>
                <w:color w:val="000000" w:themeColor="text1"/>
                <w:kern w:val="0"/>
                <w:sz w:val="24"/>
                <w14:textFill>
                  <w14:solidFill>
                    <w14:schemeClr w14:val="tx1"/>
                  </w14:solidFill>
                </w14:textFill>
              </w:rPr>
              <w:t>G2-2</w:t>
            </w:r>
            <w:r>
              <w:rPr>
                <w:rFonts w:hint="eastAsia"/>
                <w:b/>
                <w:color w:val="000000" w:themeColor="text1"/>
                <w:kern w:val="0"/>
                <w:sz w:val="24"/>
                <w14:textFill>
                  <w14:solidFill>
                    <w14:schemeClr w14:val="tx1"/>
                  </w14:solidFill>
                </w14:textFill>
              </w:rPr>
              <w:t>投</w:t>
            </w:r>
            <w:r>
              <w:rPr>
                <w:b/>
                <w:color w:val="000000" w:themeColor="text1"/>
                <w:kern w:val="0"/>
                <w:sz w:val="24"/>
                <w14:textFill>
                  <w14:solidFill>
                    <w14:schemeClr w14:val="tx1"/>
                  </w14:solidFill>
                </w14:textFill>
              </w:rPr>
              <w:t>料粉尘</w:t>
            </w:r>
            <w:r>
              <w:rPr>
                <w:rFonts w:hint="eastAsia" w:ascii="宋体"/>
                <w:b/>
                <w:color w:val="000000" w:themeColor="text1"/>
                <w:kern w:val="0"/>
                <w:sz w:val="24"/>
                <w14:textFill>
                  <w14:solidFill>
                    <w14:schemeClr w14:val="tx1"/>
                  </w14:solidFill>
                </w14:textFill>
              </w:rPr>
              <w:t>经洒水抑尘处理后无组织排放。</w:t>
            </w:r>
          </w:p>
          <w:p w14:paraId="3B16BD40">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②计量、输送：料仓水泥筒仓下设称量斗计量后经封闭皮带输送至水稳拌合站中生产，皮带输送过程设置喷雾洒水装置进行抑尘。</w:t>
            </w:r>
          </w:p>
          <w:p w14:paraId="79242D3B">
            <w:pPr>
              <w:widowControl/>
              <w:spacing w:line="360" w:lineRule="auto"/>
              <w:ind w:firstLine="482" w:firstLineChars="200"/>
              <w:jc w:val="left"/>
              <w:rPr>
                <w:b/>
                <w:color w:val="000000" w:themeColor="text1"/>
                <w:kern w:val="0"/>
                <w:sz w:val="24"/>
                <w14:textFill>
                  <w14:solidFill>
                    <w14:schemeClr w14:val="tx1"/>
                  </w14:solidFill>
                </w14:textFill>
              </w:rPr>
            </w:pPr>
            <w:r>
              <w:rPr>
                <w:b/>
                <w:color w:val="000000" w:themeColor="text1"/>
                <w:kern w:val="0"/>
                <w:sz w:val="24"/>
                <w14:textFill>
                  <w14:solidFill>
                    <w14:schemeClr w14:val="tx1"/>
                  </w14:solidFill>
                </w14:textFill>
              </w:rPr>
              <w:t>产污节点主要为G2-</w:t>
            </w:r>
            <w:r>
              <w:rPr>
                <w:rFonts w:hint="eastAsia"/>
                <w:b/>
                <w:color w:val="000000" w:themeColor="text1"/>
                <w:kern w:val="0"/>
                <w:sz w:val="24"/>
                <w14:textFill>
                  <w14:solidFill>
                    <w14:schemeClr w14:val="tx1"/>
                  </w14:solidFill>
                </w14:textFill>
              </w:rPr>
              <w:t>3皮带输送</w:t>
            </w:r>
            <w:r>
              <w:rPr>
                <w:b/>
                <w:color w:val="000000" w:themeColor="text1"/>
                <w:kern w:val="0"/>
                <w:sz w:val="24"/>
                <w14:textFill>
                  <w14:solidFill>
                    <w14:schemeClr w14:val="tx1"/>
                  </w14:solidFill>
                </w14:textFill>
              </w:rPr>
              <w:t>粉尘。G2-</w:t>
            </w:r>
            <w:r>
              <w:rPr>
                <w:rFonts w:hint="eastAsia"/>
                <w:b/>
                <w:color w:val="000000" w:themeColor="text1"/>
                <w:kern w:val="0"/>
                <w:sz w:val="24"/>
                <w14:textFill>
                  <w14:solidFill>
                    <w14:schemeClr w14:val="tx1"/>
                  </w14:solidFill>
                </w14:textFill>
              </w:rPr>
              <w:t>3皮带输送</w:t>
            </w:r>
            <w:r>
              <w:rPr>
                <w:b/>
                <w:color w:val="000000" w:themeColor="text1"/>
                <w:kern w:val="0"/>
                <w:sz w:val="24"/>
                <w14:textFill>
                  <w14:solidFill>
                    <w14:schemeClr w14:val="tx1"/>
                  </w14:solidFill>
                </w14:textFill>
              </w:rPr>
              <w:t>粉尘</w:t>
            </w:r>
            <w:r>
              <w:rPr>
                <w:rFonts w:hint="eastAsia"/>
                <w:b/>
                <w:bCs/>
                <w:color w:val="000000" w:themeColor="text1"/>
                <w:kern w:val="0"/>
                <w:sz w:val="24"/>
                <w14:textFill>
                  <w14:solidFill>
                    <w14:schemeClr w14:val="tx1"/>
                  </w14:solidFill>
                </w14:textFill>
              </w:rPr>
              <w:t>经密闭输送处理后无组织排放</w:t>
            </w:r>
            <w:r>
              <w:rPr>
                <w:b/>
                <w:color w:val="000000" w:themeColor="text1"/>
                <w:kern w:val="0"/>
                <w:sz w:val="24"/>
                <w14:textFill>
                  <w14:solidFill>
                    <w14:schemeClr w14:val="tx1"/>
                  </w14:solidFill>
                </w14:textFill>
              </w:rPr>
              <w:t>。</w:t>
            </w:r>
          </w:p>
          <w:p w14:paraId="7BE824A5">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③搅拌：经过计量的</w:t>
            </w:r>
            <w:r>
              <w:rPr>
                <w:rFonts w:hint="eastAsia"/>
                <w:bCs/>
                <w:color w:val="000000" w:themeColor="text1"/>
                <w:sz w:val="24"/>
                <w14:textFill>
                  <w14:solidFill>
                    <w14:schemeClr w14:val="tx1"/>
                  </w14:solidFill>
                </w14:textFill>
              </w:rPr>
              <w:t>小颗粒骨料、中颗粒骨料</w:t>
            </w:r>
            <w:r>
              <w:rPr>
                <w:rFonts w:hint="eastAsia"/>
                <w:color w:val="000000" w:themeColor="text1"/>
                <w:sz w:val="24"/>
                <w14:textFill>
                  <w14:solidFill>
                    <w14:schemeClr w14:val="tx1"/>
                  </w14:solidFill>
                </w14:textFill>
              </w:rPr>
              <w:t>、水泥直接通过工控机进行控制，与新鲜水一并均匀的送入水稳拌合站，搅拌制成水稳料。产污节点主要为搅拌粉尘、噪声N。</w:t>
            </w:r>
          </w:p>
          <w:p w14:paraId="13D2C3A8">
            <w:pPr>
              <w:widowControl/>
              <w:spacing w:line="360" w:lineRule="auto"/>
              <w:ind w:firstLine="482" w:firstLineChars="200"/>
              <w:jc w:val="left"/>
              <w:rPr>
                <w:b/>
                <w:color w:val="000000" w:themeColor="text1"/>
                <w:kern w:val="0"/>
                <w:sz w:val="24"/>
                <w14:textFill>
                  <w14:solidFill>
                    <w14:schemeClr w14:val="tx1"/>
                  </w14:solidFill>
                </w14:textFill>
              </w:rPr>
            </w:pPr>
            <w:r>
              <w:rPr>
                <w:rFonts w:hint="eastAsia" w:ascii="宋体"/>
                <w:b/>
                <w:color w:val="000000" w:themeColor="text1"/>
                <w:kern w:val="0"/>
                <w:sz w:val="24"/>
                <w14:textFill>
                  <w14:solidFill>
                    <w14:schemeClr w14:val="tx1"/>
                  </w14:solidFill>
                </w14:textFill>
              </w:rPr>
              <w:t>产污节点主要为</w:t>
            </w:r>
            <w:r>
              <w:rPr>
                <w:b/>
                <w:color w:val="000000" w:themeColor="text1"/>
                <w:kern w:val="0"/>
                <w:sz w:val="24"/>
                <w14:textFill>
                  <w14:solidFill>
                    <w14:schemeClr w14:val="tx1"/>
                  </w14:solidFill>
                </w14:textFill>
              </w:rPr>
              <w:t>N2-</w:t>
            </w:r>
            <w:r>
              <w:rPr>
                <w:rFonts w:hint="eastAsia"/>
                <w:b/>
                <w:color w:val="000000" w:themeColor="text1"/>
                <w:kern w:val="0"/>
                <w:sz w:val="24"/>
                <w14:textFill>
                  <w14:solidFill>
                    <w14:schemeClr w14:val="tx1"/>
                  </w14:solidFill>
                </w14:textFill>
              </w:rPr>
              <w:t>1</w:t>
            </w:r>
            <w:r>
              <w:rPr>
                <w:b/>
                <w:color w:val="000000" w:themeColor="text1"/>
                <w:kern w:val="0"/>
                <w:sz w:val="24"/>
                <w14:textFill>
                  <w14:solidFill>
                    <w14:schemeClr w14:val="tx1"/>
                  </w14:solidFill>
                </w14:textFill>
              </w:rPr>
              <w:t>噪声、G2-</w:t>
            </w:r>
            <w:r>
              <w:rPr>
                <w:rFonts w:hint="eastAsia"/>
                <w:b/>
                <w:color w:val="000000" w:themeColor="text1"/>
                <w:kern w:val="0"/>
                <w:sz w:val="24"/>
                <w14:textFill>
                  <w14:solidFill>
                    <w14:schemeClr w14:val="tx1"/>
                  </w14:solidFill>
                </w14:textFill>
              </w:rPr>
              <w:t>4搅拌</w:t>
            </w:r>
            <w:r>
              <w:rPr>
                <w:b/>
                <w:color w:val="000000" w:themeColor="text1"/>
                <w:kern w:val="0"/>
                <w:sz w:val="24"/>
                <w14:textFill>
                  <w14:solidFill>
                    <w14:schemeClr w14:val="tx1"/>
                  </w14:solidFill>
                </w14:textFill>
              </w:rPr>
              <w:t>粉尘</w:t>
            </w:r>
            <w:r>
              <w:rPr>
                <w:rFonts w:hint="eastAsia" w:ascii="宋体"/>
                <w:b/>
                <w:color w:val="000000" w:themeColor="text1"/>
                <w:kern w:val="0"/>
                <w:sz w:val="24"/>
                <w14:textFill>
                  <w14:solidFill>
                    <w14:schemeClr w14:val="tx1"/>
                  </w14:solidFill>
                </w14:textFill>
              </w:rPr>
              <w:t>。</w:t>
            </w:r>
            <w:r>
              <w:rPr>
                <w:b/>
                <w:color w:val="000000" w:themeColor="text1"/>
                <w:kern w:val="0"/>
                <w:sz w:val="24"/>
                <w14:textFill>
                  <w14:solidFill>
                    <w14:schemeClr w14:val="tx1"/>
                  </w14:solidFill>
                </w14:textFill>
              </w:rPr>
              <w:t>G 2-</w:t>
            </w:r>
            <w:r>
              <w:rPr>
                <w:rFonts w:hint="eastAsia"/>
                <w:b/>
                <w:color w:val="000000" w:themeColor="text1"/>
                <w:kern w:val="0"/>
                <w:sz w:val="24"/>
                <w14:textFill>
                  <w14:solidFill>
                    <w14:schemeClr w14:val="tx1"/>
                  </w14:solidFill>
                </w14:textFill>
              </w:rPr>
              <w:t>4搅拌</w:t>
            </w:r>
            <w:r>
              <w:rPr>
                <w:b/>
                <w:color w:val="000000" w:themeColor="text1"/>
                <w:kern w:val="0"/>
                <w:sz w:val="24"/>
                <w14:textFill>
                  <w14:solidFill>
                    <w14:schemeClr w14:val="tx1"/>
                  </w14:solidFill>
                </w14:textFill>
              </w:rPr>
              <w:t>粉尘</w:t>
            </w:r>
            <w:r>
              <w:rPr>
                <w:rFonts w:hint="eastAsia" w:ascii="宋体"/>
                <w:b/>
                <w:color w:val="000000" w:themeColor="text1"/>
                <w:kern w:val="0"/>
                <w:sz w:val="24"/>
                <w14:textFill>
                  <w14:solidFill>
                    <w14:schemeClr w14:val="tx1"/>
                  </w14:solidFill>
                </w14:textFill>
              </w:rPr>
              <w:t>经洒水抑尘处理后无组织排放</w:t>
            </w:r>
            <w:r>
              <w:rPr>
                <w:b/>
                <w:color w:val="000000" w:themeColor="text1"/>
                <w:kern w:val="0"/>
                <w:sz w:val="24"/>
                <w14:textFill>
                  <w14:solidFill>
                    <w14:schemeClr w14:val="tx1"/>
                  </w14:solidFill>
                </w14:textFill>
              </w:rPr>
              <w:t>。</w:t>
            </w:r>
          </w:p>
          <w:p w14:paraId="17A8C54C">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④包装工序（成品入运输车）：水稳料在输送机的作用下通过出料口直接输送到运输车外运，水稳料在厂区内不储存，生产即外运。</w:t>
            </w:r>
          </w:p>
          <w:p w14:paraId="40A5B01A">
            <w:pPr>
              <w:widowControl/>
              <w:spacing w:line="360" w:lineRule="auto"/>
              <w:ind w:firstLine="482" w:firstLineChars="200"/>
              <w:jc w:val="left"/>
              <w:rPr>
                <w:rFonts w:ascii="宋体"/>
                <w:b/>
                <w:color w:val="000000" w:themeColor="text1"/>
                <w:kern w:val="0"/>
                <w:sz w:val="24"/>
                <w14:textFill>
                  <w14:solidFill>
                    <w14:schemeClr w14:val="tx1"/>
                  </w14:solidFill>
                </w14:textFill>
              </w:rPr>
            </w:pPr>
            <w:r>
              <w:rPr>
                <w:rFonts w:hint="eastAsia"/>
                <w:b/>
                <w:bCs/>
                <w:color w:val="000000" w:themeColor="text1"/>
                <w:sz w:val="24"/>
                <w14:textFill>
                  <w14:solidFill>
                    <w14:schemeClr w14:val="tx1"/>
                  </w14:solidFill>
                </w14:textFill>
              </w:rPr>
              <w:t>产污节点主要为</w:t>
            </w:r>
            <w:r>
              <w:rPr>
                <w:b/>
                <w:color w:val="000000" w:themeColor="text1"/>
                <w:kern w:val="0"/>
                <w:sz w:val="24"/>
                <w14:textFill>
                  <w14:solidFill>
                    <w14:schemeClr w14:val="tx1"/>
                  </w14:solidFill>
                </w14:textFill>
              </w:rPr>
              <w:t>N2-</w:t>
            </w:r>
            <w:r>
              <w:rPr>
                <w:rFonts w:hint="eastAsia"/>
                <w:b/>
                <w:color w:val="000000" w:themeColor="text1"/>
                <w:kern w:val="0"/>
                <w:sz w:val="24"/>
                <w14:textFill>
                  <w14:solidFill>
                    <w14:schemeClr w14:val="tx1"/>
                  </w14:solidFill>
                </w14:textFill>
              </w:rPr>
              <w:t>2</w:t>
            </w:r>
            <w:r>
              <w:rPr>
                <w:b/>
                <w:color w:val="000000" w:themeColor="text1"/>
                <w:kern w:val="0"/>
                <w:sz w:val="24"/>
                <w14:textFill>
                  <w14:solidFill>
                    <w14:schemeClr w14:val="tx1"/>
                  </w14:solidFill>
                </w14:textFill>
              </w:rPr>
              <w:t>噪声</w:t>
            </w:r>
            <w:r>
              <w:rPr>
                <w:rFonts w:hint="eastAsia"/>
                <w:b/>
                <w:color w:val="000000" w:themeColor="text1"/>
                <w:kern w:val="0"/>
                <w:sz w:val="24"/>
                <w14:textFill>
                  <w14:solidFill>
                    <w14:schemeClr w14:val="tx1"/>
                  </w14:solidFill>
                </w14:textFill>
              </w:rPr>
              <w:t>、</w:t>
            </w:r>
            <w:r>
              <w:rPr>
                <w:rFonts w:hint="eastAsia"/>
                <w:b/>
                <w:bCs/>
                <w:color w:val="000000" w:themeColor="text1"/>
                <w:sz w:val="24"/>
                <w14:textFill>
                  <w14:solidFill>
                    <w14:schemeClr w14:val="tx1"/>
                  </w14:solidFill>
                </w14:textFill>
              </w:rPr>
              <w:t>G2-5车辆运输粉尘，G2-5车辆运输粉尘</w:t>
            </w:r>
            <w:r>
              <w:rPr>
                <w:rFonts w:hint="eastAsia" w:ascii="宋体"/>
                <w:b/>
                <w:color w:val="000000" w:themeColor="text1"/>
                <w:kern w:val="0"/>
                <w:sz w:val="24"/>
                <w14:textFill>
                  <w14:solidFill>
                    <w14:schemeClr w14:val="tx1"/>
                  </w14:solidFill>
                </w14:textFill>
              </w:rPr>
              <w:t>经洒水抑尘处理后无组织排放。</w:t>
            </w:r>
          </w:p>
          <w:p w14:paraId="2F61B7D4">
            <w:pPr>
              <w:spacing w:line="360" w:lineRule="auto"/>
              <w:ind w:firstLine="482" w:firstLineChars="200"/>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三、产排污汇总</w:t>
            </w:r>
          </w:p>
          <w:p w14:paraId="52D60673">
            <w:pPr>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本项目主要污染物来源、排放方式见下表。</w:t>
            </w:r>
          </w:p>
          <w:p w14:paraId="77C239B9">
            <w:pPr>
              <w:adjustRightInd w:val="0"/>
              <w:snapToGrid w:val="0"/>
              <w:jc w:val="center"/>
              <w:rPr>
                <w:b/>
                <w:bCs/>
                <w:color w:val="000000" w:themeColor="text1"/>
                <w:spacing w:val="-10"/>
                <w:sz w:val="24"/>
                <w14:textFill>
                  <w14:solidFill>
                    <w14:schemeClr w14:val="tx1"/>
                  </w14:solidFill>
                </w14:textFill>
              </w:rPr>
            </w:pPr>
            <w:r>
              <w:rPr>
                <w:b/>
                <w:bCs/>
                <w:color w:val="000000" w:themeColor="text1"/>
                <w:spacing w:val="-10"/>
                <w:sz w:val="24"/>
                <w14:textFill>
                  <w14:solidFill>
                    <w14:schemeClr w14:val="tx1"/>
                  </w14:solidFill>
                </w14:textFill>
              </w:rPr>
              <w:t>表2-</w:t>
            </w:r>
            <w:r>
              <w:rPr>
                <w:rFonts w:hint="eastAsia"/>
                <w:b/>
                <w:bCs/>
                <w:color w:val="000000" w:themeColor="text1"/>
                <w:spacing w:val="-10"/>
                <w:sz w:val="24"/>
                <w14:textFill>
                  <w14:solidFill>
                    <w14:schemeClr w14:val="tx1"/>
                  </w14:solidFill>
                </w14:textFill>
              </w:rPr>
              <w:t>6</w:t>
            </w:r>
            <w:r>
              <w:rPr>
                <w:b/>
                <w:bCs/>
                <w:color w:val="000000" w:themeColor="text1"/>
                <w:spacing w:val="-10"/>
                <w:sz w:val="24"/>
                <w14:textFill>
                  <w14:solidFill>
                    <w14:schemeClr w14:val="tx1"/>
                  </w14:solidFill>
                </w14:textFill>
              </w:rPr>
              <w:t xml:space="preserve">  </w:t>
            </w:r>
            <w:r>
              <w:rPr>
                <w:b/>
                <w:bCs/>
                <w:color w:val="000000" w:themeColor="text1"/>
                <w:sz w:val="24"/>
                <w14:textFill>
                  <w14:solidFill>
                    <w14:schemeClr w14:val="tx1"/>
                  </w14:solidFill>
                </w14:textFill>
              </w:rPr>
              <w:t>主要污染物来源、排放方式等一览表</w:t>
            </w:r>
          </w:p>
          <w:tbl>
            <w:tblPr>
              <w:tblStyle w:val="45"/>
              <w:tblW w:w="0" w:type="auto"/>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396"/>
              <w:gridCol w:w="1023"/>
              <w:gridCol w:w="1764"/>
              <w:gridCol w:w="3704"/>
              <w:gridCol w:w="1919"/>
            </w:tblGrid>
            <w:tr w14:paraId="45F3571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77" w:hRule="atLeast"/>
                <w:jc w:val="center"/>
              </w:trPr>
              <w:tc>
                <w:tcPr>
                  <w:tcW w:w="396" w:type="dxa"/>
                  <w:vAlign w:val="center"/>
                </w:tcPr>
                <w:p w14:paraId="712D6723">
                  <w:pPr>
                    <w:pStyle w:val="358"/>
                    <w:rPr>
                      <w:rFonts w:eastAsia="新宋体"/>
                      <w:color w:val="000000" w:themeColor="text1"/>
                      <w:kern w:val="21"/>
                      <w:sz w:val="18"/>
                      <w:szCs w:val="18"/>
                      <w14:textFill>
                        <w14:solidFill>
                          <w14:schemeClr w14:val="tx1"/>
                        </w14:solidFill>
                      </w14:textFill>
                    </w:rPr>
                  </w:pPr>
                  <w:bookmarkStart w:id="37" w:name="_Hlk71543409"/>
                  <w:r>
                    <w:rPr>
                      <w:rFonts w:eastAsia="新宋体"/>
                      <w:color w:val="000000" w:themeColor="text1"/>
                      <w:kern w:val="21"/>
                      <w:sz w:val="18"/>
                      <w:szCs w:val="18"/>
                      <w14:textFill>
                        <w14:solidFill>
                          <w14:schemeClr w14:val="tx1"/>
                        </w14:solidFill>
                      </w14:textFill>
                    </w:rPr>
                    <w:t>时段</w:t>
                  </w:r>
                </w:p>
              </w:tc>
              <w:tc>
                <w:tcPr>
                  <w:tcW w:w="1023" w:type="dxa"/>
                  <w:vAlign w:val="center"/>
                </w:tcPr>
                <w:p w14:paraId="75DAB082">
                  <w:pPr>
                    <w:pStyle w:val="358"/>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污染因子</w:t>
                  </w:r>
                </w:p>
              </w:tc>
              <w:tc>
                <w:tcPr>
                  <w:tcW w:w="1764" w:type="dxa"/>
                  <w:vAlign w:val="center"/>
                </w:tcPr>
                <w:p w14:paraId="61B262BC">
                  <w:pPr>
                    <w:pStyle w:val="358"/>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来源</w:t>
                  </w:r>
                </w:p>
              </w:tc>
              <w:tc>
                <w:tcPr>
                  <w:tcW w:w="3704" w:type="dxa"/>
                  <w:vAlign w:val="center"/>
                </w:tcPr>
                <w:p w14:paraId="1382BBB6">
                  <w:pPr>
                    <w:pStyle w:val="358"/>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污染物种类</w:t>
                  </w:r>
                </w:p>
              </w:tc>
              <w:tc>
                <w:tcPr>
                  <w:tcW w:w="1919" w:type="dxa"/>
                  <w:vAlign w:val="center"/>
                </w:tcPr>
                <w:p w14:paraId="196800CC">
                  <w:pPr>
                    <w:pStyle w:val="358"/>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排放方式</w:t>
                  </w:r>
                </w:p>
              </w:tc>
            </w:tr>
            <w:tr w14:paraId="5ABD942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90" w:hRule="atLeast"/>
                <w:jc w:val="center"/>
              </w:trPr>
              <w:tc>
                <w:tcPr>
                  <w:tcW w:w="396" w:type="dxa"/>
                  <w:vMerge w:val="restart"/>
                  <w:vAlign w:val="center"/>
                </w:tcPr>
                <w:p w14:paraId="2361FEE7">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施工期</w:t>
                  </w:r>
                </w:p>
              </w:tc>
              <w:tc>
                <w:tcPr>
                  <w:tcW w:w="1023" w:type="dxa"/>
                  <w:vAlign w:val="center"/>
                </w:tcPr>
                <w:p w14:paraId="017CB811">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废气</w:t>
                  </w:r>
                </w:p>
              </w:tc>
              <w:tc>
                <w:tcPr>
                  <w:tcW w:w="1764" w:type="dxa"/>
                  <w:vAlign w:val="center"/>
                </w:tcPr>
                <w:p w14:paraId="28AE16FB">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施工过程</w:t>
                  </w:r>
                </w:p>
              </w:tc>
              <w:tc>
                <w:tcPr>
                  <w:tcW w:w="3704" w:type="dxa"/>
                  <w:vAlign w:val="center"/>
                </w:tcPr>
                <w:p w14:paraId="39B45481">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VOCs</w:t>
                  </w:r>
                  <w:r>
                    <w:rPr>
                      <w:rFonts w:hint="eastAsia" w:eastAsia="新宋体"/>
                      <w:color w:val="000000" w:themeColor="text1"/>
                      <w:kern w:val="21"/>
                      <w:sz w:val="18"/>
                      <w:szCs w:val="18"/>
                      <w14:textFill>
                        <w14:solidFill>
                          <w14:schemeClr w14:val="tx1"/>
                        </w14:solidFill>
                      </w14:textFill>
                    </w:rPr>
                    <w:t>、颗粒物</w:t>
                  </w:r>
                </w:p>
              </w:tc>
              <w:tc>
                <w:tcPr>
                  <w:tcW w:w="1919" w:type="dxa"/>
                  <w:vAlign w:val="center"/>
                </w:tcPr>
                <w:p w14:paraId="561ABC7B">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间断</w:t>
                  </w:r>
                </w:p>
              </w:tc>
            </w:tr>
            <w:tr w14:paraId="1B39A89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169" w:hRule="atLeast"/>
                <w:jc w:val="center"/>
              </w:trPr>
              <w:tc>
                <w:tcPr>
                  <w:tcW w:w="396" w:type="dxa"/>
                  <w:vMerge w:val="continue"/>
                  <w:vAlign w:val="center"/>
                </w:tcPr>
                <w:p w14:paraId="35E94B00">
                  <w:pPr>
                    <w:pStyle w:val="327"/>
                    <w:rPr>
                      <w:rFonts w:eastAsia="新宋体"/>
                      <w:color w:val="000000" w:themeColor="text1"/>
                      <w:kern w:val="21"/>
                      <w:sz w:val="18"/>
                      <w:szCs w:val="18"/>
                      <w14:textFill>
                        <w14:solidFill>
                          <w14:schemeClr w14:val="tx1"/>
                        </w14:solidFill>
                      </w14:textFill>
                    </w:rPr>
                  </w:pPr>
                </w:p>
              </w:tc>
              <w:tc>
                <w:tcPr>
                  <w:tcW w:w="1023" w:type="dxa"/>
                  <w:vAlign w:val="center"/>
                </w:tcPr>
                <w:p w14:paraId="51EF06A1">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废水</w:t>
                  </w:r>
                </w:p>
              </w:tc>
              <w:tc>
                <w:tcPr>
                  <w:tcW w:w="1764" w:type="dxa"/>
                  <w:vAlign w:val="center"/>
                </w:tcPr>
                <w:p w14:paraId="59DE4134">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施工过程</w:t>
                  </w:r>
                </w:p>
              </w:tc>
              <w:tc>
                <w:tcPr>
                  <w:tcW w:w="3704" w:type="dxa"/>
                  <w:vAlign w:val="center"/>
                </w:tcPr>
                <w:p w14:paraId="3E784540">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COD</w:t>
                  </w:r>
                  <w:r>
                    <w:rPr>
                      <w:rFonts w:eastAsia="新宋体"/>
                      <w:color w:val="000000" w:themeColor="text1"/>
                      <w:kern w:val="21"/>
                      <w:sz w:val="18"/>
                      <w:szCs w:val="18"/>
                      <w:vertAlign w:val="subscript"/>
                      <w14:textFill>
                        <w14:solidFill>
                          <w14:schemeClr w14:val="tx1"/>
                        </w14:solidFill>
                      </w14:textFill>
                    </w:rPr>
                    <w:t>cr</w:t>
                  </w:r>
                  <w:r>
                    <w:rPr>
                      <w:rFonts w:eastAsia="新宋体"/>
                      <w:color w:val="000000" w:themeColor="text1"/>
                      <w:kern w:val="21"/>
                      <w:sz w:val="18"/>
                      <w:szCs w:val="18"/>
                      <w14:textFill>
                        <w14:solidFill>
                          <w14:schemeClr w14:val="tx1"/>
                        </w14:solidFill>
                      </w14:textFill>
                    </w:rPr>
                    <w:t>、BOD</w:t>
                  </w:r>
                  <w:r>
                    <w:rPr>
                      <w:rFonts w:eastAsia="新宋体"/>
                      <w:color w:val="000000" w:themeColor="text1"/>
                      <w:kern w:val="21"/>
                      <w:sz w:val="18"/>
                      <w:szCs w:val="18"/>
                      <w:vertAlign w:val="subscript"/>
                      <w14:textFill>
                        <w14:solidFill>
                          <w14:schemeClr w14:val="tx1"/>
                        </w14:solidFill>
                      </w14:textFill>
                    </w:rPr>
                    <w:t>5</w:t>
                  </w:r>
                  <w:r>
                    <w:rPr>
                      <w:rFonts w:eastAsia="新宋体"/>
                      <w:color w:val="000000" w:themeColor="text1"/>
                      <w:kern w:val="21"/>
                      <w:sz w:val="18"/>
                      <w:szCs w:val="18"/>
                      <w14:textFill>
                        <w14:solidFill>
                          <w14:schemeClr w14:val="tx1"/>
                        </w14:solidFill>
                      </w14:textFill>
                    </w:rPr>
                    <w:t>、SS、NH</w:t>
                  </w:r>
                  <w:r>
                    <w:rPr>
                      <w:rFonts w:eastAsia="新宋体"/>
                      <w:color w:val="000000" w:themeColor="text1"/>
                      <w:kern w:val="21"/>
                      <w:sz w:val="18"/>
                      <w:szCs w:val="18"/>
                      <w:vertAlign w:val="subscript"/>
                      <w14:textFill>
                        <w14:solidFill>
                          <w14:schemeClr w14:val="tx1"/>
                        </w14:solidFill>
                      </w14:textFill>
                    </w:rPr>
                    <w:t>3</w:t>
                  </w:r>
                  <w:r>
                    <w:rPr>
                      <w:rFonts w:eastAsia="新宋体"/>
                      <w:color w:val="000000" w:themeColor="text1"/>
                      <w:kern w:val="21"/>
                      <w:sz w:val="18"/>
                      <w:szCs w:val="18"/>
                      <w14:textFill>
                        <w14:solidFill>
                          <w14:schemeClr w14:val="tx1"/>
                        </w14:solidFill>
                      </w14:textFill>
                    </w:rPr>
                    <w:t>-N</w:t>
                  </w:r>
                </w:p>
              </w:tc>
              <w:tc>
                <w:tcPr>
                  <w:tcW w:w="1919" w:type="dxa"/>
                  <w:vAlign w:val="center"/>
                </w:tcPr>
                <w:p w14:paraId="27058E87">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间断</w:t>
                  </w:r>
                </w:p>
              </w:tc>
            </w:tr>
            <w:tr w14:paraId="2733138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169" w:hRule="atLeast"/>
                <w:jc w:val="center"/>
              </w:trPr>
              <w:tc>
                <w:tcPr>
                  <w:tcW w:w="396" w:type="dxa"/>
                  <w:vMerge w:val="continue"/>
                  <w:vAlign w:val="center"/>
                </w:tcPr>
                <w:p w14:paraId="0E0455C9">
                  <w:pPr>
                    <w:pStyle w:val="327"/>
                    <w:rPr>
                      <w:rFonts w:eastAsia="新宋体"/>
                      <w:color w:val="000000" w:themeColor="text1"/>
                      <w:kern w:val="21"/>
                      <w:sz w:val="18"/>
                      <w:szCs w:val="18"/>
                      <w14:textFill>
                        <w14:solidFill>
                          <w14:schemeClr w14:val="tx1"/>
                        </w14:solidFill>
                      </w14:textFill>
                    </w:rPr>
                  </w:pPr>
                </w:p>
              </w:tc>
              <w:tc>
                <w:tcPr>
                  <w:tcW w:w="1023" w:type="dxa"/>
                  <w:vAlign w:val="center"/>
                </w:tcPr>
                <w:p w14:paraId="575BBFB5">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噪声</w:t>
                  </w:r>
                </w:p>
              </w:tc>
              <w:tc>
                <w:tcPr>
                  <w:tcW w:w="1764" w:type="dxa"/>
                  <w:vAlign w:val="center"/>
                </w:tcPr>
                <w:p w14:paraId="75D66BBA">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施工机械</w:t>
                  </w:r>
                </w:p>
              </w:tc>
              <w:tc>
                <w:tcPr>
                  <w:tcW w:w="3704" w:type="dxa"/>
                  <w:vAlign w:val="center"/>
                </w:tcPr>
                <w:p w14:paraId="3DEFAAC4">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机械噪声</w:t>
                  </w:r>
                </w:p>
              </w:tc>
              <w:tc>
                <w:tcPr>
                  <w:tcW w:w="1919" w:type="dxa"/>
                  <w:vAlign w:val="center"/>
                </w:tcPr>
                <w:p w14:paraId="2E770622">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间断</w:t>
                  </w:r>
                </w:p>
              </w:tc>
            </w:tr>
            <w:tr w14:paraId="0EBB22E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169" w:hRule="atLeast"/>
                <w:jc w:val="center"/>
              </w:trPr>
              <w:tc>
                <w:tcPr>
                  <w:tcW w:w="396" w:type="dxa"/>
                  <w:vMerge w:val="continue"/>
                  <w:vAlign w:val="center"/>
                </w:tcPr>
                <w:p w14:paraId="6D80FF54">
                  <w:pPr>
                    <w:pStyle w:val="327"/>
                    <w:rPr>
                      <w:rFonts w:eastAsia="新宋体"/>
                      <w:color w:val="000000" w:themeColor="text1"/>
                      <w:kern w:val="21"/>
                      <w:sz w:val="18"/>
                      <w:szCs w:val="18"/>
                      <w14:textFill>
                        <w14:solidFill>
                          <w14:schemeClr w14:val="tx1"/>
                        </w14:solidFill>
                      </w14:textFill>
                    </w:rPr>
                  </w:pPr>
                </w:p>
              </w:tc>
              <w:tc>
                <w:tcPr>
                  <w:tcW w:w="1023" w:type="dxa"/>
                  <w:vAlign w:val="center"/>
                </w:tcPr>
                <w:p w14:paraId="08D018D4">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固体废物</w:t>
                  </w:r>
                </w:p>
              </w:tc>
              <w:tc>
                <w:tcPr>
                  <w:tcW w:w="1764" w:type="dxa"/>
                  <w:vAlign w:val="center"/>
                </w:tcPr>
                <w:p w14:paraId="3255324A">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施工过程</w:t>
                  </w:r>
                </w:p>
              </w:tc>
              <w:tc>
                <w:tcPr>
                  <w:tcW w:w="3704" w:type="dxa"/>
                  <w:vAlign w:val="center"/>
                </w:tcPr>
                <w:p w14:paraId="09772058">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建筑垃圾</w:t>
                  </w:r>
                </w:p>
              </w:tc>
              <w:tc>
                <w:tcPr>
                  <w:tcW w:w="1919" w:type="dxa"/>
                  <w:vAlign w:val="center"/>
                </w:tcPr>
                <w:p w14:paraId="3A20932E">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间断</w:t>
                  </w:r>
                </w:p>
              </w:tc>
            </w:tr>
            <w:tr w14:paraId="3506FD9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169" w:hRule="atLeast"/>
                <w:jc w:val="center"/>
              </w:trPr>
              <w:tc>
                <w:tcPr>
                  <w:tcW w:w="396" w:type="dxa"/>
                  <w:vMerge w:val="restart"/>
                  <w:vAlign w:val="center"/>
                </w:tcPr>
                <w:p w14:paraId="3C37C86C">
                  <w:pPr>
                    <w:pStyle w:val="358"/>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营运期</w:t>
                  </w:r>
                </w:p>
              </w:tc>
              <w:tc>
                <w:tcPr>
                  <w:tcW w:w="1023" w:type="dxa"/>
                  <w:vMerge w:val="restart"/>
                  <w:vAlign w:val="center"/>
                </w:tcPr>
                <w:p w14:paraId="4310A768">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废气</w:t>
                  </w:r>
                </w:p>
              </w:tc>
              <w:tc>
                <w:tcPr>
                  <w:tcW w:w="1764" w:type="dxa"/>
                  <w:vAlign w:val="center"/>
                </w:tcPr>
                <w:p w14:paraId="70F32841">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堆场扬尘</w:t>
                  </w:r>
                </w:p>
              </w:tc>
              <w:tc>
                <w:tcPr>
                  <w:tcW w:w="3704" w:type="dxa"/>
                  <w:vAlign w:val="center"/>
                </w:tcPr>
                <w:p w14:paraId="3B5C3FE6">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颗粒物</w:t>
                  </w:r>
                </w:p>
              </w:tc>
              <w:tc>
                <w:tcPr>
                  <w:tcW w:w="1919" w:type="dxa"/>
                  <w:vAlign w:val="center"/>
                </w:tcPr>
                <w:p w14:paraId="5D0C1ED0">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间断</w:t>
                  </w:r>
                </w:p>
              </w:tc>
            </w:tr>
            <w:tr w14:paraId="2DF91AD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169" w:hRule="atLeast"/>
                <w:jc w:val="center"/>
              </w:trPr>
              <w:tc>
                <w:tcPr>
                  <w:tcW w:w="396" w:type="dxa"/>
                  <w:vMerge w:val="continue"/>
                  <w:vAlign w:val="center"/>
                </w:tcPr>
                <w:p w14:paraId="683C20A9">
                  <w:pPr>
                    <w:pStyle w:val="358"/>
                    <w:rPr>
                      <w:rFonts w:eastAsia="新宋体"/>
                      <w:color w:val="000000" w:themeColor="text1"/>
                      <w:kern w:val="21"/>
                      <w:sz w:val="18"/>
                      <w:szCs w:val="18"/>
                      <w14:textFill>
                        <w14:solidFill>
                          <w14:schemeClr w14:val="tx1"/>
                        </w14:solidFill>
                      </w14:textFill>
                    </w:rPr>
                  </w:pPr>
                </w:p>
              </w:tc>
              <w:tc>
                <w:tcPr>
                  <w:tcW w:w="1023" w:type="dxa"/>
                  <w:vMerge w:val="continue"/>
                  <w:vAlign w:val="center"/>
                </w:tcPr>
                <w:p w14:paraId="65BDEF2D">
                  <w:pPr>
                    <w:pStyle w:val="327"/>
                    <w:rPr>
                      <w:rFonts w:eastAsia="新宋体"/>
                      <w:color w:val="000000" w:themeColor="text1"/>
                      <w:kern w:val="21"/>
                      <w:sz w:val="18"/>
                      <w:szCs w:val="18"/>
                      <w14:textFill>
                        <w14:solidFill>
                          <w14:schemeClr w14:val="tx1"/>
                        </w14:solidFill>
                      </w14:textFill>
                    </w:rPr>
                  </w:pPr>
                </w:p>
              </w:tc>
              <w:tc>
                <w:tcPr>
                  <w:tcW w:w="1764" w:type="dxa"/>
                  <w:vAlign w:val="center"/>
                </w:tcPr>
                <w:p w14:paraId="428D6DE2">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投料粉尘</w:t>
                  </w:r>
                </w:p>
              </w:tc>
              <w:tc>
                <w:tcPr>
                  <w:tcW w:w="3704" w:type="dxa"/>
                  <w:vAlign w:val="center"/>
                </w:tcPr>
                <w:p w14:paraId="46BD5D74">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颗粒物</w:t>
                  </w:r>
                </w:p>
              </w:tc>
              <w:tc>
                <w:tcPr>
                  <w:tcW w:w="1919" w:type="dxa"/>
                  <w:vAlign w:val="center"/>
                </w:tcPr>
                <w:p w14:paraId="69B7099F">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间断</w:t>
                  </w:r>
                </w:p>
              </w:tc>
            </w:tr>
            <w:tr w14:paraId="5EC8EC3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169" w:hRule="atLeast"/>
                <w:jc w:val="center"/>
              </w:trPr>
              <w:tc>
                <w:tcPr>
                  <w:tcW w:w="396" w:type="dxa"/>
                  <w:vMerge w:val="continue"/>
                  <w:vAlign w:val="center"/>
                </w:tcPr>
                <w:p w14:paraId="48876A2B">
                  <w:pPr>
                    <w:pStyle w:val="358"/>
                    <w:rPr>
                      <w:rFonts w:eastAsia="新宋体"/>
                      <w:color w:val="000000" w:themeColor="text1"/>
                      <w:kern w:val="21"/>
                      <w:sz w:val="18"/>
                      <w:szCs w:val="18"/>
                      <w14:textFill>
                        <w14:solidFill>
                          <w14:schemeClr w14:val="tx1"/>
                        </w14:solidFill>
                      </w14:textFill>
                    </w:rPr>
                  </w:pPr>
                </w:p>
              </w:tc>
              <w:tc>
                <w:tcPr>
                  <w:tcW w:w="1023" w:type="dxa"/>
                  <w:vMerge w:val="continue"/>
                  <w:vAlign w:val="center"/>
                </w:tcPr>
                <w:p w14:paraId="0E00D914">
                  <w:pPr>
                    <w:pStyle w:val="327"/>
                    <w:rPr>
                      <w:rFonts w:eastAsia="新宋体"/>
                      <w:color w:val="000000" w:themeColor="text1"/>
                      <w:kern w:val="21"/>
                      <w:sz w:val="18"/>
                      <w:szCs w:val="18"/>
                      <w14:textFill>
                        <w14:solidFill>
                          <w14:schemeClr w14:val="tx1"/>
                        </w14:solidFill>
                      </w14:textFill>
                    </w:rPr>
                  </w:pPr>
                </w:p>
              </w:tc>
              <w:tc>
                <w:tcPr>
                  <w:tcW w:w="1764" w:type="dxa"/>
                  <w:vAlign w:val="center"/>
                </w:tcPr>
                <w:p w14:paraId="5194857E">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破碎、筛分粉尘</w:t>
                  </w:r>
                </w:p>
              </w:tc>
              <w:tc>
                <w:tcPr>
                  <w:tcW w:w="3704" w:type="dxa"/>
                  <w:vAlign w:val="center"/>
                </w:tcPr>
                <w:p w14:paraId="49D21993">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颗粒物</w:t>
                  </w:r>
                </w:p>
              </w:tc>
              <w:tc>
                <w:tcPr>
                  <w:tcW w:w="1919" w:type="dxa"/>
                  <w:vAlign w:val="center"/>
                </w:tcPr>
                <w:p w14:paraId="1C2BFE56">
                  <w:pPr>
                    <w:pStyle w:val="327"/>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间断</w:t>
                  </w:r>
                </w:p>
              </w:tc>
            </w:tr>
            <w:tr w14:paraId="606BE01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169" w:hRule="atLeast"/>
                <w:jc w:val="center"/>
              </w:trPr>
              <w:tc>
                <w:tcPr>
                  <w:tcW w:w="396" w:type="dxa"/>
                  <w:vMerge w:val="continue"/>
                  <w:vAlign w:val="center"/>
                </w:tcPr>
                <w:p w14:paraId="5D1B55BE">
                  <w:pPr>
                    <w:pStyle w:val="358"/>
                    <w:rPr>
                      <w:rFonts w:eastAsia="新宋体"/>
                      <w:color w:val="000000" w:themeColor="text1"/>
                      <w:kern w:val="21"/>
                      <w:sz w:val="18"/>
                      <w:szCs w:val="18"/>
                      <w14:textFill>
                        <w14:solidFill>
                          <w14:schemeClr w14:val="tx1"/>
                        </w14:solidFill>
                      </w14:textFill>
                    </w:rPr>
                  </w:pPr>
                </w:p>
              </w:tc>
              <w:tc>
                <w:tcPr>
                  <w:tcW w:w="1023" w:type="dxa"/>
                  <w:vMerge w:val="continue"/>
                  <w:vAlign w:val="center"/>
                </w:tcPr>
                <w:p w14:paraId="7CB550B5">
                  <w:pPr>
                    <w:pStyle w:val="327"/>
                    <w:rPr>
                      <w:rFonts w:eastAsia="新宋体"/>
                      <w:color w:val="000000" w:themeColor="text1"/>
                      <w:kern w:val="21"/>
                      <w:sz w:val="18"/>
                      <w:szCs w:val="18"/>
                      <w14:textFill>
                        <w14:solidFill>
                          <w14:schemeClr w14:val="tx1"/>
                        </w14:solidFill>
                      </w14:textFill>
                    </w:rPr>
                  </w:pPr>
                </w:p>
              </w:tc>
              <w:tc>
                <w:tcPr>
                  <w:tcW w:w="1764" w:type="dxa"/>
                  <w:vAlign w:val="center"/>
                </w:tcPr>
                <w:p w14:paraId="52E6252A">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水泥筒仓呼吸粉尘</w:t>
                  </w:r>
                </w:p>
              </w:tc>
              <w:tc>
                <w:tcPr>
                  <w:tcW w:w="3704" w:type="dxa"/>
                </w:tcPr>
                <w:p w14:paraId="622CAE5F">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颗粒物</w:t>
                  </w:r>
                </w:p>
              </w:tc>
              <w:tc>
                <w:tcPr>
                  <w:tcW w:w="1919" w:type="dxa"/>
                  <w:vAlign w:val="center"/>
                </w:tcPr>
                <w:p w14:paraId="672A64DA">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间断</w:t>
                  </w:r>
                </w:p>
              </w:tc>
            </w:tr>
            <w:tr w14:paraId="5600F88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169" w:hRule="atLeast"/>
                <w:jc w:val="center"/>
              </w:trPr>
              <w:tc>
                <w:tcPr>
                  <w:tcW w:w="396" w:type="dxa"/>
                  <w:vMerge w:val="continue"/>
                  <w:vAlign w:val="center"/>
                </w:tcPr>
                <w:p w14:paraId="258033C9">
                  <w:pPr>
                    <w:pStyle w:val="358"/>
                    <w:rPr>
                      <w:rFonts w:eastAsia="新宋体"/>
                      <w:color w:val="000000" w:themeColor="text1"/>
                      <w:kern w:val="21"/>
                      <w:sz w:val="18"/>
                      <w:szCs w:val="18"/>
                      <w14:textFill>
                        <w14:solidFill>
                          <w14:schemeClr w14:val="tx1"/>
                        </w14:solidFill>
                      </w14:textFill>
                    </w:rPr>
                  </w:pPr>
                </w:p>
              </w:tc>
              <w:tc>
                <w:tcPr>
                  <w:tcW w:w="1023" w:type="dxa"/>
                  <w:vMerge w:val="continue"/>
                  <w:vAlign w:val="center"/>
                </w:tcPr>
                <w:p w14:paraId="424F7BAA">
                  <w:pPr>
                    <w:pStyle w:val="327"/>
                    <w:rPr>
                      <w:rFonts w:eastAsia="新宋体"/>
                      <w:color w:val="000000" w:themeColor="text1"/>
                      <w:kern w:val="21"/>
                      <w:sz w:val="18"/>
                      <w:szCs w:val="18"/>
                      <w14:textFill>
                        <w14:solidFill>
                          <w14:schemeClr w14:val="tx1"/>
                        </w14:solidFill>
                      </w14:textFill>
                    </w:rPr>
                  </w:pPr>
                </w:p>
              </w:tc>
              <w:tc>
                <w:tcPr>
                  <w:tcW w:w="1764" w:type="dxa"/>
                  <w:vAlign w:val="center"/>
                </w:tcPr>
                <w:p w14:paraId="7E47F3D5">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皮带输送粉尘</w:t>
                  </w:r>
                </w:p>
              </w:tc>
              <w:tc>
                <w:tcPr>
                  <w:tcW w:w="3704" w:type="dxa"/>
                </w:tcPr>
                <w:p w14:paraId="296232BC">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颗粒物</w:t>
                  </w:r>
                </w:p>
              </w:tc>
              <w:tc>
                <w:tcPr>
                  <w:tcW w:w="1919" w:type="dxa"/>
                </w:tcPr>
                <w:p w14:paraId="37410F9E">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间断</w:t>
                  </w:r>
                </w:p>
              </w:tc>
            </w:tr>
            <w:tr w14:paraId="72A9650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169" w:hRule="atLeast"/>
                <w:jc w:val="center"/>
              </w:trPr>
              <w:tc>
                <w:tcPr>
                  <w:tcW w:w="396" w:type="dxa"/>
                  <w:vMerge w:val="continue"/>
                  <w:vAlign w:val="center"/>
                </w:tcPr>
                <w:p w14:paraId="7E4AAACE">
                  <w:pPr>
                    <w:pStyle w:val="358"/>
                    <w:rPr>
                      <w:rFonts w:eastAsia="新宋体"/>
                      <w:color w:val="000000" w:themeColor="text1"/>
                      <w:kern w:val="21"/>
                      <w:sz w:val="18"/>
                      <w:szCs w:val="18"/>
                      <w14:textFill>
                        <w14:solidFill>
                          <w14:schemeClr w14:val="tx1"/>
                        </w14:solidFill>
                      </w14:textFill>
                    </w:rPr>
                  </w:pPr>
                </w:p>
              </w:tc>
              <w:tc>
                <w:tcPr>
                  <w:tcW w:w="1023" w:type="dxa"/>
                  <w:vMerge w:val="continue"/>
                  <w:vAlign w:val="center"/>
                </w:tcPr>
                <w:p w14:paraId="11878C49">
                  <w:pPr>
                    <w:pStyle w:val="327"/>
                    <w:rPr>
                      <w:rFonts w:eastAsia="新宋体"/>
                      <w:color w:val="000000" w:themeColor="text1"/>
                      <w:kern w:val="21"/>
                      <w:sz w:val="18"/>
                      <w:szCs w:val="18"/>
                      <w14:textFill>
                        <w14:solidFill>
                          <w14:schemeClr w14:val="tx1"/>
                        </w14:solidFill>
                      </w14:textFill>
                    </w:rPr>
                  </w:pPr>
                </w:p>
              </w:tc>
              <w:tc>
                <w:tcPr>
                  <w:tcW w:w="1764" w:type="dxa"/>
                  <w:vAlign w:val="center"/>
                </w:tcPr>
                <w:p w14:paraId="181D9248">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搅拌粉尘</w:t>
                  </w:r>
                </w:p>
              </w:tc>
              <w:tc>
                <w:tcPr>
                  <w:tcW w:w="3704" w:type="dxa"/>
                </w:tcPr>
                <w:p w14:paraId="41818BC1">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颗粒物</w:t>
                  </w:r>
                </w:p>
              </w:tc>
              <w:tc>
                <w:tcPr>
                  <w:tcW w:w="1919" w:type="dxa"/>
                </w:tcPr>
                <w:p w14:paraId="21DB3C6A">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间断</w:t>
                  </w:r>
                </w:p>
              </w:tc>
            </w:tr>
            <w:tr w14:paraId="72DA0E8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169" w:hRule="atLeast"/>
                <w:jc w:val="center"/>
              </w:trPr>
              <w:tc>
                <w:tcPr>
                  <w:tcW w:w="396" w:type="dxa"/>
                  <w:vMerge w:val="continue"/>
                  <w:vAlign w:val="center"/>
                </w:tcPr>
                <w:p w14:paraId="6796ACEA">
                  <w:pPr>
                    <w:pStyle w:val="358"/>
                    <w:rPr>
                      <w:rFonts w:eastAsia="新宋体"/>
                      <w:color w:val="000000" w:themeColor="text1"/>
                      <w:kern w:val="21"/>
                      <w:sz w:val="18"/>
                      <w:szCs w:val="18"/>
                      <w14:textFill>
                        <w14:solidFill>
                          <w14:schemeClr w14:val="tx1"/>
                        </w14:solidFill>
                      </w14:textFill>
                    </w:rPr>
                  </w:pPr>
                </w:p>
              </w:tc>
              <w:tc>
                <w:tcPr>
                  <w:tcW w:w="1023" w:type="dxa"/>
                  <w:vMerge w:val="continue"/>
                  <w:vAlign w:val="center"/>
                </w:tcPr>
                <w:p w14:paraId="1A747D54">
                  <w:pPr>
                    <w:pStyle w:val="327"/>
                    <w:rPr>
                      <w:rFonts w:eastAsia="新宋体"/>
                      <w:color w:val="000000" w:themeColor="text1"/>
                      <w:kern w:val="21"/>
                      <w:sz w:val="18"/>
                      <w:szCs w:val="18"/>
                      <w14:textFill>
                        <w14:solidFill>
                          <w14:schemeClr w14:val="tx1"/>
                        </w14:solidFill>
                      </w14:textFill>
                    </w:rPr>
                  </w:pPr>
                </w:p>
              </w:tc>
              <w:tc>
                <w:tcPr>
                  <w:tcW w:w="1764" w:type="dxa"/>
                  <w:vAlign w:val="center"/>
                </w:tcPr>
                <w:p w14:paraId="01F8BDB6">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车辆运输粉尘</w:t>
                  </w:r>
                </w:p>
              </w:tc>
              <w:tc>
                <w:tcPr>
                  <w:tcW w:w="3704" w:type="dxa"/>
                  <w:vAlign w:val="center"/>
                </w:tcPr>
                <w:p w14:paraId="3E929974">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颗粒物</w:t>
                  </w:r>
                </w:p>
              </w:tc>
              <w:tc>
                <w:tcPr>
                  <w:tcW w:w="1919" w:type="dxa"/>
                </w:tcPr>
                <w:p w14:paraId="1915C2AC">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间断</w:t>
                  </w:r>
                </w:p>
              </w:tc>
            </w:tr>
            <w:tr w14:paraId="7489097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169" w:hRule="atLeast"/>
                <w:jc w:val="center"/>
              </w:trPr>
              <w:tc>
                <w:tcPr>
                  <w:tcW w:w="396" w:type="dxa"/>
                  <w:vMerge w:val="continue"/>
                  <w:vAlign w:val="center"/>
                </w:tcPr>
                <w:p w14:paraId="326D6821">
                  <w:pPr>
                    <w:pStyle w:val="358"/>
                    <w:rPr>
                      <w:rFonts w:eastAsia="新宋体"/>
                      <w:color w:val="000000" w:themeColor="text1"/>
                      <w:kern w:val="21"/>
                      <w:sz w:val="18"/>
                      <w:szCs w:val="18"/>
                      <w14:textFill>
                        <w14:solidFill>
                          <w14:schemeClr w14:val="tx1"/>
                        </w14:solidFill>
                      </w14:textFill>
                    </w:rPr>
                  </w:pPr>
                </w:p>
              </w:tc>
              <w:tc>
                <w:tcPr>
                  <w:tcW w:w="1023" w:type="dxa"/>
                  <w:vMerge w:val="continue"/>
                  <w:vAlign w:val="center"/>
                </w:tcPr>
                <w:p w14:paraId="2A408E49">
                  <w:pPr>
                    <w:pStyle w:val="327"/>
                    <w:rPr>
                      <w:rFonts w:eastAsia="新宋体"/>
                      <w:color w:val="000000" w:themeColor="text1"/>
                      <w:kern w:val="21"/>
                      <w:sz w:val="18"/>
                      <w:szCs w:val="18"/>
                      <w14:textFill>
                        <w14:solidFill>
                          <w14:schemeClr w14:val="tx1"/>
                        </w14:solidFill>
                      </w14:textFill>
                    </w:rPr>
                  </w:pPr>
                </w:p>
              </w:tc>
              <w:tc>
                <w:tcPr>
                  <w:tcW w:w="1764" w:type="dxa"/>
                  <w:vAlign w:val="center"/>
                </w:tcPr>
                <w:p w14:paraId="099F4743">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食堂油烟</w:t>
                  </w:r>
                </w:p>
              </w:tc>
              <w:tc>
                <w:tcPr>
                  <w:tcW w:w="3704" w:type="dxa"/>
                  <w:vAlign w:val="center"/>
                </w:tcPr>
                <w:p w14:paraId="3E7D866B">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油烟</w:t>
                  </w:r>
                </w:p>
              </w:tc>
              <w:tc>
                <w:tcPr>
                  <w:tcW w:w="1919" w:type="dxa"/>
                </w:tcPr>
                <w:p w14:paraId="709A8FBC">
                  <w:pPr>
                    <w:pStyle w:val="327"/>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间断</w:t>
                  </w:r>
                </w:p>
              </w:tc>
            </w:tr>
            <w:tr w14:paraId="09686E5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95" w:hRule="atLeast"/>
                <w:jc w:val="center"/>
              </w:trPr>
              <w:tc>
                <w:tcPr>
                  <w:tcW w:w="396" w:type="dxa"/>
                  <w:vMerge w:val="continue"/>
                  <w:vAlign w:val="center"/>
                </w:tcPr>
                <w:p w14:paraId="483D2945">
                  <w:pPr>
                    <w:pStyle w:val="358"/>
                    <w:rPr>
                      <w:rFonts w:eastAsia="新宋体"/>
                      <w:color w:val="000000" w:themeColor="text1"/>
                      <w:kern w:val="21"/>
                      <w:sz w:val="18"/>
                      <w:szCs w:val="18"/>
                      <w14:textFill>
                        <w14:solidFill>
                          <w14:schemeClr w14:val="tx1"/>
                        </w14:solidFill>
                      </w14:textFill>
                    </w:rPr>
                  </w:pPr>
                </w:p>
              </w:tc>
              <w:tc>
                <w:tcPr>
                  <w:tcW w:w="1023" w:type="dxa"/>
                  <w:vMerge w:val="restart"/>
                  <w:vAlign w:val="center"/>
                </w:tcPr>
                <w:p w14:paraId="6D650C76">
                  <w:pPr>
                    <w:pStyle w:val="358"/>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废水</w:t>
                  </w:r>
                </w:p>
              </w:tc>
              <w:tc>
                <w:tcPr>
                  <w:tcW w:w="1764" w:type="dxa"/>
                  <w:vAlign w:val="center"/>
                </w:tcPr>
                <w:p w14:paraId="589C073F">
                  <w:pPr>
                    <w:pStyle w:val="358"/>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员工生活废水</w:t>
                  </w:r>
                </w:p>
              </w:tc>
              <w:tc>
                <w:tcPr>
                  <w:tcW w:w="3704" w:type="dxa"/>
                  <w:vAlign w:val="center"/>
                </w:tcPr>
                <w:p w14:paraId="74CEE9CE">
                  <w:pPr>
                    <w:pStyle w:val="358"/>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pH、COD</w:t>
                  </w:r>
                  <w:r>
                    <w:rPr>
                      <w:rFonts w:eastAsia="新宋体"/>
                      <w:color w:val="000000" w:themeColor="text1"/>
                      <w:kern w:val="21"/>
                      <w:sz w:val="18"/>
                      <w:szCs w:val="18"/>
                      <w:vertAlign w:val="subscript"/>
                      <w14:textFill>
                        <w14:solidFill>
                          <w14:schemeClr w14:val="tx1"/>
                        </w14:solidFill>
                      </w14:textFill>
                    </w:rPr>
                    <w:t>cr</w:t>
                  </w:r>
                  <w:r>
                    <w:rPr>
                      <w:rFonts w:eastAsia="新宋体"/>
                      <w:color w:val="000000" w:themeColor="text1"/>
                      <w:kern w:val="21"/>
                      <w:sz w:val="18"/>
                      <w:szCs w:val="18"/>
                      <w14:textFill>
                        <w14:solidFill>
                          <w14:schemeClr w14:val="tx1"/>
                        </w14:solidFill>
                      </w14:textFill>
                    </w:rPr>
                    <w:t>、BOD</w:t>
                  </w:r>
                  <w:r>
                    <w:rPr>
                      <w:rFonts w:eastAsia="新宋体"/>
                      <w:color w:val="000000" w:themeColor="text1"/>
                      <w:kern w:val="21"/>
                      <w:sz w:val="18"/>
                      <w:szCs w:val="18"/>
                      <w:vertAlign w:val="subscript"/>
                      <w14:textFill>
                        <w14:solidFill>
                          <w14:schemeClr w14:val="tx1"/>
                        </w14:solidFill>
                      </w14:textFill>
                    </w:rPr>
                    <w:t>5</w:t>
                  </w:r>
                  <w:r>
                    <w:rPr>
                      <w:rFonts w:eastAsia="新宋体"/>
                      <w:color w:val="000000" w:themeColor="text1"/>
                      <w:kern w:val="21"/>
                      <w:sz w:val="18"/>
                      <w:szCs w:val="18"/>
                      <w14:textFill>
                        <w14:solidFill>
                          <w14:schemeClr w14:val="tx1"/>
                        </w14:solidFill>
                      </w14:textFill>
                    </w:rPr>
                    <w:t>、SS、氨氮</w:t>
                  </w:r>
                  <w:r>
                    <w:rPr>
                      <w:rFonts w:hint="eastAsia" w:eastAsia="新宋体"/>
                      <w:color w:val="000000" w:themeColor="text1"/>
                      <w:kern w:val="21"/>
                      <w:sz w:val="18"/>
                      <w:szCs w:val="18"/>
                      <w14:textFill>
                        <w14:solidFill>
                          <w14:schemeClr w14:val="tx1"/>
                        </w14:solidFill>
                      </w14:textFill>
                    </w:rPr>
                    <w:t>、</w:t>
                  </w:r>
                </w:p>
                <w:p w14:paraId="40EC6F95">
                  <w:pPr>
                    <w:pStyle w:val="358"/>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T</w:t>
                  </w:r>
                  <w:r>
                    <w:rPr>
                      <w:rFonts w:eastAsia="新宋体"/>
                      <w:color w:val="000000" w:themeColor="text1"/>
                      <w:kern w:val="21"/>
                      <w:sz w:val="18"/>
                      <w:szCs w:val="18"/>
                      <w14:textFill>
                        <w14:solidFill>
                          <w14:schemeClr w14:val="tx1"/>
                        </w14:solidFill>
                      </w14:textFill>
                    </w:rPr>
                    <w:t>P</w:t>
                  </w:r>
                  <w:r>
                    <w:rPr>
                      <w:rFonts w:hint="eastAsia" w:eastAsia="新宋体"/>
                      <w:color w:val="000000" w:themeColor="text1"/>
                      <w:kern w:val="21"/>
                      <w:sz w:val="18"/>
                      <w:szCs w:val="18"/>
                      <w14:textFill>
                        <w14:solidFill>
                          <w14:schemeClr w14:val="tx1"/>
                        </w14:solidFill>
                      </w14:textFill>
                    </w:rPr>
                    <w:t>、T</w:t>
                  </w:r>
                  <w:r>
                    <w:rPr>
                      <w:rFonts w:eastAsia="新宋体"/>
                      <w:color w:val="000000" w:themeColor="text1"/>
                      <w:kern w:val="21"/>
                      <w:sz w:val="18"/>
                      <w:szCs w:val="18"/>
                      <w14:textFill>
                        <w14:solidFill>
                          <w14:schemeClr w14:val="tx1"/>
                        </w14:solidFill>
                      </w14:textFill>
                    </w:rPr>
                    <w:t>N</w:t>
                  </w:r>
                  <w:r>
                    <w:rPr>
                      <w:rFonts w:hint="eastAsia" w:eastAsia="新宋体"/>
                      <w:color w:val="000000" w:themeColor="text1"/>
                      <w:kern w:val="21"/>
                      <w:sz w:val="18"/>
                      <w:szCs w:val="18"/>
                      <w14:textFill>
                        <w14:solidFill>
                          <w14:schemeClr w14:val="tx1"/>
                        </w14:solidFill>
                      </w14:textFill>
                    </w:rPr>
                    <w:t>、动植物油</w:t>
                  </w:r>
                </w:p>
              </w:tc>
              <w:tc>
                <w:tcPr>
                  <w:tcW w:w="1919" w:type="dxa"/>
                  <w:vAlign w:val="center"/>
                </w:tcPr>
                <w:p w14:paraId="498188C3">
                  <w:pPr>
                    <w:pStyle w:val="358"/>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连续</w:t>
                  </w:r>
                </w:p>
              </w:tc>
            </w:tr>
            <w:tr w14:paraId="0ABA89C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258" w:hRule="atLeast"/>
                <w:jc w:val="center"/>
              </w:trPr>
              <w:tc>
                <w:tcPr>
                  <w:tcW w:w="396" w:type="dxa"/>
                  <w:vMerge w:val="continue"/>
                  <w:vAlign w:val="center"/>
                </w:tcPr>
                <w:p w14:paraId="065CEC3A">
                  <w:pPr>
                    <w:pStyle w:val="358"/>
                    <w:ind w:firstLine="361"/>
                    <w:rPr>
                      <w:rFonts w:eastAsia="新宋体"/>
                      <w:color w:val="000000" w:themeColor="text1"/>
                      <w:kern w:val="21"/>
                      <w:sz w:val="18"/>
                      <w:szCs w:val="18"/>
                      <w14:textFill>
                        <w14:solidFill>
                          <w14:schemeClr w14:val="tx1"/>
                        </w14:solidFill>
                      </w14:textFill>
                    </w:rPr>
                  </w:pPr>
                </w:p>
              </w:tc>
              <w:tc>
                <w:tcPr>
                  <w:tcW w:w="1023" w:type="dxa"/>
                  <w:vMerge w:val="continue"/>
                  <w:vAlign w:val="center"/>
                </w:tcPr>
                <w:p w14:paraId="35DF1588">
                  <w:pPr>
                    <w:pStyle w:val="358"/>
                    <w:ind w:firstLine="361"/>
                    <w:rPr>
                      <w:rFonts w:eastAsia="新宋体"/>
                      <w:color w:val="000000" w:themeColor="text1"/>
                      <w:kern w:val="21"/>
                      <w:sz w:val="18"/>
                      <w:szCs w:val="18"/>
                      <w14:textFill>
                        <w14:solidFill>
                          <w14:schemeClr w14:val="tx1"/>
                        </w14:solidFill>
                      </w14:textFill>
                    </w:rPr>
                  </w:pPr>
                </w:p>
              </w:tc>
              <w:tc>
                <w:tcPr>
                  <w:tcW w:w="1764" w:type="dxa"/>
                  <w:vAlign w:val="center"/>
                </w:tcPr>
                <w:p w14:paraId="4A49DF8B">
                  <w:pPr>
                    <w:pStyle w:val="358"/>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地面拖洗废水</w:t>
                  </w:r>
                </w:p>
              </w:tc>
              <w:tc>
                <w:tcPr>
                  <w:tcW w:w="3704" w:type="dxa"/>
                  <w:vAlign w:val="center"/>
                </w:tcPr>
                <w:p w14:paraId="0F11A8DF">
                  <w:pPr>
                    <w:pStyle w:val="358"/>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SS</w:t>
                  </w:r>
                </w:p>
              </w:tc>
              <w:tc>
                <w:tcPr>
                  <w:tcW w:w="1919" w:type="dxa"/>
                </w:tcPr>
                <w:p w14:paraId="33883087">
                  <w:pPr>
                    <w:pStyle w:val="358"/>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循环使用不外排</w:t>
                  </w:r>
                </w:p>
              </w:tc>
            </w:tr>
            <w:tr w14:paraId="25B06C5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258" w:hRule="atLeast"/>
                <w:jc w:val="center"/>
              </w:trPr>
              <w:tc>
                <w:tcPr>
                  <w:tcW w:w="396" w:type="dxa"/>
                  <w:vMerge w:val="continue"/>
                  <w:vAlign w:val="center"/>
                </w:tcPr>
                <w:p w14:paraId="31437B5E">
                  <w:pPr>
                    <w:pStyle w:val="358"/>
                    <w:ind w:firstLine="361"/>
                    <w:rPr>
                      <w:rFonts w:eastAsia="新宋体"/>
                      <w:color w:val="000000" w:themeColor="text1"/>
                      <w:kern w:val="21"/>
                      <w:sz w:val="18"/>
                      <w:szCs w:val="18"/>
                      <w14:textFill>
                        <w14:solidFill>
                          <w14:schemeClr w14:val="tx1"/>
                        </w14:solidFill>
                      </w14:textFill>
                    </w:rPr>
                  </w:pPr>
                </w:p>
              </w:tc>
              <w:tc>
                <w:tcPr>
                  <w:tcW w:w="1023" w:type="dxa"/>
                  <w:vMerge w:val="continue"/>
                  <w:vAlign w:val="center"/>
                </w:tcPr>
                <w:p w14:paraId="04E09F37">
                  <w:pPr>
                    <w:pStyle w:val="358"/>
                    <w:ind w:firstLine="361"/>
                    <w:rPr>
                      <w:rFonts w:eastAsia="新宋体"/>
                      <w:color w:val="000000" w:themeColor="text1"/>
                      <w:kern w:val="21"/>
                      <w:sz w:val="18"/>
                      <w:szCs w:val="18"/>
                      <w14:textFill>
                        <w14:solidFill>
                          <w14:schemeClr w14:val="tx1"/>
                        </w14:solidFill>
                      </w14:textFill>
                    </w:rPr>
                  </w:pPr>
                </w:p>
              </w:tc>
              <w:tc>
                <w:tcPr>
                  <w:tcW w:w="1764" w:type="dxa"/>
                  <w:vAlign w:val="center"/>
                </w:tcPr>
                <w:p w14:paraId="3848C132">
                  <w:pPr>
                    <w:pStyle w:val="358"/>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车辆清洗废水</w:t>
                  </w:r>
                </w:p>
              </w:tc>
              <w:tc>
                <w:tcPr>
                  <w:tcW w:w="3704" w:type="dxa"/>
                  <w:vAlign w:val="center"/>
                </w:tcPr>
                <w:p w14:paraId="5A286830">
                  <w:pPr>
                    <w:pStyle w:val="358"/>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SS</w:t>
                  </w:r>
                </w:p>
              </w:tc>
              <w:tc>
                <w:tcPr>
                  <w:tcW w:w="1919" w:type="dxa"/>
                </w:tcPr>
                <w:p w14:paraId="5B31EF26">
                  <w:pPr>
                    <w:pStyle w:val="358"/>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循环使用不外排</w:t>
                  </w:r>
                </w:p>
              </w:tc>
            </w:tr>
            <w:tr w14:paraId="4A86725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258" w:hRule="atLeast"/>
                <w:jc w:val="center"/>
              </w:trPr>
              <w:tc>
                <w:tcPr>
                  <w:tcW w:w="396" w:type="dxa"/>
                  <w:vMerge w:val="continue"/>
                  <w:vAlign w:val="center"/>
                </w:tcPr>
                <w:p w14:paraId="7C39B9F1">
                  <w:pPr>
                    <w:pStyle w:val="358"/>
                    <w:ind w:firstLine="361"/>
                    <w:rPr>
                      <w:rFonts w:eastAsia="新宋体"/>
                      <w:color w:val="000000" w:themeColor="text1"/>
                      <w:kern w:val="21"/>
                      <w:sz w:val="18"/>
                      <w:szCs w:val="18"/>
                      <w14:textFill>
                        <w14:solidFill>
                          <w14:schemeClr w14:val="tx1"/>
                        </w14:solidFill>
                      </w14:textFill>
                    </w:rPr>
                  </w:pPr>
                </w:p>
              </w:tc>
              <w:tc>
                <w:tcPr>
                  <w:tcW w:w="1023" w:type="dxa"/>
                  <w:vMerge w:val="continue"/>
                  <w:vAlign w:val="center"/>
                </w:tcPr>
                <w:p w14:paraId="4D9F5F6A">
                  <w:pPr>
                    <w:pStyle w:val="358"/>
                    <w:ind w:firstLine="361"/>
                    <w:rPr>
                      <w:rFonts w:eastAsia="新宋体"/>
                      <w:color w:val="000000" w:themeColor="text1"/>
                      <w:kern w:val="21"/>
                      <w:sz w:val="18"/>
                      <w:szCs w:val="18"/>
                      <w14:textFill>
                        <w14:solidFill>
                          <w14:schemeClr w14:val="tx1"/>
                        </w14:solidFill>
                      </w14:textFill>
                    </w:rPr>
                  </w:pPr>
                </w:p>
              </w:tc>
              <w:tc>
                <w:tcPr>
                  <w:tcW w:w="1764" w:type="dxa"/>
                  <w:vAlign w:val="center"/>
                </w:tcPr>
                <w:p w14:paraId="761C51ED">
                  <w:pPr>
                    <w:pStyle w:val="358"/>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过水池清洗废水</w:t>
                  </w:r>
                </w:p>
              </w:tc>
              <w:tc>
                <w:tcPr>
                  <w:tcW w:w="3704" w:type="dxa"/>
                  <w:vAlign w:val="center"/>
                </w:tcPr>
                <w:p w14:paraId="377FEAEF">
                  <w:pPr>
                    <w:pStyle w:val="358"/>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SS</w:t>
                  </w:r>
                </w:p>
              </w:tc>
              <w:tc>
                <w:tcPr>
                  <w:tcW w:w="1919" w:type="dxa"/>
                  <w:vAlign w:val="center"/>
                </w:tcPr>
                <w:p w14:paraId="416493CA">
                  <w:pPr>
                    <w:pStyle w:val="358"/>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循环使用不外排</w:t>
                  </w:r>
                </w:p>
              </w:tc>
            </w:tr>
            <w:tr w14:paraId="7F268AF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188" w:hRule="atLeast"/>
                <w:jc w:val="center"/>
              </w:trPr>
              <w:tc>
                <w:tcPr>
                  <w:tcW w:w="396" w:type="dxa"/>
                  <w:vMerge w:val="continue"/>
                  <w:vAlign w:val="center"/>
                </w:tcPr>
                <w:p w14:paraId="22DE4CA7">
                  <w:pPr>
                    <w:pStyle w:val="358"/>
                    <w:ind w:firstLine="361"/>
                    <w:rPr>
                      <w:rFonts w:eastAsia="新宋体"/>
                      <w:color w:val="000000" w:themeColor="text1"/>
                      <w:kern w:val="21"/>
                      <w:sz w:val="18"/>
                      <w:szCs w:val="18"/>
                      <w14:textFill>
                        <w14:solidFill>
                          <w14:schemeClr w14:val="tx1"/>
                        </w14:solidFill>
                      </w14:textFill>
                    </w:rPr>
                  </w:pPr>
                </w:p>
              </w:tc>
              <w:tc>
                <w:tcPr>
                  <w:tcW w:w="1023" w:type="dxa"/>
                  <w:vMerge w:val="restart"/>
                  <w:vAlign w:val="center"/>
                </w:tcPr>
                <w:p w14:paraId="452F679A">
                  <w:pPr>
                    <w:pStyle w:val="358"/>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固体废物</w:t>
                  </w:r>
                </w:p>
              </w:tc>
              <w:tc>
                <w:tcPr>
                  <w:tcW w:w="1764" w:type="dxa"/>
                  <w:vAlign w:val="center"/>
                </w:tcPr>
                <w:p w14:paraId="46A65CFB">
                  <w:pPr>
                    <w:pStyle w:val="358"/>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员工生活</w:t>
                  </w:r>
                </w:p>
              </w:tc>
              <w:tc>
                <w:tcPr>
                  <w:tcW w:w="3704" w:type="dxa"/>
                  <w:vAlign w:val="center"/>
                </w:tcPr>
                <w:p w14:paraId="7749E172">
                  <w:pPr>
                    <w:pStyle w:val="358"/>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生活垃圾</w:t>
                  </w:r>
                </w:p>
              </w:tc>
              <w:tc>
                <w:tcPr>
                  <w:tcW w:w="1919" w:type="dxa"/>
                  <w:vAlign w:val="center"/>
                </w:tcPr>
                <w:p w14:paraId="685AD191">
                  <w:pPr>
                    <w:jc w:val="center"/>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间断</w:t>
                  </w:r>
                </w:p>
              </w:tc>
            </w:tr>
            <w:tr w14:paraId="6D9E617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188" w:hRule="atLeast"/>
                <w:jc w:val="center"/>
              </w:trPr>
              <w:tc>
                <w:tcPr>
                  <w:tcW w:w="396" w:type="dxa"/>
                  <w:vMerge w:val="continue"/>
                  <w:vAlign w:val="center"/>
                </w:tcPr>
                <w:p w14:paraId="04ADA655">
                  <w:pPr>
                    <w:pStyle w:val="358"/>
                    <w:ind w:firstLine="361"/>
                    <w:rPr>
                      <w:rFonts w:eastAsia="新宋体"/>
                      <w:color w:val="000000" w:themeColor="text1"/>
                      <w:kern w:val="21"/>
                      <w:sz w:val="18"/>
                      <w:szCs w:val="18"/>
                      <w14:textFill>
                        <w14:solidFill>
                          <w14:schemeClr w14:val="tx1"/>
                        </w14:solidFill>
                      </w14:textFill>
                    </w:rPr>
                  </w:pPr>
                </w:p>
              </w:tc>
              <w:tc>
                <w:tcPr>
                  <w:tcW w:w="1023" w:type="dxa"/>
                  <w:vMerge w:val="continue"/>
                  <w:vAlign w:val="center"/>
                </w:tcPr>
                <w:p w14:paraId="14D2CFBE">
                  <w:pPr>
                    <w:pStyle w:val="358"/>
                    <w:rPr>
                      <w:rFonts w:eastAsia="新宋体"/>
                      <w:color w:val="000000" w:themeColor="text1"/>
                      <w:kern w:val="21"/>
                      <w:sz w:val="18"/>
                      <w:szCs w:val="18"/>
                      <w14:textFill>
                        <w14:solidFill>
                          <w14:schemeClr w14:val="tx1"/>
                        </w14:solidFill>
                      </w14:textFill>
                    </w:rPr>
                  </w:pPr>
                </w:p>
              </w:tc>
              <w:tc>
                <w:tcPr>
                  <w:tcW w:w="1764" w:type="dxa"/>
                  <w:vAlign w:val="center"/>
                </w:tcPr>
                <w:p w14:paraId="76785CB9">
                  <w:pPr>
                    <w:pStyle w:val="358"/>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一般固废</w:t>
                  </w:r>
                </w:p>
              </w:tc>
              <w:tc>
                <w:tcPr>
                  <w:tcW w:w="3704" w:type="dxa"/>
                  <w:vAlign w:val="center"/>
                </w:tcPr>
                <w:p w14:paraId="028A27F6">
                  <w:pPr>
                    <w:pStyle w:val="358"/>
                    <w:rPr>
                      <w:rFonts w:eastAsia="新宋体"/>
                      <w:color w:val="000000" w:themeColor="text1"/>
                      <w:kern w:val="21"/>
                      <w:sz w:val="18"/>
                      <w:szCs w:val="18"/>
                      <w14:textFill>
                        <w14:solidFill>
                          <w14:schemeClr w14:val="tx1"/>
                        </w14:solidFill>
                      </w14:textFill>
                    </w:rPr>
                  </w:pPr>
                  <w:r>
                    <w:rPr>
                      <w:rFonts w:hint="eastAsia" w:eastAsia="新宋体"/>
                      <w:bCs/>
                      <w:color w:val="000000" w:themeColor="text1"/>
                      <w:kern w:val="21"/>
                      <w:sz w:val="18"/>
                      <w:szCs w:val="18"/>
                      <w14:textFill>
                        <w14:solidFill>
                          <w14:schemeClr w14:val="tx1"/>
                        </w14:solidFill>
                      </w14:textFill>
                    </w:rPr>
                    <w:t>压滤泥渣和废布袋</w:t>
                  </w:r>
                </w:p>
              </w:tc>
              <w:tc>
                <w:tcPr>
                  <w:tcW w:w="1919" w:type="dxa"/>
                  <w:vAlign w:val="center"/>
                </w:tcPr>
                <w:p w14:paraId="092BBA7F">
                  <w:pPr>
                    <w:jc w:val="center"/>
                    <w:rPr>
                      <w:rFonts w:eastAsia="新宋体"/>
                      <w:color w:val="000000" w:themeColor="text1"/>
                      <w:kern w:val="21"/>
                      <w:sz w:val="18"/>
                      <w:szCs w:val="18"/>
                      <w14:textFill>
                        <w14:solidFill>
                          <w14:schemeClr w14:val="tx1"/>
                        </w14:solidFill>
                      </w14:textFill>
                    </w:rPr>
                  </w:pPr>
                  <w:r>
                    <w:rPr>
                      <w:rFonts w:eastAsia="新宋体"/>
                      <w:color w:val="000000" w:themeColor="text1"/>
                      <w:kern w:val="21"/>
                      <w:sz w:val="18"/>
                      <w:szCs w:val="18"/>
                      <w14:textFill>
                        <w14:solidFill>
                          <w14:schemeClr w14:val="tx1"/>
                        </w14:solidFill>
                      </w14:textFill>
                    </w:rPr>
                    <w:t>间断</w:t>
                  </w:r>
                </w:p>
              </w:tc>
            </w:tr>
            <w:tr w14:paraId="6E0B379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188" w:hRule="atLeast"/>
                <w:jc w:val="center"/>
              </w:trPr>
              <w:tc>
                <w:tcPr>
                  <w:tcW w:w="396" w:type="dxa"/>
                  <w:vMerge w:val="continue"/>
                  <w:vAlign w:val="center"/>
                </w:tcPr>
                <w:p w14:paraId="700E266D">
                  <w:pPr>
                    <w:pStyle w:val="358"/>
                    <w:ind w:firstLine="361"/>
                    <w:rPr>
                      <w:rFonts w:eastAsia="新宋体"/>
                      <w:color w:val="000000" w:themeColor="text1"/>
                      <w:kern w:val="21"/>
                      <w:sz w:val="18"/>
                      <w:szCs w:val="18"/>
                      <w14:textFill>
                        <w14:solidFill>
                          <w14:schemeClr w14:val="tx1"/>
                        </w14:solidFill>
                      </w14:textFill>
                    </w:rPr>
                  </w:pPr>
                </w:p>
              </w:tc>
              <w:tc>
                <w:tcPr>
                  <w:tcW w:w="1023" w:type="dxa"/>
                  <w:vMerge w:val="continue"/>
                  <w:vAlign w:val="center"/>
                </w:tcPr>
                <w:p w14:paraId="69E51F9A">
                  <w:pPr>
                    <w:pStyle w:val="358"/>
                    <w:rPr>
                      <w:rFonts w:eastAsia="新宋体"/>
                      <w:color w:val="000000" w:themeColor="text1"/>
                      <w:kern w:val="21"/>
                      <w:sz w:val="18"/>
                      <w:szCs w:val="18"/>
                      <w14:textFill>
                        <w14:solidFill>
                          <w14:schemeClr w14:val="tx1"/>
                        </w14:solidFill>
                      </w14:textFill>
                    </w:rPr>
                  </w:pPr>
                </w:p>
              </w:tc>
              <w:tc>
                <w:tcPr>
                  <w:tcW w:w="1764" w:type="dxa"/>
                  <w:vAlign w:val="center"/>
                </w:tcPr>
                <w:p w14:paraId="15FA4877">
                  <w:pPr>
                    <w:pStyle w:val="358"/>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危险废物</w:t>
                  </w:r>
                </w:p>
              </w:tc>
              <w:tc>
                <w:tcPr>
                  <w:tcW w:w="3704" w:type="dxa"/>
                  <w:vAlign w:val="center"/>
                </w:tcPr>
                <w:p w14:paraId="3DBAB7D3">
                  <w:pPr>
                    <w:pStyle w:val="358"/>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废机油及废机油桶、废含油抹布及劳保用品</w:t>
                  </w:r>
                </w:p>
              </w:tc>
              <w:tc>
                <w:tcPr>
                  <w:tcW w:w="1919" w:type="dxa"/>
                  <w:vAlign w:val="center"/>
                </w:tcPr>
                <w:p w14:paraId="3F2AF524">
                  <w:pPr>
                    <w:jc w:val="center"/>
                    <w:rPr>
                      <w:rFonts w:eastAsia="新宋体"/>
                      <w:color w:val="000000" w:themeColor="text1"/>
                      <w:kern w:val="21"/>
                      <w:sz w:val="18"/>
                      <w:szCs w:val="18"/>
                      <w14:textFill>
                        <w14:solidFill>
                          <w14:schemeClr w14:val="tx1"/>
                        </w14:solidFill>
                      </w14:textFill>
                    </w:rPr>
                  </w:pPr>
                  <w:r>
                    <w:rPr>
                      <w:rFonts w:hint="eastAsia" w:eastAsia="新宋体"/>
                      <w:color w:val="000000" w:themeColor="text1"/>
                      <w:kern w:val="21"/>
                      <w:sz w:val="18"/>
                      <w:szCs w:val="18"/>
                      <w14:textFill>
                        <w14:solidFill>
                          <w14:schemeClr w14:val="tx1"/>
                        </w14:solidFill>
                      </w14:textFill>
                    </w:rPr>
                    <w:t>间断</w:t>
                  </w:r>
                </w:p>
              </w:tc>
            </w:tr>
          </w:tbl>
          <w:p w14:paraId="3F60DA66">
            <w:pPr>
              <w:spacing w:line="360" w:lineRule="auto"/>
              <w:ind w:firstLine="482" w:firstLineChars="200"/>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四、施工</w:t>
            </w:r>
            <w:r>
              <w:rPr>
                <w:b/>
                <w:bCs/>
                <w:color w:val="000000" w:themeColor="text1"/>
                <w:sz w:val="24"/>
                <w14:textFill>
                  <w14:solidFill>
                    <w14:schemeClr w14:val="tx1"/>
                  </w14:solidFill>
                </w14:textFill>
              </w:rPr>
              <w:t>期主要产排污环节</w:t>
            </w:r>
          </w:p>
          <w:p w14:paraId="01A7519A">
            <w:pPr>
              <w:spacing w:line="360" w:lineRule="auto"/>
              <w:ind w:firstLine="482" w:firstLineChars="200"/>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1、</w:t>
            </w:r>
            <w:r>
              <w:rPr>
                <w:b/>
                <w:bCs/>
                <w:color w:val="000000" w:themeColor="text1"/>
                <w:sz w:val="24"/>
                <w14:textFill>
                  <w14:solidFill>
                    <w14:schemeClr w14:val="tx1"/>
                  </w14:solidFill>
                </w14:textFill>
              </w:rPr>
              <w:t>废水</w:t>
            </w:r>
          </w:p>
          <w:p w14:paraId="0AF22C8F">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w:t>
            </w:r>
            <w:r>
              <w:rPr>
                <w:rFonts w:hint="eastAsia"/>
                <w:color w:val="000000" w:themeColor="text1"/>
                <w:sz w:val="24"/>
                <w14:textFill>
                  <w14:solidFill>
                    <w14:schemeClr w14:val="tx1"/>
                  </w14:solidFill>
                </w14:textFill>
              </w:rPr>
              <w:t>施工期产生的废水主要为施工人员产生的生活污水及本项目内部装修改造过程中产生的施工废水</w:t>
            </w:r>
            <w:r>
              <w:rPr>
                <w:color w:val="000000" w:themeColor="text1"/>
                <w:sz w:val="24"/>
                <w14:textFill>
                  <w14:solidFill>
                    <w14:schemeClr w14:val="tx1"/>
                  </w14:solidFill>
                </w14:textFill>
              </w:rPr>
              <w:t>。</w:t>
            </w:r>
          </w:p>
          <w:p w14:paraId="07A4127E">
            <w:pPr>
              <w:spacing w:line="360" w:lineRule="auto"/>
              <w:ind w:firstLine="480" w:firstLineChars="200"/>
              <w:rPr>
                <w:color w:val="000000" w:themeColor="text1"/>
                <w14:textFill>
                  <w14:solidFill>
                    <w14:schemeClr w14:val="tx1"/>
                  </w14:solidFill>
                </w14:textFill>
              </w:rPr>
            </w:pPr>
            <w:r>
              <w:rPr>
                <w:rFonts w:hint="eastAsia"/>
                <w:color w:val="000000" w:themeColor="text1"/>
                <w:sz w:val="24"/>
                <w14:textFill>
                  <w14:solidFill>
                    <w14:schemeClr w14:val="tx1"/>
                  </w14:solidFill>
                </w14:textFill>
              </w:rPr>
              <w:t>生活污水经简易化粪池处理后排入市政管网，近期依托</w:t>
            </w:r>
            <w:r>
              <w:rPr>
                <w:bCs/>
                <w:color w:val="000000" w:themeColor="text1"/>
                <w:sz w:val="24"/>
                <w14:textFill>
                  <w14:solidFill>
                    <w14:schemeClr w14:val="tx1"/>
                  </w14:solidFill>
                </w14:textFill>
              </w:rPr>
              <w:t>乐平市金山</w:t>
            </w:r>
            <w:r>
              <w:rPr>
                <w:rFonts w:hint="eastAsia"/>
                <w:bCs/>
                <w:color w:val="000000" w:themeColor="text1"/>
                <w:sz w:val="24"/>
                <w14:textFill>
                  <w14:solidFill>
                    <w14:schemeClr w14:val="tx1"/>
                  </w14:solidFill>
                </w14:textFill>
              </w:rPr>
              <w:t>工业园</w:t>
            </w:r>
            <w:r>
              <w:rPr>
                <w:bCs/>
                <w:color w:val="000000" w:themeColor="text1"/>
                <w:sz w:val="24"/>
                <w14:textFill>
                  <w14:solidFill>
                    <w14:schemeClr w14:val="tx1"/>
                  </w14:solidFill>
                </w14:textFill>
              </w:rPr>
              <w:t>区一期一体化污水处理站处理达到《城镇污水处理厂污染物排放标准》（GB18918-2002）中一级A标准后，尾水最终汇入乐安河；远期待金山工业园污水处理厂正式投运后，排入金山工业园污水处理厂，处理达到《城镇污水处理厂污染物排放标准》（GB18918-2002）一级A标准后外排至乐安河</w:t>
            </w:r>
            <w:r>
              <w:rPr>
                <w:rFonts w:hint="eastAsia"/>
                <w:bCs/>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施工废水排入沉砂池处理后回用不外排</w:t>
            </w:r>
            <w:r>
              <w:rPr>
                <w:rFonts w:hint="eastAsia"/>
                <w:bCs/>
                <w:color w:val="000000" w:themeColor="text1"/>
                <w:sz w:val="24"/>
                <w14:textFill>
                  <w14:solidFill>
                    <w14:schemeClr w14:val="tx1"/>
                  </w14:solidFill>
                </w14:textFill>
              </w:rPr>
              <w:t>。</w:t>
            </w:r>
          </w:p>
          <w:p w14:paraId="3C660EA7">
            <w:pPr>
              <w:autoSpaceDE w:val="0"/>
              <w:autoSpaceDN w:val="0"/>
              <w:adjustRightInd w:val="0"/>
              <w:spacing w:line="360" w:lineRule="auto"/>
              <w:ind w:firstLine="482" w:firstLineChars="200"/>
              <w:rPr>
                <w:b/>
                <w:bCs/>
                <w:color w:val="000000" w:themeColor="text1"/>
                <w:kern w:val="0"/>
                <w:sz w:val="24"/>
                <w14:textFill>
                  <w14:solidFill>
                    <w14:schemeClr w14:val="tx1"/>
                  </w14:solidFill>
                </w14:textFill>
              </w:rPr>
            </w:pPr>
            <w:r>
              <w:rPr>
                <w:rFonts w:hint="eastAsia"/>
                <w:b/>
                <w:bCs/>
                <w:color w:val="000000" w:themeColor="text1"/>
                <w:kern w:val="0"/>
                <w:sz w:val="24"/>
                <w14:textFill>
                  <w14:solidFill>
                    <w14:schemeClr w14:val="tx1"/>
                  </w14:solidFill>
                </w14:textFill>
              </w:rPr>
              <w:t>2、</w:t>
            </w:r>
            <w:r>
              <w:rPr>
                <w:b/>
                <w:bCs/>
                <w:color w:val="000000" w:themeColor="text1"/>
                <w:kern w:val="0"/>
                <w:sz w:val="24"/>
                <w14:textFill>
                  <w14:solidFill>
                    <w14:schemeClr w14:val="tx1"/>
                  </w14:solidFill>
                </w14:textFill>
              </w:rPr>
              <w:t>废气</w:t>
            </w:r>
          </w:p>
          <w:p w14:paraId="324CF892">
            <w:pPr>
              <w:autoSpaceDE w:val="0"/>
              <w:autoSpaceDN w:val="0"/>
              <w:adjustRightIn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本项目施工期</w:t>
            </w:r>
            <w:r>
              <w:rPr>
                <w:rFonts w:hint="eastAsia"/>
                <w:color w:val="000000" w:themeColor="text1"/>
                <w:sz w:val="24"/>
                <w14:textFill>
                  <w14:solidFill>
                    <w14:schemeClr w14:val="tx1"/>
                  </w14:solidFill>
                </w14:textFill>
              </w:rPr>
              <w:t>废气主要为施工粉尘、施工车辆产生的汽车尾气等，通过场地洒水抑尘、大气扩散等方式进行排放。本项目施工粉尘</w:t>
            </w:r>
            <w:r>
              <w:rPr>
                <w:rFonts w:hint="eastAsia"/>
                <w:color w:val="000000" w:themeColor="text1"/>
                <w:sz w:val="24"/>
                <w:szCs w:val="20"/>
                <w14:textFill>
                  <w14:solidFill>
                    <w14:schemeClr w14:val="tx1"/>
                  </w14:solidFill>
                </w14:textFill>
              </w:rPr>
              <w:t>执行《大气污染物综合排放标准》（GB16297-1996）表2中无组织排放监控浓限值标准。</w:t>
            </w:r>
          </w:p>
          <w:p w14:paraId="4DE8B761">
            <w:pPr>
              <w:autoSpaceDE w:val="0"/>
              <w:autoSpaceDN w:val="0"/>
              <w:adjustRightInd w:val="0"/>
              <w:spacing w:line="360" w:lineRule="auto"/>
              <w:ind w:firstLine="482" w:firstLineChars="200"/>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3、</w:t>
            </w:r>
            <w:r>
              <w:rPr>
                <w:b/>
                <w:color w:val="000000" w:themeColor="text1"/>
                <w:sz w:val="24"/>
                <w14:textFill>
                  <w14:solidFill>
                    <w14:schemeClr w14:val="tx1"/>
                  </w14:solidFill>
                </w14:textFill>
              </w:rPr>
              <w:t>噪声</w:t>
            </w:r>
          </w:p>
          <w:p w14:paraId="73CFE2DF">
            <w:pPr>
              <w:autoSpaceDE w:val="0"/>
              <w:autoSpaceDN w:val="0"/>
              <w:adjustRightInd w:val="0"/>
              <w:spacing w:line="360" w:lineRule="auto"/>
              <w:ind w:firstLine="480" w:firstLineChars="200"/>
              <w:rPr>
                <w:color w:val="000000" w:themeColor="text1"/>
                <w:spacing w:val="-4"/>
                <w:sz w:val="24"/>
                <w14:textFill>
                  <w14:solidFill>
                    <w14:schemeClr w14:val="tx1"/>
                  </w14:solidFill>
                </w14:textFill>
              </w:rPr>
            </w:pPr>
            <w:r>
              <w:rPr>
                <w:color w:val="000000" w:themeColor="text1"/>
                <w:sz w:val="24"/>
                <w14:textFill>
                  <w14:solidFill>
                    <w14:schemeClr w14:val="tx1"/>
                  </w14:solidFill>
                </w14:textFill>
              </w:rPr>
              <w:t>本项目施工期噪声主要是</w:t>
            </w:r>
            <w:r>
              <w:rPr>
                <w:rFonts w:hint="eastAsia"/>
                <w:color w:val="000000" w:themeColor="text1"/>
                <w:sz w:val="24"/>
                <w14:textFill>
                  <w14:solidFill>
                    <w14:schemeClr w14:val="tx1"/>
                  </w14:solidFill>
                </w14:textFill>
              </w:rPr>
              <w:t>施工</w:t>
            </w:r>
            <w:r>
              <w:rPr>
                <w:color w:val="000000" w:themeColor="text1"/>
                <w:spacing w:val="-4"/>
                <w:sz w:val="24"/>
                <w14:textFill>
                  <w14:solidFill>
                    <w14:schemeClr w14:val="tx1"/>
                  </w14:solidFill>
                </w14:textFill>
              </w:rPr>
              <w:t>设备噪声。</w:t>
            </w:r>
            <w:r>
              <w:rPr>
                <w:color w:val="000000" w:themeColor="text1"/>
                <w:sz w:val="24"/>
                <w:szCs w:val="20"/>
                <w14:textFill>
                  <w14:solidFill>
                    <w14:schemeClr w14:val="tx1"/>
                  </w14:solidFill>
                </w14:textFill>
              </w:rPr>
              <w:t>施工期噪声排放执行《</w:t>
            </w:r>
            <w:r>
              <w:rPr>
                <w:rFonts w:hint="eastAsia"/>
                <w:color w:val="000000" w:themeColor="text1"/>
                <w:sz w:val="24"/>
                <w:szCs w:val="20"/>
                <w14:textFill>
                  <w14:solidFill>
                    <w14:schemeClr w14:val="tx1"/>
                  </w14:solidFill>
                </w14:textFill>
              </w:rPr>
              <w:t>建筑施工噪声排放标准</w:t>
            </w:r>
            <w:r>
              <w:rPr>
                <w:color w:val="000000" w:themeColor="text1"/>
                <w:sz w:val="24"/>
                <w:szCs w:val="20"/>
                <w14:textFill>
                  <w14:solidFill>
                    <w14:schemeClr w14:val="tx1"/>
                  </w14:solidFill>
                </w14:textFill>
              </w:rPr>
              <w:t>》（GB12523-20</w:t>
            </w:r>
            <w:r>
              <w:rPr>
                <w:rFonts w:hint="eastAsia"/>
                <w:color w:val="000000" w:themeColor="text1"/>
                <w:sz w:val="24"/>
                <w:szCs w:val="20"/>
                <w:lang w:val="en-US" w:eastAsia="zh-CN"/>
                <w14:textFill>
                  <w14:solidFill>
                    <w14:schemeClr w14:val="tx1"/>
                  </w14:solidFill>
                </w14:textFill>
              </w:rPr>
              <w:t>25</w:t>
            </w:r>
            <w:r>
              <w:rPr>
                <w:color w:val="000000" w:themeColor="text1"/>
                <w:sz w:val="24"/>
                <w:szCs w:val="20"/>
                <w14:textFill>
                  <w14:solidFill>
                    <w14:schemeClr w14:val="tx1"/>
                  </w14:solidFill>
                </w14:textFill>
              </w:rPr>
              <w:t>）标准。</w:t>
            </w:r>
          </w:p>
          <w:p w14:paraId="093F6EAA">
            <w:pPr>
              <w:autoSpaceDE w:val="0"/>
              <w:autoSpaceDN w:val="0"/>
              <w:adjustRightInd w:val="0"/>
              <w:spacing w:line="360" w:lineRule="auto"/>
              <w:ind w:firstLine="482" w:firstLineChars="200"/>
              <w:rPr>
                <w:b/>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4、</w:t>
            </w:r>
            <w:r>
              <w:rPr>
                <w:b/>
                <w:bCs/>
                <w:color w:val="000000" w:themeColor="text1"/>
                <w:sz w:val="24"/>
                <w14:textFill>
                  <w14:solidFill>
                    <w14:schemeClr w14:val="tx1"/>
                  </w14:solidFill>
                </w14:textFill>
              </w:rPr>
              <w:t>固体废物</w:t>
            </w:r>
          </w:p>
          <w:p w14:paraId="618527BA">
            <w:pPr>
              <w:autoSpaceDE w:val="0"/>
              <w:autoSpaceDN w:val="0"/>
              <w:adjustRightInd w:val="0"/>
              <w:spacing w:line="360" w:lineRule="auto"/>
              <w:ind w:firstLine="480" w:firstLineChars="200"/>
              <w:rPr>
                <w:b/>
                <w:bCs/>
                <w:color w:val="000000" w:themeColor="text1"/>
                <w:sz w:val="24"/>
                <w14:textFill>
                  <w14:solidFill>
                    <w14:schemeClr w14:val="tx1"/>
                  </w14:solidFill>
                </w14:textFill>
              </w:rPr>
            </w:pPr>
            <w:r>
              <w:rPr>
                <w:color w:val="000000" w:themeColor="text1"/>
                <w:sz w:val="24"/>
                <w14:textFill>
                  <w14:solidFill>
                    <w14:schemeClr w14:val="tx1"/>
                  </w14:solidFill>
                </w14:textFill>
              </w:rPr>
              <w:t>本项目施工期固废主要为施工人员的生活垃圾及</w:t>
            </w:r>
            <w:r>
              <w:rPr>
                <w:rFonts w:hint="eastAsia"/>
                <w:color w:val="000000" w:themeColor="text1"/>
                <w:sz w:val="24"/>
                <w14:textFill>
                  <w14:solidFill>
                    <w14:schemeClr w14:val="tx1"/>
                  </w14:solidFill>
                </w14:textFill>
              </w:rPr>
              <w:t>实验室内部装修改造</w:t>
            </w:r>
            <w:r>
              <w:rPr>
                <w:color w:val="000000" w:themeColor="text1"/>
                <w:sz w:val="24"/>
                <w14:textFill>
                  <w14:solidFill>
                    <w14:schemeClr w14:val="tx1"/>
                  </w14:solidFill>
                </w14:textFill>
              </w:rPr>
              <w:t>产生的施工固废，统一收集后交环卫部门处理。</w:t>
            </w:r>
            <w:r>
              <w:rPr>
                <w:rFonts w:hint="eastAsia"/>
                <w:color w:val="000000" w:themeColor="text1"/>
                <w:sz w:val="24"/>
                <w14:textFill>
                  <w14:solidFill>
                    <w14:schemeClr w14:val="tx1"/>
                  </w14:solidFill>
                </w14:textFill>
              </w:rPr>
              <w:t>项目施工期一般工业固体废物做到单独存放，防风雨，防渗漏等要求；危险废物管理执行《危险废物贮存污染控制标准》(GB18597-2023)。</w:t>
            </w:r>
          </w:p>
          <w:p w14:paraId="4C51FEB5">
            <w:pPr>
              <w:spacing w:line="360" w:lineRule="auto"/>
              <w:ind w:firstLine="482" w:firstLineChars="200"/>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五</w:t>
            </w:r>
            <w:r>
              <w:rPr>
                <w:b/>
                <w:bCs/>
                <w:color w:val="000000" w:themeColor="text1"/>
                <w:sz w:val="24"/>
                <w14:textFill>
                  <w14:solidFill>
                    <w14:schemeClr w14:val="tx1"/>
                  </w14:solidFill>
                </w14:textFill>
              </w:rPr>
              <w:t>、营运期主要产排污环节</w:t>
            </w:r>
          </w:p>
          <w:p w14:paraId="00A5546D">
            <w:pPr>
              <w:spacing w:line="360" w:lineRule="auto"/>
              <w:ind w:firstLine="482" w:firstLineChars="200"/>
              <w:rPr>
                <w:b/>
                <w:bCs/>
                <w:color w:val="000000" w:themeColor="text1"/>
                <w:sz w:val="24"/>
                <w14:textFill>
                  <w14:solidFill>
                    <w14:schemeClr w14:val="tx1"/>
                  </w14:solidFill>
                </w14:textFill>
              </w:rPr>
            </w:pPr>
            <w:bookmarkStart w:id="38" w:name="_Hlk71549707"/>
            <w:r>
              <w:rPr>
                <w:rFonts w:hint="eastAsia"/>
                <w:b/>
                <w:bCs/>
                <w:color w:val="000000" w:themeColor="text1"/>
                <w:sz w:val="24"/>
                <w14:textFill>
                  <w14:solidFill>
                    <w14:schemeClr w14:val="tx1"/>
                  </w14:solidFill>
                </w14:textFill>
              </w:rPr>
              <w:t>1、</w:t>
            </w:r>
            <w:r>
              <w:rPr>
                <w:b/>
                <w:bCs/>
                <w:color w:val="000000" w:themeColor="text1"/>
                <w:sz w:val="24"/>
                <w14:textFill>
                  <w14:solidFill>
                    <w14:schemeClr w14:val="tx1"/>
                  </w14:solidFill>
                </w14:textFill>
              </w:rPr>
              <w:t>废水</w:t>
            </w:r>
          </w:p>
          <w:p w14:paraId="61A497F0">
            <w:pPr>
              <w:widowControl/>
              <w:adjustRightInd w:val="0"/>
              <w:snapToGrid w:val="0"/>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本项目产生废水主要为办公生活污水、</w:t>
            </w:r>
            <w:r>
              <w:rPr>
                <w:rFonts w:hint="eastAsia"/>
                <w:color w:val="000000" w:themeColor="text1"/>
                <w:sz w:val="24"/>
                <w14:textFill>
                  <w14:solidFill>
                    <w14:schemeClr w14:val="tx1"/>
                  </w14:solidFill>
                </w14:textFill>
              </w:rPr>
              <w:t>地面拖洗废水、车辆清洗废水和过水池清洗废水。生活污水近期依托现有隔油池+化粪池处理后满足</w:t>
            </w:r>
            <w:r>
              <w:rPr>
                <w:bCs/>
                <w:color w:val="000000" w:themeColor="text1"/>
                <w:sz w:val="24"/>
                <w14:textFill>
                  <w14:solidFill>
                    <w14:schemeClr w14:val="tx1"/>
                  </w14:solidFill>
                </w14:textFill>
              </w:rPr>
              <w:t>《污水综合排放标准》（GB8978-1996）表4中三级标准</w:t>
            </w:r>
            <w:r>
              <w:rPr>
                <w:rFonts w:hint="eastAsia"/>
                <w:bCs/>
                <w:color w:val="000000" w:themeColor="text1"/>
                <w:sz w:val="24"/>
                <w14:textFill>
                  <w14:solidFill>
                    <w14:schemeClr w14:val="tx1"/>
                  </w14:solidFill>
                </w14:textFill>
              </w:rPr>
              <w:t>后</w:t>
            </w:r>
            <w:r>
              <w:rPr>
                <w:bCs/>
                <w:color w:val="000000" w:themeColor="text1"/>
                <w:sz w:val="24"/>
                <w14:textFill>
                  <w14:solidFill>
                    <w14:schemeClr w14:val="tx1"/>
                  </w14:solidFill>
                </w14:textFill>
              </w:rPr>
              <w:t>通过管网进入乐平市金山</w:t>
            </w:r>
            <w:r>
              <w:rPr>
                <w:rFonts w:hint="eastAsia"/>
                <w:bCs/>
                <w:color w:val="000000" w:themeColor="text1"/>
                <w:sz w:val="24"/>
                <w14:textFill>
                  <w14:solidFill>
                    <w14:schemeClr w14:val="tx1"/>
                  </w14:solidFill>
                </w14:textFill>
              </w:rPr>
              <w:t>工业园</w:t>
            </w:r>
            <w:r>
              <w:rPr>
                <w:bCs/>
                <w:color w:val="000000" w:themeColor="text1"/>
                <w:sz w:val="24"/>
                <w14:textFill>
                  <w14:solidFill>
                    <w14:schemeClr w14:val="tx1"/>
                  </w14:solidFill>
                </w14:textFill>
              </w:rPr>
              <w:t>区一期一体化污水处理站进一步处理达到《城镇污水处理厂污染物排放标准》（GB18918-2002）中一级A标准后，尾水最终汇入乐安河；远期待金山工业园污水处理厂正式投运后，排入金山工业园污水处理厂，处理达到《城镇污水处理厂污染物排放标准》（GB18918-2002）一级A标准后外排至乐安河</w:t>
            </w:r>
            <w:r>
              <w:rPr>
                <w:rFonts w:hint="eastAsia"/>
                <w:bCs/>
                <w:color w:val="000000" w:themeColor="text1"/>
                <w:sz w:val="24"/>
                <w14:textFill>
                  <w14:solidFill>
                    <w14:schemeClr w14:val="tx1"/>
                  </w14:solidFill>
                </w14:textFill>
              </w:rPr>
              <w:t>。车辆清洗废水经洗车平台沉淀池处理后回用于洗车，其他生产废水经沉淀池</w:t>
            </w:r>
            <w:r>
              <w:rPr>
                <w:rFonts w:hint="eastAsia"/>
                <w:bCs/>
                <w:color w:val="000000" w:themeColor="text1"/>
                <w:sz w:val="24"/>
                <w:lang w:eastAsia="zh-CN"/>
                <w14:textFill>
                  <w14:solidFill>
                    <w14:schemeClr w14:val="tx1"/>
                  </w14:solidFill>
                </w14:textFill>
              </w:rPr>
              <w:t>（</w:t>
            </w:r>
            <w:r>
              <w:rPr>
                <w:rFonts w:hint="eastAsia"/>
                <w:bCs/>
                <w:color w:val="000000" w:themeColor="text1"/>
                <w:sz w:val="24"/>
                <w:lang w:val="en-US" w:eastAsia="zh-CN"/>
                <w14:textFill>
                  <w14:solidFill>
                    <w14:schemeClr w14:val="tx1"/>
                  </w14:solidFill>
                </w14:textFill>
              </w:rPr>
              <w:t>三级沉淀</w:t>
            </w:r>
            <w:r>
              <w:rPr>
                <w:rFonts w:hint="eastAsia"/>
                <w:bCs/>
                <w:color w:val="000000" w:themeColor="text1"/>
                <w:sz w:val="24"/>
                <w:lang w:eastAsia="zh-CN"/>
                <w14:textFill>
                  <w14:solidFill>
                    <w14:schemeClr w14:val="tx1"/>
                  </w14:solidFill>
                </w14:textFill>
              </w:rPr>
              <w:t>）</w:t>
            </w:r>
            <w:r>
              <w:rPr>
                <w:rFonts w:hint="eastAsia"/>
                <w:bCs/>
                <w:color w:val="000000" w:themeColor="text1"/>
                <w:sz w:val="24"/>
                <w14:textFill>
                  <w14:solidFill>
                    <w14:schemeClr w14:val="tx1"/>
                  </w14:solidFill>
                </w14:textFill>
              </w:rPr>
              <w:t>处理后回用于生产不外排</w:t>
            </w:r>
            <w:r>
              <w:rPr>
                <w:color w:val="000000" w:themeColor="text1"/>
                <w:sz w:val="24"/>
                <w14:textFill>
                  <w14:solidFill>
                    <w14:schemeClr w14:val="tx1"/>
                  </w14:solidFill>
                </w14:textFill>
              </w:rPr>
              <w:t>。</w:t>
            </w:r>
          </w:p>
          <w:bookmarkEnd w:id="38"/>
          <w:p w14:paraId="0265B0D4">
            <w:pPr>
              <w:spacing w:line="360" w:lineRule="auto"/>
              <w:ind w:firstLine="482" w:firstLineChars="200"/>
              <w:rPr>
                <w:b/>
                <w:bCs/>
                <w:color w:val="000000" w:themeColor="text1"/>
                <w:kern w:val="0"/>
                <w:sz w:val="24"/>
                <w14:textFill>
                  <w14:solidFill>
                    <w14:schemeClr w14:val="tx1"/>
                  </w14:solidFill>
                </w14:textFill>
              </w:rPr>
            </w:pPr>
            <w:r>
              <w:rPr>
                <w:rFonts w:hint="eastAsia"/>
                <w:b/>
                <w:bCs/>
                <w:color w:val="000000" w:themeColor="text1"/>
                <w:kern w:val="0"/>
                <w:sz w:val="24"/>
                <w14:textFill>
                  <w14:solidFill>
                    <w14:schemeClr w14:val="tx1"/>
                  </w14:solidFill>
                </w14:textFill>
              </w:rPr>
              <w:t>2、</w:t>
            </w:r>
            <w:r>
              <w:rPr>
                <w:b/>
                <w:bCs/>
                <w:color w:val="000000" w:themeColor="text1"/>
                <w:kern w:val="0"/>
                <w:sz w:val="24"/>
                <w14:textFill>
                  <w14:solidFill>
                    <w14:schemeClr w14:val="tx1"/>
                  </w14:solidFill>
                </w14:textFill>
              </w:rPr>
              <w:t>废气</w:t>
            </w:r>
          </w:p>
          <w:p w14:paraId="123D5D68">
            <w:pPr>
              <w:autoSpaceDE w:val="0"/>
              <w:autoSpaceDN w:val="0"/>
              <w:adjustRightIn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项目营运期间产生的废气主要为</w:t>
            </w:r>
            <w:r>
              <w:rPr>
                <w:rFonts w:hint="eastAsia"/>
                <w:color w:val="000000" w:themeColor="text1"/>
                <w:sz w:val="24"/>
                <w14:textFill>
                  <w14:solidFill>
                    <w14:schemeClr w14:val="tx1"/>
                  </w14:solidFill>
                </w14:textFill>
              </w:rPr>
              <w:t>破碎、筛分粉尘、投料粉尘、堆场扬尘、车辆运输动力起尘、传送带输送粉尘、筒仓呼吸粉尘、搅拌粉尘和食堂油烟；破碎、筛分粉尘、</w:t>
            </w:r>
            <w:r>
              <w:rPr>
                <w:rFonts w:hint="eastAsia"/>
                <w:bCs/>
                <w:color w:val="000000" w:themeColor="text1"/>
                <w:sz w:val="24"/>
                <w14:textFill>
                  <w14:solidFill>
                    <w14:schemeClr w14:val="tx1"/>
                  </w14:solidFill>
                </w14:textFill>
              </w:rPr>
              <w:t>投料粉尘、</w:t>
            </w:r>
            <w:r>
              <w:rPr>
                <w:rFonts w:hint="eastAsia"/>
                <w:color w:val="000000" w:themeColor="text1"/>
                <w:sz w:val="24"/>
                <w14:textFill>
                  <w14:solidFill>
                    <w14:schemeClr w14:val="tx1"/>
                  </w14:solidFill>
                </w14:textFill>
              </w:rPr>
              <w:t>搅拌粉尘、堆场扬尘经洒水抑尘处理后无组织排放，车辆运输动力起尘经洒水抑尘处理后无组织排排放，传送带输送粉尘经</w:t>
            </w:r>
            <w:r>
              <w:rPr>
                <w:rFonts w:hint="eastAsia"/>
                <w:bCs/>
                <w:color w:val="000000" w:themeColor="text1"/>
                <w:sz w:val="24"/>
                <w14:textFill>
                  <w14:solidFill>
                    <w14:schemeClr w14:val="tx1"/>
                  </w14:solidFill>
                </w14:textFill>
              </w:rPr>
              <w:t>密闭传送处理后无组织排放</w:t>
            </w:r>
            <w:r>
              <w:rPr>
                <w:rFonts w:hint="eastAsia"/>
                <w:color w:val="000000" w:themeColor="text1"/>
                <w:sz w:val="24"/>
                <w14:textFill>
                  <w14:solidFill>
                    <w14:schemeClr w14:val="tx1"/>
                  </w14:solidFill>
                </w14:textFill>
              </w:rPr>
              <w:t>，筒仓呼吸粉尘通过脉冲布袋除尘器去除，</w:t>
            </w:r>
            <w:r>
              <w:rPr>
                <w:color w:val="000000" w:themeColor="text1"/>
                <w:sz w:val="24"/>
                <w14:textFill>
                  <w14:solidFill>
                    <w14:schemeClr w14:val="tx1"/>
                  </w14:solidFill>
                </w14:textFill>
              </w:rPr>
              <w:t>主要污染因子为颗粒物，均为无组织排放</w:t>
            </w:r>
            <w:r>
              <w:rPr>
                <w:rFonts w:hint="eastAsia"/>
                <w:color w:val="000000" w:themeColor="text1"/>
                <w:sz w:val="24"/>
                <w14:textFill>
                  <w14:solidFill>
                    <w14:schemeClr w14:val="tx1"/>
                  </w14:solidFill>
                </w14:textFill>
              </w:rPr>
              <w:t>。食堂油烟经油烟净化器处理后由楼顶排放。</w:t>
            </w:r>
          </w:p>
          <w:p w14:paraId="57350E96">
            <w:pPr>
              <w:autoSpaceDE w:val="0"/>
              <w:autoSpaceDN w:val="0"/>
              <w:adjustRightInd w:val="0"/>
              <w:spacing w:line="360" w:lineRule="auto"/>
              <w:ind w:firstLine="482" w:firstLineChars="200"/>
              <w:rPr>
                <w:b/>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3、</w:t>
            </w:r>
            <w:r>
              <w:rPr>
                <w:b/>
                <w:color w:val="000000" w:themeColor="text1"/>
                <w:sz w:val="24"/>
                <w14:textFill>
                  <w14:solidFill>
                    <w14:schemeClr w14:val="tx1"/>
                  </w14:solidFill>
                </w14:textFill>
              </w:rPr>
              <w:t>噪声</w:t>
            </w:r>
          </w:p>
          <w:p w14:paraId="297D7CFD">
            <w:pPr>
              <w:autoSpaceDE w:val="0"/>
              <w:autoSpaceDN w:val="0"/>
              <w:adjustRightInd w:val="0"/>
              <w:spacing w:line="360" w:lineRule="auto"/>
              <w:ind w:firstLine="480" w:firstLineChars="200"/>
              <w:rPr>
                <w:color w:val="000000" w:themeColor="text1"/>
                <w:spacing w:val="-4"/>
                <w:sz w:val="24"/>
                <w14:textFill>
                  <w14:solidFill>
                    <w14:schemeClr w14:val="tx1"/>
                  </w14:solidFill>
                </w14:textFill>
              </w:rPr>
            </w:pPr>
            <w:r>
              <w:rPr>
                <w:color w:val="000000" w:themeColor="text1"/>
                <w:sz w:val="24"/>
                <w14:textFill>
                  <w14:solidFill>
                    <w14:schemeClr w14:val="tx1"/>
                  </w14:solidFill>
                </w14:textFill>
              </w:rPr>
              <w:t>本项目设备噪声较小，噪声通过墙壁隔声以及距离衰减的措施处理。</w:t>
            </w:r>
          </w:p>
          <w:p w14:paraId="4E30D059">
            <w:pPr>
              <w:autoSpaceDE w:val="0"/>
              <w:autoSpaceDN w:val="0"/>
              <w:adjustRightInd w:val="0"/>
              <w:spacing w:line="360" w:lineRule="auto"/>
              <w:ind w:firstLine="482" w:firstLineChars="200"/>
              <w:rPr>
                <w:b/>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4、</w:t>
            </w:r>
            <w:r>
              <w:rPr>
                <w:b/>
                <w:color w:val="000000" w:themeColor="text1"/>
                <w:sz w:val="24"/>
                <w14:textFill>
                  <w14:solidFill>
                    <w14:schemeClr w14:val="tx1"/>
                  </w14:solidFill>
                </w14:textFill>
              </w:rPr>
              <w:t>固体废物</w:t>
            </w:r>
          </w:p>
          <w:p w14:paraId="41B5C963">
            <w:pPr>
              <w:autoSpaceDE w:val="0"/>
              <w:autoSpaceDN w:val="0"/>
              <w:adjustRightIn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本项目固体废弃物主要有生产工序产生的一般固体废物</w:t>
            </w:r>
            <w:r>
              <w:rPr>
                <w:rFonts w:hint="eastAsia"/>
                <w:color w:val="000000" w:themeColor="text1"/>
                <w:sz w:val="24"/>
                <w14:textFill>
                  <w14:solidFill>
                    <w14:schemeClr w14:val="tx1"/>
                  </w14:solidFill>
                </w14:textFill>
              </w:rPr>
              <w:t>、危险废物</w:t>
            </w:r>
            <w:r>
              <w:rPr>
                <w:color w:val="000000" w:themeColor="text1"/>
                <w:sz w:val="24"/>
                <w14:textFill>
                  <w14:solidFill>
                    <w14:schemeClr w14:val="tx1"/>
                  </w14:solidFill>
                </w14:textFill>
              </w:rPr>
              <w:t>和生活垃圾等。</w:t>
            </w:r>
          </w:p>
          <w:p w14:paraId="75FBB9BF">
            <w:pPr>
              <w:autoSpaceDE w:val="0"/>
              <w:autoSpaceDN w:val="0"/>
              <w:adjustRightIn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一般固体废物</w:t>
            </w:r>
          </w:p>
          <w:p w14:paraId="5511CBF9">
            <w:pPr>
              <w:autoSpaceDE w:val="0"/>
              <w:autoSpaceDN w:val="0"/>
              <w:adjustRightIn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本项目生产过程中主要产生的固废有</w:t>
            </w:r>
            <w:r>
              <w:rPr>
                <w:rFonts w:hint="eastAsia"/>
                <w:bCs/>
                <w:color w:val="000000" w:themeColor="text1"/>
                <w:sz w:val="24"/>
                <w14:textFill>
                  <w14:solidFill>
                    <w14:schemeClr w14:val="tx1"/>
                  </w14:solidFill>
                </w14:textFill>
              </w:rPr>
              <w:t>压滤泥渣</w:t>
            </w:r>
            <w:r>
              <w:rPr>
                <w:rFonts w:hint="eastAsia"/>
                <w:color w:val="000000" w:themeColor="text1"/>
                <w:sz w:val="24"/>
                <w14:textFill>
                  <w14:solidFill>
                    <w14:schemeClr w14:val="tx1"/>
                  </w14:solidFill>
                </w14:textFill>
              </w:rPr>
              <w:t>和废布袋，</w:t>
            </w:r>
            <w:r>
              <w:rPr>
                <w:color w:val="000000" w:themeColor="text1"/>
                <w:sz w:val="24"/>
                <w14:textFill>
                  <w14:solidFill>
                    <w14:schemeClr w14:val="tx1"/>
                  </w14:solidFill>
                </w14:textFill>
              </w:rPr>
              <w:t>统一收集后</w:t>
            </w:r>
            <w:r>
              <w:rPr>
                <w:rFonts w:hint="eastAsia"/>
                <w:color w:val="000000" w:themeColor="text1"/>
                <w:sz w:val="24"/>
                <w14:textFill>
                  <w14:solidFill>
                    <w14:schemeClr w14:val="tx1"/>
                  </w14:solidFill>
                </w14:textFill>
              </w:rPr>
              <w:t>暂存于一般固废间，定期综合外售处理</w:t>
            </w:r>
            <w:r>
              <w:rPr>
                <w:color w:val="000000" w:themeColor="text1"/>
                <w:sz w:val="24"/>
                <w14:textFill>
                  <w14:solidFill>
                    <w14:schemeClr w14:val="tx1"/>
                  </w14:solidFill>
                </w14:textFill>
              </w:rPr>
              <w:t>。</w:t>
            </w:r>
          </w:p>
          <w:p w14:paraId="26CAE567">
            <w:pPr>
              <w:autoSpaceDE w:val="0"/>
              <w:autoSpaceDN w:val="0"/>
              <w:adjustRightIn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w:t>
            </w:r>
            <w:r>
              <w:rPr>
                <w:color w:val="000000" w:themeColor="text1"/>
                <w:sz w:val="24"/>
                <w14:textFill>
                  <w14:solidFill>
                    <w14:schemeClr w14:val="tx1"/>
                  </w14:solidFill>
                </w14:textFill>
              </w:rPr>
              <w:t>危险废物</w:t>
            </w:r>
          </w:p>
          <w:p w14:paraId="50CF6101">
            <w:pPr>
              <w:autoSpaceDE w:val="0"/>
              <w:autoSpaceDN w:val="0"/>
              <w:adjustRightIn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本项目危险废物主要为废机油及废机油桶、废含油抹布及劳保用品等，统一收集后存放于危险废物暂存库，并由交由有资质的单位统一处理。</w:t>
            </w:r>
          </w:p>
          <w:p w14:paraId="3EC9533B">
            <w:pPr>
              <w:autoSpaceDE w:val="0"/>
              <w:autoSpaceDN w:val="0"/>
              <w:adjustRightIn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（3）</w:t>
            </w:r>
            <w:r>
              <w:rPr>
                <w:color w:val="000000" w:themeColor="text1"/>
                <w:sz w:val="24"/>
                <w14:textFill>
                  <w14:solidFill>
                    <w14:schemeClr w14:val="tx1"/>
                  </w14:solidFill>
                </w14:textFill>
              </w:rPr>
              <w:t>生活垃圾</w:t>
            </w:r>
          </w:p>
          <w:p w14:paraId="4C8ADF8A">
            <w:pPr>
              <w:autoSpaceDE w:val="0"/>
              <w:autoSpaceDN w:val="0"/>
              <w:adjustRightIn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生活垃圾来源于工作生产人员产生的生活垃圾，经统一收集后交由环卫部门处理。</w:t>
            </w:r>
          </w:p>
          <w:bookmarkEnd w:id="37"/>
          <w:p w14:paraId="06AE9A90">
            <w:pPr>
              <w:autoSpaceDE w:val="0"/>
              <w:autoSpaceDN w:val="0"/>
              <w:adjustRightInd w:val="0"/>
              <w:spacing w:line="360" w:lineRule="auto"/>
              <w:ind w:firstLine="482" w:firstLineChars="200"/>
              <w:rPr>
                <w:b/>
                <w:bCs/>
                <w:color w:val="000000" w:themeColor="text1"/>
                <w:sz w:val="24"/>
                <w:szCs w:val="32"/>
                <w14:textFill>
                  <w14:solidFill>
                    <w14:schemeClr w14:val="tx1"/>
                  </w14:solidFill>
                </w14:textFill>
              </w:rPr>
            </w:pPr>
            <w:r>
              <w:rPr>
                <w:rFonts w:hint="eastAsia"/>
                <w:b/>
                <w:bCs/>
                <w:color w:val="000000" w:themeColor="text1"/>
                <w:sz w:val="24"/>
                <w:szCs w:val="32"/>
                <w14:textFill>
                  <w14:solidFill>
                    <w14:schemeClr w14:val="tx1"/>
                  </w14:solidFill>
                </w14:textFill>
              </w:rPr>
              <w:t>六、</w:t>
            </w:r>
            <w:r>
              <w:rPr>
                <w:b/>
                <w:bCs/>
                <w:color w:val="000000" w:themeColor="text1"/>
                <w:sz w:val="24"/>
                <w:szCs w:val="32"/>
                <w14:textFill>
                  <w14:solidFill>
                    <w14:schemeClr w14:val="tx1"/>
                  </w14:solidFill>
                </w14:textFill>
              </w:rPr>
              <w:t>物料平衡</w:t>
            </w:r>
          </w:p>
          <w:p w14:paraId="736C293A">
            <w:pPr>
              <w:autoSpaceDE w:val="0"/>
              <w:autoSpaceDN w:val="0"/>
              <w:adjustRightInd w:val="0"/>
              <w:spacing w:line="360" w:lineRule="auto"/>
              <w:ind w:firstLine="482" w:firstLineChars="200"/>
              <w:rPr>
                <w:b/>
                <w:bCs/>
                <w:color w:val="000000" w:themeColor="text1"/>
                <w:sz w:val="24"/>
                <w:szCs w:val="32"/>
                <w14:textFill>
                  <w14:solidFill>
                    <w14:schemeClr w14:val="tx1"/>
                  </w14:solidFill>
                </w14:textFill>
              </w:rPr>
            </w:pPr>
            <w:r>
              <w:rPr>
                <w:b/>
                <w:bCs/>
                <w:color w:val="000000" w:themeColor="text1"/>
                <w:sz w:val="24"/>
                <w:szCs w:val="32"/>
                <w14:textFill>
                  <w14:solidFill>
                    <w14:schemeClr w14:val="tx1"/>
                  </w14:solidFill>
                </w14:textFill>
              </w:rPr>
              <w:t>项目物料平衡见</w:t>
            </w:r>
            <w:r>
              <w:rPr>
                <w:rFonts w:hint="eastAsia"/>
                <w:b/>
                <w:bCs/>
                <w:color w:val="000000" w:themeColor="text1"/>
                <w:sz w:val="24"/>
                <w:szCs w:val="32"/>
                <w14:textFill>
                  <w14:solidFill>
                    <w14:schemeClr w14:val="tx1"/>
                  </w14:solidFill>
                </w14:textFill>
              </w:rPr>
              <w:t>图2-4、</w:t>
            </w:r>
            <w:r>
              <w:rPr>
                <w:b/>
                <w:bCs/>
                <w:color w:val="000000" w:themeColor="text1"/>
                <w:sz w:val="24"/>
                <w:szCs w:val="32"/>
                <w14:textFill>
                  <w14:solidFill>
                    <w14:schemeClr w14:val="tx1"/>
                  </w14:solidFill>
                </w14:textFill>
              </w:rPr>
              <w:t>表</w:t>
            </w:r>
            <w:r>
              <w:rPr>
                <w:rFonts w:hint="eastAsia"/>
                <w:b/>
                <w:bCs/>
                <w:color w:val="000000" w:themeColor="text1"/>
                <w:sz w:val="24"/>
                <w:szCs w:val="32"/>
                <w14:textFill>
                  <w14:solidFill>
                    <w14:schemeClr w14:val="tx1"/>
                  </w14:solidFill>
                </w14:textFill>
              </w:rPr>
              <w:t>2-7</w:t>
            </w:r>
            <w:r>
              <w:rPr>
                <w:b/>
                <w:bCs/>
                <w:color w:val="000000" w:themeColor="text1"/>
                <w:sz w:val="24"/>
                <w:szCs w:val="32"/>
                <w14:textFill>
                  <w14:solidFill>
                    <w14:schemeClr w14:val="tx1"/>
                  </w14:solidFill>
                </w14:textFill>
              </w:rPr>
              <w:t>。</w:t>
            </w:r>
          </w:p>
          <w:p w14:paraId="177688A3">
            <w:pPr>
              <w:autoSpaceDE w:val="0"/>
              <w:autoSpaceDN w:val="0"/>
              <w:adjustRightInd w:val="0"/>
              <w:jc w:val="center"/>
              <w:rPr>
                <w:color w:val="000000" w:themeColor="text1"/>
                <w:sz w:val="24"/>
                <w14:textFill>
                  <w14:solidFill>
                    <w14:schemeClr w14:val="tx1"/>
                  </w14:solidFill>
                </w14:textFill>
              </w:rPr>
            </w:pPr>
            <w:r>
              <w:rPr>
                <w:b/>
                <w:bCs/>
                <w:color w:val="000000" w:themeColor="text1"/>
                <w:sz w:val="24"/>
                <w14:textFill>
                  <w14:solidFill>
                    <w14:schemeClr w14:val="tx1"/>
                  </w14:solidFill>
                </w14:textFill>
              </w:rPr>
              <w:t>表</w:t>
            </w:r>
            <w:r>
              <w:rPr>
                <w:rFonts w:hint="eastAsia"/>
                <w:b/>
                <w:bCs/>
                <w:color w:val="000000" w:themeColor="text1"/>
                <w:sz w:val="24"/>
                <w14:textFill>
                  <w14:solidFill>
                    <w14:schemeClr w14:val="tx1"/>
                  </w14:solidFill>
                </w14:textFill>
              </w:rPr>
              <w:t>2-7</w:t>
            </w:r>
            <w:r>
              <w:rPr>
                <w:b/>
                <w:bCs/>
                <w:color w:val="000000" w:themeColor="text1"/>
                <w:sz w:val="24"/>
                <w14:textFill>
                  <w14:solidFill>
                    <w14:schemeClr w14:val="tx1"/>
                  </w14:solidFill>
                </w14:textFill>
              </w:rPr>
              <w:t xml:space="preserve">  物料平衡表（单位：</w:t>
            </w:r>
            <w:r>
              <w:rPr>
                <w:rFonts w:hint="eastAsia"/>
                <w:b/>
                <w:bCs/>
                <w:color w:val="000000" w:themeColor="text1"/>
                <w:sz w:val="24"/>
                <w14:textFill>
                  <w14:solidFill>
                    <w14:schemeClr w14:val="tx1"/>
                  </w14:solidFill>
                </w14:textFill>
              </w:rPr>
              <w:t>t</w:t>
            </w:r>
            <w:r>
              <w:rPr>
                <w:b/>
                <w:bCs/>
                <w:color w:val="000000" w:themeColor="text1"/>
                <w:sz w:val="24"/>
                <w14:textFill>
                  <w14:solidFill>
                    <w14:schemeClr w14:val="tx1"/>
                  </w14:solidFill>
                </w14:textFill>
              </w:rPr>
              <w:t>/</w:t>
            </w:r>
            <w:r>
              <w:rPr>
                <w:rFonts w:hint="eastAsia"/>
                <w:b/>
                <w:bCs/>
                <w:color w:val="000000" w:themeColor="text1"/>
                <w:sz w:val="24"/>
                <w14:textFill>
                  <w14:solidFill>
                    <w14:schemeClr w14:val="tx1"/>
                  </w14:solidFill>
                </w14:textFill>
              </w:rPr>
              <w:t>a</w:t>
            </w:r>
            <w:r>
              <w:rPr>
                <w:b/>
                <w:bCs/>
                <w:color w:val="000000" w:themeColor="text1"/>
                <w:sz w:val="24"/>
                <w14:textFill>
                  <w14:solidFill>
                    <w14:schemeClr w14:val="tx1"/>
                  </w14:solidFill>
                </w14:textFill>
              </w:rPr>
              <w:t>）</w:t>
            </w:r>
          </w:p>
          <w:tbl>
            <w:tblPr>
              <w:tblStyle w:val="45"/>
              <w:tblW w:w="4997"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0" w:type="dxa"/>
                <w:bottom w:w="0" w:type="dxa"/>
                <w:right w:w="57" w:type="dxa"/>
              </w:tblCellMar>
            </w:tblPr>
            <w:tblGrid>
              <w:gridCol w:w="631"/>
              <w:gridCol w:w="999"/>
              <w:gridCol w:w="1425"/>
              <w:gridCol w:w="1319"/>
              <w:gridCol w:w="770"/>
              <w:gridCol w:w="103"/>
              <w:gridCol w:w="986"/>
              <w:gridCol w:w="1442"/>
              <w:gridCol w:w="1357"/>
            </w:tblGrid>
            <w:tr w14:paraId="474E5AE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57" w:type="dxa"/>
                </w:tblCellMar>
              </w:tblPrEx>
              <w:trPr>
                <w:trHeight w:val="57" w:hRule="atLeast"/>
              </w:trPr>
              <w:tc>
                <w:tcPr>
                  <w:tcW w:w="350" w:type="pct"/>
                  <w:vMerge w:val="restart"/>
                  <w:vAlign w:val="center"/>
                </w:tcPr>
                <w:p w14:paraId="3964A4B7">
                  <w:pPr>
                    <w:widowControl/>
                    <w:jc w:val="center"/>
                    <w:textAlignment w:val="center"/>
                    <w:rPr>
                      <w:b/>
                      <w:bCs/>
                      <w:color w:val="000000" w:themeColor="text1"/>
                      <w:kern w:val="0"/>
                      <w:sz w:val="18"/>
                      <w:szCs w:val="18"/>
                      <w:lang w:bidi="ar"/>
                      <w14:textFill>
                        <w14:solidFill>
                          <w14:schemeClr w14:val="tx1"/>
                        </w14:solidFill>
                      </w14:textFill>
                    </w:rPr>
                  </w:pPr>
                  <w:r>
                    <w:rPr>
                      <w:rFonts w:hint="eastAsia"/>
                      <w:b/>
                      <w:bCs/>
                      <w:color w:val="000000" w:themeColor="text1"/>
                      <w:kern w:val="0"/>
                      <w:sz w:val="18"/>
                      <w:szCs w:val="18"/>
                      <w:lang w:bidi="ar"/>
                      <w14:textFill>
                        <w14:solidFill>
                          <w14:schemeClr w14:val="tx1"/>
                        </w14:solidFill>
                      </w14:textFill>
                    </w:rPr>
                    <w:t>序号</w:t>
                  </w:r>
                </w:p>
              </w:tc>
              <w:tc>
                <w:tcPr>
                  <w:tcW w:w="2072" w:type="pct"/>
                  <w:gridSpan w:val="3"/>
                  <w:vAlign w:val="center"/>
                </w:tcPr>
                <w:p w14:paraId="650FCF9A">
                  <w:pPr>
                    <w:widowControl/>
                    <w:jc w:val="center"/>
                    <w:textAlignment w:val="center"/>
                    <w:rPr>
                      <w:b/>
                      <w:bCs/>
                      <w:color w:val="000000" w:themeColor="text1"/>
                      <w:kern w:val="0"/>
                      <w:sz w:val="18"/>
                      <w:szCs w:val="18"/>
                      <w:lang w:bidi="ar"/>
                      <w14:textFill>
                        <w14:solidFill>
                          <w14:schemeClr w14:val="tx1"/>
                        </w14:solidFill>
                      </w14:textFill>
                    </w:rPr>
                  </w:pPr>
                  <w:r>
                    <w:rPr>
                      <w:rFonts w:hint="eastAsia"/>
                      <w:b/>
                      <w:bCs/>
                      <w:color w:val="000000" w:themeColor="text1"/>
                      <w:kern w:val="0"/>
                      <w:sz w:val="18"/>
                      <w:szCs w:val="18"/>
                      <w:lang w:bidi="ar"/>
                      <w14:textFill>
                        <w14:solidFill>
                          <w14:schemeClr w14:val="tx1"/>
                        </w14:solidFill>
                      </w14:textFill>
                    </w:rPr>
                    <w:t>入方</w:t>
                  </w:r>
                </w:p>
              </w:tc>
              <w:tc>
                <w:tcPr>
                  <w:tcW w:w="2578" w:type="pct"/>
                  <w:gridSpan w:val="5"/>
                  <w:vAlign w:val="center"/>
                </w:tcPr>
                <w:p w14:paraId="2A9C3FF5">
                  <w:pPr>
                    <w:widowControl/>
                    <w:jc w:val="center"/>
                    <w:textAlignment w:val="center"/>
                    <w:rPr>
                      <w:b/>
                      <w:bCs/>
                      <w:color w:val="000000" w:themeColor="text1"/>
                      <w:kern w:val="0"/>
                      <w:sz w:val="18"/>
                      <w:szCs w:val="18"/>
                      <w:lang w:bidi="ar"/>
                      <w14:textFill>
                        <w14:solidFill>
                          <w14:schemeClr w14:val="tx1"/>
                        </w14:solidFill>
                      </w14:textFill>
                    </w:rPr>
                  </w:pPr>
                  <w:r>
                    <w:rPr>
                      <w:rFonts w:hint="eastAsia"/>
                      <w:b/>
                      <w:bCs/>
                      <w:color w:val="000000" w:themeColor="text1"/>
                      <w:kern w:val="0"/>
                      <w:sz w:val="18"/>
                      <w:szCs w:val="18"/>
                      <w:lang w:bidi="ar"/>
                      <w14:textFill>
                        <w14:solidFill>
                          <w14:schemeClr w14:val="tx1"/>
                        </w14:solidFill>
                      </w14:textFill>
                    </w:rPr>
                    <w:t>出方</w:t>
                  </w:r>
                </w:p>
              </w:tc>
            </w:tr>
            <w:tr w14:paraId="188E9FB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57" w:type="dxa"/>
                </w:tblCellMar>
              </w:tblPrEx>
              <w:trPr>
                <w:trHeight w:val="57" w:hRule="atLeast"/>
              </w:trPr>
              <w:tc>
                <w:tcPr>
                  <w:tcW w:w="350" w:type="pct"/>
                  <w:vMerge w:val="continue"/>
                  <w:vAlign w:val="center"/>
                </w:tcPr>
                <w:p w14:paraId="2401C235">
                  <w:pPr>
                    <w:widowControl/>
                    <w:jc w:val="center"/>
                    <w:textAlignment w:val="center"/>
                    <w:rPr>
                      <w:b/>
                      <w:bCs/>
                      <w:color w:val="000000" w:themeColor="text1"/>
                      <w:kern w:val="0"/>
                      <w:sz w:val="18"/>
                      <w:szCs w:val="18"/>
                      <w:lang w:bidi="ar"/>
                      <w14:textFill>
                        <w14:solidFill>
                          <w14:schemeClr w14:val="tx1"/>
                        </w14:solidFill>
                      </w14:textFill>
                    </w:rPr>
                  </w:pPr>
                </w:p>
              </w:tc>
              <w:tc>
                <w:tcPr>
                  <w:tcW w:w="553" w:type="pct"/>
                  <w:vAlign w:val="center"/>
                </w:tcPr>
                <w:p w14:paraId="72843BE0">
                  <w:pPr>
                    <w:widowControl/>
                    <w:jc w:val="center"/>
                    <w:textAlignment w:val="center"/>
                    <w:rPr>
                      <w:b/>
                      <w:bCs/>
                      <w:color w:val="000000" w:themeColor="text1"/>
                      <w:kern w:val="0"/>
                      <w:sz w:val="18"/>
                      <w:szCs w:val="18"/>
                      <w:lang w:bidi="ar"/>
                      <w14:textFill>
                        <w14:solidFill>
                          <w14:schemeClr w14:val="tx1"/>
                        </w14:solidFill>
                      </w14:textFill>
                    </w:rPr>
                  </w:pPr>
                  <w:r>
                    <w:rPr>
                      <w:rFonts w:hint="eastAsia"/>
                      <w:b/>
                      <w:bCs/>
                      <w:color w:val="000000" w:themeColor="text1"/>
                      <w:kern w:val="0"/>
                      <w:sz w:val="18"/>
                      <w:szCs w:val="18"/>
                      <w:lang w:bidi="ar"/>
                      <w14:textFill>
                        <w14:solidFill>
                          <w14:schemeClr w14:val="tx1"/>
                        </w14:solidFill>
                      </w14:textFill>
                    </w:rPr>
                    <w:t>物料名称</w:t>
                  </w:r>
                </w:p>
              </w:tc>
              <w:tc>
                <w:tcPr>
                  <w:tcW w:w="789" w:type="pct"/>
                  <w:vAlign w:val="center"/>
                </w:tcPr>
                <w:p w14:paraId="55F9EB4C">
                  <w:pPr>
                    <w:widowControl/>
                    <w:jc w:val="center"/>
                    <w:textAlignment w:val="center"/>
                    <w:rPr>
                      <w:b/>
                      <w:bCs/>
                      <w:color w:val="000000" w:themeColor="text1"/>
                      <w:kern w:val="0"/>
                      <w:sz w:val="18"/>
                      <w:szCs w:val="18"/>
                      <w:lang w:bidi="ar"/>
                      <w14:textFill>
                        <w14:solidFill>
                          <w14:schemeClr w14:val="tx1"/>
                        </w14:solidFill>
                      </w14:textFill>
                    </w:rPr>
                  </w:pPr>
                  <w:r>
                    <w:rPr>
                      <w:rFonts w:hint="eastAsia"/>
                      <w:b/>
                      <w:bCs/>
                      <w:color w:val="000000" w:themeColor="text1"/>
                      <w:kern w:val="0"/>
                      <w:sz w:val="18"/>
                      <w:szCs w:val="18"/>
                      <w:lang w:bidi="ar"/>
                      <w14:textFill>
                        <w14:solidFill>
                          <w14:schemeClr w14:val="tx1"/>
                        </w14:solidFill>
                      </w14:textFill>
                    </w:rPr>
                    <w:t>物料数量</w:t>
                  </w:r>
                </w:p>
              </w:tc>
              <w:tc>
                <w:tcPr>
                  <w:tcW w:w="730" w:type="pct"/>
                  <w:vAlign w:val="center"/>
                </w:tcPr>
                <w:p w14:paraId="6FC4A43D">
                  <w:pPr>
                    <w:widowControl/>
                    <w:jc w:val="center"/>
                    <w:textAlignment w:val="center"/>
                    <w:rPr>
                      <w:b/>
                      <w:bCs/>
                      <w:color w:val="000000" w:themeColor="text1"/>
                      <w:kern w:val="0"/>
                      <w:sz w:val="18"/>
                      <w:szCs w:val="18"/>
                      <w:lang w:bidi="ar"/>
                      <w14:textFill>
                        <w14:solidFill>
                          <w14:schemeClr w14:val="tx1"/>
                        </w14:solidFill>
                      </w14:textFill>
                    </w:rPr>
                  </w:pPr>
                  <w:r>
                    <w:rPr>
                      <w:rFonts w:hint="eastAsia"/>
                      <w:b/>
                      <w:bCs/>
                      <w:color w:val="000000" w:themeColor="text1"/>
                      <w:kern w:val="0"/>
                      <w:sz w:val="18"/>
                      <w:szCs w:val="18"/>
                      <w:lang w:bidi="ar"/>
                      <w14:textFill>
                        <w14:solidFill>
                          <w14:schemeClr w14:val="tx1"/>
                        </w14:solidFill>
                      </w14:textFill>
                    </w:rPr>
                    <w:t>含水量</w:t>
                  </w:r>
                </w:p>
              </w:tc>
              <w:tc>
                <w:tcPr>
                  <w:tcW w:w="1029" w:type="pct"/>
                  <w:gridSpan w:val="3"/>
                  <w:vAlign w:val="center"/>
                </w:tcPr>
                <w:p w14:paraId="65DDABFF">
                  <w:pPr>
                    <w:widowControl/>
                    <w:jc w:val="center"/>
                    <w:textAlignment w:val="center"/>
                    <w:rPr>
                      <w:b/>
                      <w:bCs/>
                      <w:color w:val="000000" w:themeColor="text1"/>
                      <w:kern w:val="0"/>
                      <w:sz w:val="18"/>
                      <w:szCs w:val="18"/>
                      <w:lang w:bidi="ar"/>
                      <w14:textFill>
                        <w14:solidFill>
                          <w14:schemeClr w14:val="tx1"/>
                        </w14:solidFill>
                      </w14:textFill>
                    </w:rPr>
                  </w:pPr>
                  <w:r>
                    <w:rPr>
                      <w:rFonts w:hint="eastAsia"/>
                      <w:b/>
                      <w:bCs/>
                      <w:color w:val="000000" w:themeColor="text1"/>
                      <w:kern w:val="0"/>
                      <w:sz w:val="18"/>
                      <w:szCs w:val="18"/>
                      <w:lang w:bidi="ar"/>
                      <w14:textFill>
                        <w14:solidFill>
                          <w14:schemeClr w14:val="tx1"/>
                        </w14:solidFill>
                      </w14:textFill>
                    </w:rPr>
                    <w:t>物料名称</w:t>
                  </w:r>
                </w:p>
              </w:tc>
              <w:tc>
                <w:tcPr>
                  <w:tcW w:w="798" w:type="pct"/>
                  <w:vAlign w:val="center"/>
                </w:tcPr>
                <w:p w14:paraId="041C4EF3">
                  <w:pPr>
                    <w:widowControl/>
                    <w:jc w:val="center"/>
                    <w:textAlignment w:val="center"/>
                    <w:rPr>
                      <w:b/>
                      <w:bCs/>
                      <w:color w:val="000000" w:themeColor="text1"/>
                      <w:kern w:val="0"/>
                      <w:sz w:val="18"/>
                      <w:szCs w:val="18"/>
                      <w:lang w:bidi="ar"/>
                      <w14:textFill>
                        <w14:solidFill>
                          <w14:schemeClr w14:val="tx1"/>
                        </w14:solidFill>
                      </w14:textFill>
                    </w:rPr>
                  </w:pPr>
                  <w:r>
                    <w:rPr>
                      <w:rFonts w:hint="eastAsia"/>
                      <w:b/>
                      <w:bCs/>
                      <w:color w:val="000000" w:themeColor="text1"/>
                      <w:kern w:val="0"/>
                      <w:sz w:val="18"/>
                      <w:szCs w:val="18"/>
                      <w:lang w:bidi="ar"/>
                      <w14:textFill>
                        <w14:solidFill>
                          <w14:schemeClr w14:val="tx1"/>
                        </w14:solidFill>
                      </w14:textFill>
                    </w:rPr>
                    <w:t>数量</w:t>
                  </w:r>
                </w:p>
              </w:tc>
              <w:tc>
                <w:tcPr>
                  <w:tcW w:w="751" w:type="pct"/>
                  <w:noWrap/>
                  <w:vAlign w:val="center"/>
                </w:tcPr>
                <w:p w14:paraId="4D0D76AD">
                  <w:pPr>
                    <w:widowControl/>
                    <w:jc w:val="center"/>
                    <w:textAlignment w:val="center"/>
                    <w:rPr>
                      <w:b/>
                      <w:bCs/>
                      <w:color w:val="000000" w:themeColor="text1"/>
                      <w:kern w:val="0"/>
                      <w:sz w:val="18"/>
                      <w:szCs w:val="18"/>
                      <w:lang w:bidi="ar"/>
                      <w14:textFill>
                        <w14:solidFill>
                          <w14:schemeClr w14:val="tx1"/>
                        </w14:solidFill>
                      </w14:textFill>
                    </w:rPr>
                  </w:pPr>
                  <w:r>
                    <w:rPr>
                      <w:rFonts w:hint="eastAsia"/>
                      <w:b/>
                      <w:bCs/>
                      <w:color w:val="000000" w:themeColor="text1"/>
                      <w:kern w:val="0"/>
                      <w:sz w:val="18"/>
                      <w:szCs w:val="18"/>
                      <w:lang w:bidi="ar"/>
                      <w14:textFill>
                        <w14:solidFill>
                          <w14:schemeClr w14:val="tx1"/>
                        </w14:solidFill>
                      </w14:textFill>
                    </w:rPr>
                    <w:t>含水量</w:t>
                  </w:r>
                </w:p>
              </w:tc>
            </w:tr>
            <w:tr w14:paraId="6672873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57" w:type="dxa"/>
                </w:tblCellMar>
              </w:tblPrEx>
              <w:trPr>
                <w:trHeight w:val="57" w:hRule="atLeast"/>
              </w:trPr>
              <w:tc>
                <w:tcPr>
                  <w:tcW w:w="350" w:type="pct"/>
                  <w:vAlign w:val="center"/>
                </w:tcPr>
                <w:p w14:paraId="32930E25">
                  <w:pPr>
                    <w:widowControl/>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1</w:t>
                  </w:r>
                </w:p>
              </w:tc>
              <w:tc>
                <w:tcPr>
                  <w:tcW w:w="553" w:type="pct"/>
                  <w:vAlign w:val="center"/>
                </w:tcPr>
                <w:p w14:paraId="4E927E47">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sz w:val="18"/>
                      <w:szCs w:val="18"/>
                      <w14:textFill>
                        <w14:solidFill>
                          <w14:schemeClr w14:val="tx1"/>
                        </w14:solidFill>
                      </w14:textFill>
                    </w:rPr>
                    <w:t>毛石</w:t>
                  </w:r>
                </w:p>
              </w:tc>
              <w:tc>
                <w:tcPr>
                  <w:tcW w:w="789" w:type="pct"/>
                  <w:vAlign w:val="center"/>
                </w:tcPr>
                <w:p w14:paraId="650345A7">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sz w:val="18"/>
                      <w:szCs w:val="18"/>
                      <w14:textFill>
                        <w14:solidFill>
                          <w14:schemeClr w14:val="tx1"/>
                        </w14:solidFill>
                      </w14:textFill>
                    </w:rPr>
                    <w:t>887200</w:t>
                  </w:r>
                </w:p>
              </w:tc>
              <w:tc>
                <w:tcPr>
                  <w:tcW w:w="730" w:type="pct"/>
                  <w:vAlign w:val="center"/>
                </w:tcPr>
                <w:p w14:paraId="49940C08">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0</w:t>
                  </w:r>
                </w:p>
              </w:tc>
              <w:tc>
                <w:tcPr>
                  <w:tcW w:w="483" w:type="pct"/>
                  <w:gridSpan w:val="2"/>
                  <w:vAlign w:val="center"/>
                </w:tcPr>
                <w:p w14:paraId="4F9E6C1E">
                  <w:pPr>
                    <w:widowControl/>
                    <w:jc w:val="center"/>
                    <w:textAlignment w:val="center"/>
                    <w:rPr>
                      <w:color w:val="000000" w:themeColor="text1"/>
                      <w:kern w:val="0"/>
                      <w:sz w:val="18"/>
                      <w:szCs w:val="18"/>
                      <w:lang w:bidi="ar"/>
                      <w14:textFill>
                        <w14:solidFill>
                          <w14:schemeClr w14:val="tx1"/>
                        </w14:solidFill>
                      </w14:textFill>
                    </w:rPr>
                  </w:pPr>
                  <w:r>
                    <w:rPr>
                      <w:rFonts w:hint="eastAsia" w:ascii="宋体" w:hAnsi="宋体" w:cs="宋体"/>
                      <w:color w:val="000000" w:themeColor="text1"/>
                      <w:kern w:val="0"/>
                      <w:sz w:val="18"/>
                      <w:szCs w:val="18"/>
                      <w:lang w:bidi="ar"/>
                      <w14:textFill>
                        <w14:solidFill>
                          <w14:schemeClr w14:val="tx1"/>
                        </w14:solidFill>
                      </w14:textFill>
                    </w:rPr>
                    <w:t>产品</w:t>
                  </w:r>
                </w:p>
              </w:tc>
              <w:tc>
                <w:tcPr>
                  <w:tcW w:w="546" w:type="pct"/>
                  <w:vAlign w:val="center"/>
                </w:tcPr>
                <w:p w14:paraId="0BA6933E">
                  <w:pPr>
                    <w:widowControl/>
                    <w:jc w:val="center"/>
                    <w:textAlignment w:val="center"/>
                    <w:rPr>
                      <w:color w:val="000000" w:themeColor="text1"/>
                      <w:kern w:val="0"/>
                      <w:sz w:val="18"/>
                      <w:szCs w:val="18"/>
                      <w:lang w:bidi="ar"/>
                      <w14:textFill>
                        <w14:solidFill>
                          <w14:schemeClr w14:val="tx1"/>
                        </w14:solidFill>
                      </w14:textFill>
                    </w:rPr>
                  </w:pPr>
                  <w:r>
                    <w:rPr>
                      <w:rFonts w:hint="eastAsia" w:ascii="宋体" w:hAnsi="宋体" w:cs="宋体"/>
                      <w:color w:val="000000" w:themeColor="text1"/>
                      <w:kern w:val="0"/>
                      <w:sz w:val="18"/>
                      <w:szCs w:val="18"/>
                      <w:lang w:bidi="ar"/>
                      <w14:textFill>
                        <w14:solidFill>
                          <w14:schemeClr w14:val="tx1"/>
                        </w14:solidFill>
                      </w14:textFill>
                    </w:rPr>
                    <w:t>水稳料</w:t>
                  </w:r>
                </w:p>
              </w:tc>
              <w:tc>
                <w:tcPr>
                  <w:tcW w:w="798" w:type="pct"/>
                  <w:vAlign w:val="center"/>
                </w:tcPr>
                <w:p w14:paraId="106B6AEC">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1000000</w:t>
                  </w:r>
                </w:p>
              </w:tc>
              <w:tc>
                <w:tcPr>
                  <w:tcW w:w="751" w:type="pct"/>
                  <w:noWrap/>
                  <w:vAlign w:val="center"/>
                </w:tcPr>
                <w:p w14:paraId="03F19876">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70</w:t>
                  </w:r>
                  <w:r>
                    <w:rPr>
                      <w:color w:val="000000" w:themeColor="text1"/>
                      <w:kern w:val="0"/>
                      <w:sz w:val="18"/>
                      <w:szCs w:val="18"/>
                      <w:lang w:bidi="ar"/>
                      <w14:textFill>
                        <w14:solidFill>
                          <w14:schemeClr w14:val="tx1"/>
                        </w14:solidFill>
                      </w14:textFill>
                    </w:rPr>
                    <w:t>000</w:t>
                  </w:r>
                </w:p>
              </w:tc>
            </w:tr>
            <w:tr w14:paraId="0894B9C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57" w:type="dxa"/>
                </w:tblCellMar>
              </w:tblPrEx>
              <w:trPr>
                <w:trHeight w:val="213" w:hRule="atLeast"/>
              </w:trPr>
              <w:tc>
                <w:tcPr>
                  <w:tcW w:w="350" w:type="pct"/>
                  <w:vAlign w:val="center"/>
                </w:tcPr>
                <w:p w14:paraId="52BAF49E">
                  <w:pPr>
                    <w:widowControl/>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2</w:t>
                  </w:r>
                </w:p>
              </w:tc>
              <w:tc>
                <w:tcPr>
                  <w:tcW w:w="553" w:type="pct"/>
                  <w:vAlign w:val="center"/>
                </w:tcPr>
                <w:p w14:paraId="694739D9">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sz w:val="18"/>
                      <w:szCs w:val="18"/>
                      <w14:textFill>
                        <w14:solidFill>
                          <w14:schemeClr w14:val="tx1"/>
                        </w14:solidFill>
                      </w14:textFill>
                    </w:rPr>
                    <w:t>水泥</w:t>
                  </w:r>
                </w:p>
              </w:tc>
              <w:tc>
                <w:tcPr>
                  <w:tcW w:w="789" w:type="pct"/>
                  <w:vAlign w:val="center"/>
                </w:tcPr>
                <w:p w14:paraId="6C831B9C">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sz w:val="18"/>
                      <w:szCs w:val="18"/>
                      <w14:textFill>
                        <w14:solidFill>
                          <w14:schemeClr w14:val="tx1"/>
                        </w14:solidFill>
                      </w14:textFill>
                    </w:rPr>
                    <w:t>50000</w:t>
                  </w:r>
                </w:p>
              </w:tc>
              <w:tc>
                <w:tcPr>
                  <w:tcW w:w="730" w:type="pct"/>
                  <w:vAlign w:val="center"/>
                </w:tcPr>
                <w:p w14:paraId="7CC73172">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0</w:t>
                  </w:r>
                </w:p>
              </w:tc>
              <w:tc>
                <w:tcPr>
                  <w:tcW w:w="483" w:type="pct"/>
                  <w:gridSpan w:val="2"/>
                  <w:vAlign w:val="center"/>
                </w:tcPr>
                <w:p w14:paraId="00C0D356">
                  <w:pPr>
                    <w:widowControl/>
                    <w:jc w:val="center"/>
                    <w:textAlignment w:val="center"/>
                    <w:rPr>
                      <w:color w:val="000000" w:themeColor="text1"/>
                      <w:kern w:val="0"/>
                      <w:sz w:val="18"/>
                      <w:szCs w:val="18"/>
                      <w:lang w:bidi="ar"/>
                      <w14:textFill>
                        <w14:solidFill>
                          <w14:schemeClr w14:val="tx1"/>
                        </w14:solidFill>
                      </w14:textFill>
                    </w:rPr>
                  </w:pPr>
                  <w:r>
                    <w:rPr>
                      <w:rFonts w:hint="eastAsia" w:ascii="宋体" w:hAnsi="宋体" w:cs="宋体"/>
                      <w:color w:val="000000" w:themeColor="text1"/>
                      <w:kern w:val="0"/>
                      <w:sz w:val="18"/>
                      <w:szCs w:val="18"/>
                      <w:lang w:bidi="ar"/>
                      <w14:textFill>
                        <w14:solidFill>
                          <w14:schemeClr w14:val="tx1"/>
                        </w14:solidFill>
                      </w14:textFill>
                    </w:rPr>
                    <w:t>废气</w:t>
                  </w:r>
                </w:p>
              </w:tc>
              <w:tc>
                <w:tcPr>
                  <w:tcW w:w="546" w:type="pct"/>
                  <w:vAlign w:val="center"/>
                </w:tcPr>
                <w:p w14:paraId="00783388">
                  <w:pPr>
                    <w:widowControl/>
                    <w:jc w:val="center"/>
                    <w:textAlignment w:val="center"/>
                    <w:rPr>
                      <w:color w:val="000000" w:themeColor="text1"/>
                      <w:kern w:val="0"/>
                      <w:sz w:val="18"/>
                      <w:szCs w:val="18"/>
                      <w:lang w:bidi="ar"/>
                      <w14:textFill>
                        <w14:solidFill>
                          <w14:schemeClr w14:val="tx1"/>
                        </w14:solidFill>
                      </w14:textFill>
                    </w:rPr>
                  </w:pPr>
                  <w:r>
                    <w:rPr>
                      <w:rFonts w:hint="eastAsia" w:ascii="宋体" w:hAnsi="宋体" w:cs="宋体"/>
                      <w:color w:val="000000" w:themeColor="text1"/>
                      <w:kern w:val="0"/>
                      <w:sz w:val="18"/>
                      <w:szCs w:val="18"/>
                      <w:lang w:bidi="ar"/>
                      <w14:textFill>
                        <w14:solidFill>
                          <w14:schemeClr w14:val="tx1"/>
                        </w14:solidFill>
                      </w14:textFill>
                    </w:rPr>
                    <w:t>粉尘</w:t>
                  </w:r>
                </w:p>
              </w:tc>
              <w:tc>
                <w:tcPr>
                  <w:tcW w:w="798" w:type="pct"/>
                  <w:vAlign w:val="center"/>
                </w:tcPr>
                <w:p w14:paraId="1E5D9F1C">
                  <w:pPr>
                    <w:widowControl/>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3.737</w:t>
                  </w:r>
                </w:p>
              </w:tc>
              <w:tc>
                <w:tcPr>
                  <w:tcW w:w="751" w:type="pct"/>
                  <w:noWrap/>
                  <w:vAlign w:val="center"/>
                </w:tcPr>
                <w:p w14:paraId="08ADA4B7">
                  <w:pPr>
                    <w:widowControl/>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w:t>
                  </w:r>
                </w:p>
              </w:tc>
            </w:tr>
            <w:tr w14:paraId="426F723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57" w:type="dxa"/>
                </w:tblCellMar>
              </w:tblPrEx>
              <w:trPr>
                <w:trHeight w:val="57" w:hRule="atLeast"/>
              </w:trPr>
              <w:tc>
                <w:tcPr>
                  <w:tcW w:w="350" w:type="pct"/>
                  <w:vAlign w:val="center"/>
                </w:tcPr>
                <w:p w14:paraId="4CA755A7">
                  <w:pPr>
                    <w:widowControl/>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3</w:t>
                  </w:r>
                </w:p>
              </w:tc>
              <w:tc>
                <w:tcPr>
                  <w:tcW w:w="553" w:type="pct"/>
                  <w:vAlign w:val="center"/>
                </w:tcPr>
                <w:p w14:paraId="4A8DC7C3">
                  <w:pPr>
                    <w:widowControl/>
                    <w:jc w:val="center"/>
                    <w:textAlignment w:val="center"/>
                    <w:rPr>
                      <w:color w:val="000000" w:themeColor="text1"/>
                      <w:kern w:val="0"/>
                      <w:sz w:val="18"/>
                      <w:szCs w:val="18"/>
                      <w:lang w:bidi="ar"/>
                      <w14:textFill>
                        <w14:solidFill>
                          <w14:schemeClr w14:val="tx1"/>
                        </w14:solidFill>
                      </w14:textFill>
                    </w:rPr>
                  </w:pPr>
                  <w:r>
                    <w:rPr>
                      <w:rFonts w:hint="eastAsia" w:ascii="宋体" w:hAnsi="宋体" w:cs="宋体"/>
                      <w:color w:val="000000" w:themeColor="text1"/>
                      <w:kern w:val="0"/>
                      <w:sz w:val="18"/>
                      <w:szCs w:val="18"/>
                      <w:lang w:bidi="ar"/>
                      <w14:textFill>
                        <w14:solidFill>
                          <w14:schemeClr w14:val="tx1"/>
                        </w14:solidFill>
                      </w14:textFill>
                    </w:rPr>
                    <w:t>新鲜水</w:t>
                  </w:r>
                </w:p>
              </w:tc>
              <w:tc>
                <w:tcPr>
                  <w:tcW w:w="789" w:type="pct"/>
                  <w:vAlign w:val="center"/>
                </w:tcPr>
                <w:p w14:paraId="3C356F23">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98288</w:t>
                  </w:r>
                </w:p>
              </w:tc>
              <w:tc>
                <w:tcPr>
                  <w:tcW w:w="730" w:type="pct"/>
                  <w:vAlign w:val="center"/>
                </w:tcPr>
                <w:p w14:paraId="68F56FBF">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98288</w:t>
                  </w:r>
                </w:p>
              </w:tc>
              <w:tc>
                <w:tcPr>
                  <w:tcW w:w="483" w:type="pct"/>
                  <w:gridSpan w:val="2"/>
                  <w:vAlign w:val="center"/>
                </w:tcPr>
                <w:p w14:paraId="2ACCF104">
                  <w:pPr>
                    <w:widowControl/>
                    <w:jc w:val="center"/>
                    <w:textAlignment w:val="center"/>
                    <w:rPr>
                      <w:color w:val="000000" w:themeColor="text1"/>
                      <w:kern w:val="0"/>
                      <w:sz w:val="18"/>
                      <w:szCs w:val="18"/>
                      <w:lang w:bidi="ar"/>
                      <w14:textFill>
                        <w14:solidFill>
                          <w14:schemeClr w14:val="tx1"/>
                        </w14:solidFill>
                      </w14:textFill>
                    </w:rPr>
                  </w:pPr>
                  <w:r>
                    <w:rPr>
                      <w:rFonts w:hint="eastAsia" w:ascii="宋体" w:hAnsi="宋体" w:cs="宋体"/>
                      <w:color w:val="000000" w:themeColor="text1"/>
                      <w:kern w:val="0"/>
                      <w:sz w:val="18"/>
                      <w:szCs w:val="18"/>
                      <w:lang w:bidi="ar"/>
                      <w14:textFill>
                        <w14:solidFill>
                          <w14:schemeClr w14:val="tx1"/>
                        </w14:solidFill>
                      </w14:textFill>
                    </w:rPr>
                    <w:t>固体废物</w:t>
                  </w:r>
                </w:p>
              </w:tc>
              <w:tc>
                <w:tcPr>
                  <w:tcW w:w="546" w:type="pct"/>
                  <w:vAlign w:val="center"/>
                </w:tcPr>
                <w:p w14:paraId="1346FF3F">
                  <w:pPr>
                    <w:widowControl/>
                    <w:jc w:val="center"/>
                    <w:textAlignment w:val="center"/>
                    <w:rPr>
                      <w:color w:val="000000" w:themeColor="text1"/>
                      <w:kern w:val="0"/>
                      <w:sz w:val="18"/>
                      <w:szCs w:val="18"/>
                      <w:lang w:bidi="ar"/>
                      <w14:textFill>
                        <w14:solidFill>
                          <w14:schemeClr w14:val="tx1"/>
                        </w14:solidFill>
                      </w14:textFill>
                    </w:rPr>
                  </w:pPr>
                  <w:r>
                    <w:rPr>
                      <w:rFonts w:hint="eastAsia" w:ascii="宋体" w:hAnsi="宋体" w:cs="宋体"/>
                      <w:color w:val="000000" w:themeColor="text1"/>
                      <w:kern w:val="0"/>
                      <w:sz w:val="18"/>
                      <w:szCs w:val="18"/>
                      <w:lang w:bidi="ar"/>
                      <w14:textFill>
                        <w14:solidFill>
                          <w14:schemeClr w14:val="tx1"/>
                        </w14:solidFill>
                      </w14:textFill>
                    </w:rPr>
                    <w:t>压滤泥渣</w:t>
                  </w:r>
                </w:p>
              </w:tc>
              <w:tc>
                <w:tcPr>
                  <w:tcW w:w="798" w:type="pct"/>
                  <w:vAlign w:val="center"/>
                </w:tcPr>
                <w:p w14:paraId="25BAD0BB">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17988.263</w:t>
                  </w:r>
                </w:p>
              </w:tc>
              <w:tc>
                <w:tcPr>
                  <w:tcW w:w="751" w:type="pct"/>
                  <w:noWrap/>
                  <w:vAlign w:val="center"/>
                </w:tcPr>
                <w:p w14:paraId="0AE65C4B">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10792</w:t>
                  </w:r>
                </w:p>
              </w:tc>
            </w:tr>
            <w:tr w14:paraId="35EB5E3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57" w:type="dxa"/>
                </w:tblCellMar>
              </w:tblPrEx>
              <w:trPr>
                <w:trHeight w:val="57" w:hRule="atLeast"/>
              </w:trPr>
              <w:tc>
                <w:tcPr>
                  <w:tcW w:w="350" w:type="pct"/>
                  <w:vAlign w:val="center"/>
                </w:tcPr>
                <w:p w14:paraId="487DF1C3">
                  <w:pPr>
                    <w:widowControl/>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4</w:t>
                  </w:r>
                </w:p>
              </w:tc>
              <w:tc>
                <w:tcPr>
                  <w:tcW w:w="553" w:type="pct"/>
                  <w:vAlign w:val="center"/>
                </w:tcPr>
                <w:p w14:paraId="22B0A5C0">
                  <w:pPr>
                    <w:jc w:val="center"/>
                    <w:rPr>
                      <w:color w:val="000000" w:themeColor="text1"/>
                      <w:kern w:val="0"/>
                      <w:sz w:val="18"/>
                      <w:szCs w:val="18"/>
                      <w:lang w:bidi="ar"/>
                      <w14:textFill>
                        <w14:solidFill>
                          <w14:schemeClr w14:val="tx1"/>
                        </w14:solidFill>
                      </w14:textFill>
                    </w:rPr>
                  </w:pPr>
                  <w:r>
                    <w:rPr>
                      <w:rFonts w:hint="eastAsia" w:ascii="宋体" w:hAnsi="宋体" w:cs="宋体"/>
                      <w:color w:val="000000" w:themeColor="text1"/>
                      <w:kern w:val="0"/>
                      <w:sz w:val="18"/>
                      <w:szCs w:val="18"/>
                      <w:lang w:bidi="ar"/>
                      <w14:textFill>
                        <w14:solidFill>
                          <w14:schemeClr w14:val="tx1"/>
                        </w14:solidFill>
                      </w14:textFill>
                    </w:rPr>
                    <w:t>回用水</w:t>
                  </w:r>
                </w:p>
              </w:tc>
              <w:tc>
                <w:tcPr>
                  <w:tcW w:w="789" w:type="pct"/>
                  <w:vAlign w:val="center"/>
                </w:tcPr>
                <w:p w14:paraId="6DD37D68">
                  <w:pPr>
                    <w:jc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831492</w:t>
                  </w:r>
                </w:p>
              </w:tc>
              <w:tc>
                <w:tcPr>
                  <w:tcW w:w="730" w:type="pct"/>
                  <w:vAlign w:val="center"/>
                </w:tcPr>
                <w:p w14:paraId="657EE3A2">
                  <w:pPr>
                    <w:jc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831492</w:t>
                  </w:r>
                </w:p>
              </w:tc>
              <w:tc>
                <w:tcPr>
                  <w:tcW w:w="426" w:type="pct"/>
                  <w:vMerge w:val="restart"/>
                  <w:vAlign w:val="center"/>
                </w:tcPr>
                <w:p w14:paraId="4FEFAA92">
                  <w:pPr>
                    <w:widowControl/>
                    <w:jc w:val="center"/>
                    <w:textAlignment w:val="center"/>
                    <w:rPr>
                      <w:color w:val="000000" w:themeColor="text1"/>
                      <w:kern w:val="0"/>
                      <w:sz w:val="18"/>
                      <w:szCs w:val="18"/>
                      <w:lang w:bidi="ar"/>
                      <w14:textFill>
                        <w14:solidFill>
                          <w14:schemeClr w14:val="tx1"/>
                        </w14:solidFill>
                      </w14:textFill>
                    </w:rPr>
                  </w:pPr>
                  <w:r>
                    <w:rPr>
                      <w:rFonts w:hint="eastAsia" w:ascii="宋体" w:hAnsi="宋体" w:cs="宋体"/>
                      <w:color w:val="000000" w:themeColor="text1"/>
                      <w:kern w:val="0"/>
                      <w:sz w:val="18"/>
                      <w:szCs w:val="18"/>
                      <w:lang w:bidi="ar"/>
                      <w14:textFill>
                        <w14:solidFill>
                          <w14:schemeClr w14:val="tx1"/>
                        </w14:solidFill>
                      </w14:textFill>
                    </w:rPr>
                    <w:t>损耗</w:t>
                  </w:r>
                </w:p>
              </w:tc>
              <w:tc>
                <w:tcPr>
                  <w:tcW w:w="603" w:type="pct"/>
                  <w:gridSpan w:val="2"/>
                  <w:vAlign w:val="center"/>
                </w:tcPr>
                <w:p w14:paraId="386F9262">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过水池</w:t>
                  </w:r>
                </w:p>
              </w:tc>
              <w:tc>
                <w:tcPr>
                  <w:tcW w:w="798" w:type="pct"/>
                  <w:vAlign w:val="center"/>
                </w:tcPr>
                <w:p w14:paraId="2B4F904C">
                  <w:pPr>
                    <w:widowControl/>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1</w:t>
                  </w:r>
                  <w:r>
                    <w:rPr>
                      <w:rFonts w:hint="eastAsia"/>
                      <w:color w:val="000000" w:themeColor="text1"/>
                      <w:kern w:val="0"/>
                      <w:sz w:val="18"/>
                      <w:szCs w:val="18"/>
                      <w:lang w:bidi="ar"/>
                      <w14:textFill>
                        <w14:solidFill>
                          <w14:schemeClr w14:val="tx1"/>
                        </w14:solidFill>
                      </w14:textFill>
                    </w:rPr>
                    <w:t>7744</w:t>
                  </w:r>
                </w:p>
              </w:tc>
              <w:tc>
                <w:tcPr>
                  <w:tcW w:w="751" w:type="pct"/>
                  <w:noWrap/>
                  <w:vAlign w:val="center"/>
                </w:tcPr>
                <w:p w14:paraId="265F6D28">
                  <w:pPr>
                    <w:widowControl/>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1</w:t>
                  </w:r>
                  <w:r>
                    <w:rPr>
                      <w:rFonts w:hint="eastAsia"/>
                      <w:color w:val="000000" w:themeColor="text1"/>
                      <w:kern w:val="0"/>
                      <w:sz w:val="18"/>
                      <w:szCs w:val="18"/>
                      <w:lang w:bidi="ar"/>
                      <w14:textFill>
                        <w14:solidFill>
                          <w14:schemeClr w14:val="tx1"/>
                        </w14:solidFill>
                      </w14:textFill>
                    </w:rPr>
                    <w:t>7744</w:t>
                  </w:r>
                </w:p>
              </w:tc>
            </w:tr>
            <w:tr w14:paraId="3245DC0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57" w:type="dxa"/>
                </w:tblCellMar>
              </w:tblPrEx>
              <w:trPr>
                <w:trHeight w:val="57" w:hRule="atLeast"/>
              </w:trPr>
              <w:tc>
                <w:tcPr>
                  <w:tcW w:w="350" w:type="pct"/>
                  <w:vAlign w:val="center"/>
                </w:tcPr>
                <w:p w14:paraId="21893C4B">
                  <w:pPr>
                    <w:widowControl/>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5</w:t>
                  </w:r>
                </w:p>
              </w:tc>
              <w:tc>
                <w:tcPr>
                  <w:tcW w:w="553" w:type="pct"/>
                  <w:vAlign w:val="center"/>
                </w:tcPr>
                <w:p w14:paraId="28DACF75">
                  <w:pPr>
                    <w:jc w:val="center"/>
                    <w:rPr>
                      <w:rFonts w:hint="eastAsia" w:ascii="宋体" w:hAnsi="宋体" w:cs="宋体"/>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喷雾用水</w:t>
                  </w:r>
                </w:p>
              </w:tc>
              <w:tc>
                <w:tcPr>
                  <w:tcW w:w="789" w:type="pct"/>
                  <w:vAlign w:val="center"/>
                </w:tcPr>
                <w:p w14:paraId="6D55768C">
                  <w:pPr>
                    <w:jc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1080</w:t>
                  </w:r>
                </w:p>
              </w:tc>
              <w:tc>
                <w:tcPr>
                  <w:tcW w:w="730" w:type="pct"/>
                  <w:vAlign w:val="center"/>
                </w:tcPr>
                <w:p w14:paraId="02B1B7CC">
                  <w:pPr>
                    <w:jc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1080</w:t>
                  </w:r>
                </w:p>
              </w:tc>
              <w:tc>
                <w:tcPr>
                  <w:tcW w:w="426" w:type="pct"/>
                  <w:vMerge w:val="continue"/>
                  <w:vAlign w:val="center"/>
                </w:tcPr>
                <w:p w14:paraId="76E4C5FA">
                  <w:pPr>
                    <w:widowControl/>
                    <w:jc w:val="center"/>
                    <w:textAlignment w:val="center"/>
                    <w:rPr>
                      <w:rFonts w:hint="eastAsia" w:ascii="宋体" w:hAnsi="宋体" w:cs="宋体"/>
                      <w:color w:val="000000" w:themeColor="text1"/>
                      <w:kern w:val="0"/>
                      <w:sz w:val="18"/>
                      <w:szCs w:val="18"/>
                      <w:lang w:bidi="ar"/>
                      <w14:textFill>
                        <w14:solidFill>
                          <w14:schemeClr w14:val="tx1"/>
                        </w14:solidFill>
                      </w14:textFill>
                    </w:rPr>
                  </w:pPr>
                </w:p>
              </w:tc>
              <w:tc>
                <w:tcPr>
                  <w:tcW w:w="603" w:type="pct"/>
                  <w:gridSpan w:val="2"/>
                  <w:vAlign w:val="center"/>
                </w:tcPr>
                <w:p w14:paraId="418C02DB">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洗车平台</w:t>
                  </w:r>
                </w:p>
              </w:tc>
              <w:tc>
                <w:tcPr>
                  <w:tcW w:w="798" w:type="pct"/>
                  <w:vAlign w:val="center"/>
                </w:tcPr>
                <w:p w14:paraId="33565FDB">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432</w:t>
                  </w:r>
                </w:p>
              </w:tc>
              <w:tc>
                <w:tcPr>
                  <w:tcW w:w="751" w:type="pct"/>
                  <w:noWrap/>
                  <w:vAlign w:val="center"/>
                </w:tcPr>
                <w:p w14:paraId="13A8154D">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432</w:t>
                  </w:r>
                </w:p>
              </w:tc>
            </w:tr>
            <w:tr w14:paraId="3B07AB9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57" w:type="dxa"/>
                </w:tblCellMar>
              </w:tblPrEx>
              <w:trPr>
                <w:trHeight w:val="57" w:hRule="atLeast"/>
              </w:trPr>
              <w:tc>
                <w:tcPr>
                  <w:tcW w:w="350" w:type="pct"/>
                  <w:vAlign w:val="center"/>
                </w:tcPr>
                <w:p w14:paraId="3D17B797">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6</w:t>
                  </w:r>
                </w:p>
              </w:tc>
              <w:tc>
                <w:tcPr>
                  <w:tcW w:w="553" w:type="pct"/>
                  <w:vAlign w:val="center"/>
                </w:tcPr>
                <w:p w14:paraId="51EADFAA">
                  <w:pPr>
                    <w:jc w:val="center"/>
                    <w:rPr>
                      <w:rFonts w:hint="eastAsia" w:ascii="宋体" w:hAnsi="宋体" w:cs="宋体"/>
                      <w:color w:val="000000" w:themeColor="text1"/>
                      <w:kern w:val="0"/>
                      <w:sz w:val="18"/>
                      <w:szCs w:val="18"/>
                      <w:lang w:bidi="ar"/>
                      <w14:textFill>
                        <w14:solidFill>
                          <w14:schemeClr w14:val="tx1"/>
                        </w14:solidFill>
                      </w14:textFill>
                    </w:rPr>
                  </w:pPr>
                </w:p>
              </w:tc>
              <w:tc>
                <w:tcPr>
                  <w:tcW w:w="789" w:type="pct"/>
                  <w:vAlign w:val="center"/>
                </w:tcPr>
                <w:p w14:paraId="3A93655C">
                  <w:pPr>
                    <w:jc w:val="center"/>
                    <w:rPr>
                      <w:color w:val="000000" w:themeColor="text1"/>
                      <w:kern w:val="0"/>
                      <w:sz w:val="18"/>
                      <w:szCs w:val="18"/>
                      <w:lang w:bidi="ar"/>
                      <w14:textFill>
                        <w14:solidFill>
                          <w14:schemeClr w14:val="tx1"/>
                        </w14:solidFill>
                      </w14:textFill>
                    </w:rPr>
                  </w:pPr>
                </w:p>
              </w:tc>
              <w:tc>
                <w:tcPr>
                  <w:tcW w:w="730" w:type="pct"/>
                  <w:vAlign w:val="center"/>
                </w:tcPr>
                <w:p w14:paraId="43A443C7">
                  <w:pPr>
                    <w:jc w:val="center"/>
                    <w:rPr>
                      <w:color w:val="000000" w:themeColor="text1"/>
                      <w:kern w:val="0"/>
                      <w:sz w:val="18"/>
                      <w:szCs w:val="18"/>
                      <w:lang w:bidi="ar"/>
                      <w14:textFill>
                        <w14:solidFill>
                          <w14:schemeClr w14:val="tx1"/>
                        </w14:solidFill>
                      </w14:textFill>
                    </w:rPr>
                  </w:pPr>
                </w:p>
              </w:tc>
              <w:tc>
                <w:tcPr>
                  <w:tcW w:w="426" w:type="pct"/>
                  <w:vMerge w:val="continue"/>
                  <w:vAlign w:val="center"/>
                </w:tcPr>
                <w:p w14:paraId="0FC8FC77">
                  <w:pPr>
                    <w:widowControl/>
                    <w:jc w:val="center"/>
                    <w:textAlignment w:val="center"/>
                    <w:rPr>
                      <w:rFonts w:hint="eastAsia" w:ascii="宋体" w:hAnsi="宋体" w:cs="宋体"/>
                      <w:color w:val="000000" w:themeColor="text1"/>
                      <w:kern w:val="0"/>
                      <w:sz w:val="18"/>
                      <w:szCs w:val="18"/>
                      <w:lang w:bidi="ar"/>
                      <w14:textFill>
                        <w14:solidFill>
                          <w14:schemeClr w14:val="tx1"/>
                        </w14:solidFill>
                      </w14:textFill>
                    </w:rPr>
                  </w:pPr>
                </w:p>
              </w:tc>
              <w:tc>
                <w:tcPr>
                  <w:tcW w:w="603" w:type="pct"/>
                  <w:gridSpan w:val="2"/>
                  <w:vAlign w:val="center"/>
                </w:tcPr>
                <w:p w14:paraId="2C8A2C89">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地面清洗</w:t>
                  </w:r>
                </w:p>
              </w:tc>
              <w:tc>
                <w:tcPr>
                  <w:tcW w:w="798" w:type="pct"/>
                  <w:vAlign w:val="center"/>
                </w:tcPr>
                <w:p w14:paraId="4BDB4C4D">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400</w:t>
                  </w:r>
                </w:p>
              </w:tc>
              <w:tc>
                <w:tcPr>
                  <w:tcW w:w="751" w:type="pct"/>
                  <w:noWrap/>
                  <w:vAlign w:val="center"/>
                </w:tcPr>
                <w:p w14:paraId="370AF938">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400</w:t>
                  </w:r>
                </w:p>
              </w:tc>
            </w:tr>
            <w:tr w14:paraId="4338518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57" w:type="dxa"/>
                </w:tblCellMar>
              </w:tblPrEx>
              <w:trPr>
                <w:trHeight w:val="57" w:hRule="atLeast"/>
              </w:trPr>
              <w:tc>
                <w:tcPr>
                  <w:tcW w:w="350" w:type="pct"/>
                  <w:vAlign w:val="center"/>
                </w:tcPr>
                <w:p w14:paraId="304F90CF">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7</w:t>
                  </w:r>
                </w:p>
              </w:tc>
              <w:tc>
                <w:tcPr>
                  <w:tcW w:w="553" w:type="pct"/>
                  <w:vAlign w:val="center"/>
                </w:tcPr>
                <w:p w14:paraId="777328D1">
                  <w:pPr>
                    <w:widowControl/>
                    <w:jc w:val="center"/>
                    <w:textAlignment w:val="center"/>
                    <w:rPr>
                      <w:color w:val="000000" w:themeColor="text1"/>
                      <w:kern w:val="0"/>
                      <w:sz w:val="18"/>
                      <w:szCs w:val="18"/>
                      <w:lang w:bidi="ar"/>
                      <w14:textFill>
                        <w14:solidFill>
                          <w14:schemeClr w14:val="tx1"/>
                        </w14:solidFill>
                      </w14:textFill>
                    </w:rPr>
                  </w:pPr>
                </w:p>
              </w:tc>
              <w:tc>
                <w:tcPr>
                  <w:tcW w:w="789" w:type="pct"/>
                  <w:vAlign w:val="center"/>
                </w:tcPr>
                <w:p w14:paraId="17F1CF0B">
                  <w:pPr>
                    <w:widowControl/>
                    <w:jc w:val="center"/>
                    <w:textAlignment w:val="center"/>
                    <w:rPr>
                      <w:color w:val="000000" w:themeColor="text1"/>
                      <w:kern w:val="0"/>
                      <w:sz w:val="18"/>
                      <w:szCs w:val="18"/>
                      <w:lang w:bidi="ar"/>
                      <w14:textFill>
                        <w14:solidFill>
                          <w14:schemeClr w14:val="tx1"/>
                        </w14:solidFill>
                      </w14:textFill>
                    </w:rPr>
                  </w:pPr>
                </w:p>
              </w:tc>
              <w:tc>
                <w:tcPr>
                  <w:tcW w:w="730" w:type="pct"/>
                  <w:vAlign w:val="center"/>
                </w:tcPr>
                <w:p w14:paraId="32A088E0">
                  <w:pPr>
                    <w:widowControl/>
                    <w:jc w:val="center"/>
                    <w:textAlignment w:val="center"/>
                    <w:rPr>
                      <w:color w:val="000000" w:themeColor="text1"/>
                      <w:kern w:val="0"/>
                      <w:sz w:val="18"/>
                      <w:szCs w:val="18"/>
                      <w:lang w:bidi="ar"/>
                      <w14:textFill>
                        <w14:solidFill>
                          <w14:schemeClr w14:val="tx1"/>
                        </w14:solidFill>
                      </w14:textFill>
                    </w:rPr>
                  </w:pPr>
                </w:p>
              </w:tc>
              <w:tc>
                <w:tcPr>
                  <w:tcW w:w="426" w:type="pct"/>
                  <w:vMerge w:val="restart"/>
                  <w:noWrap/>
                  <w:vAlign w:val="center"/>
                </w:tcPr>
                <w:p w14:paraId="53AFD5D6">
                  <w:pPr>
                    <w:widowControl/>
                    <w:jc w:val="center"/>
                    <w:textAlignment w:val="center"/>
                    <w:rPr>
                      <w:color w:val="000000" w:themeColor="text1"/>
                      <w:kern w:val="0"/>
                      <w:sz w:val="18"/>
                      <w:szCs w:val="18"/>
                      <w:lang w:bidi="ar"/>
                      <w14:textFill>
                        <w14:solidFill>
                          <w14:schemeClr w14:val="tx1"/>
                        </w14:solidFill>
                      </w14:textFill>
                    </w:rPr>
                  </w:pPr>
                  <w:r>
                    <w:rPr>
                      <w:rFonts w:hint="eastAsia" w:ascii="宋体" w:hAnsi="宋体" w:cs="宋体"/>
                      <w:color w:val="000000" w:themeColor="text1"/>
                      <w:kern w:val="0"/>
                      <w:sz w:val="18"/>
                      <w:szCs w:val="18"/>
                      <w:lang w:bidi="ar"/>
                      <w14:textFill>
                        <w14:solidFill>
                          <w14:schemeClr w14:val="tx1"/>
                        </w14:solidFill>
                      </w14:textFill>
                    </w:rPr>
                    <w:t>回用水</w:t>
                  </w:r>
                </w:p>
              </w:tc>
              <w:tc>
                <w:tcPr>
                  <w:tcW w:w="603" w:type="pct"/>
                  <w:gridSpan w:val="2"/>
                  <w:vAlign w:val="center"/>
                </w:tcPr>
                <w:p w14:paraId="1BAB5221">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过水池</w:t>
                  </w:r>
                </w:p>
              </w:tc>
              <w:tc>
                <w:tcPr>
                  <w:tcW w:w="798" w:type="pct"/>
                  <w:vAlign w:val="center"/>
                </w:tcPr>
                <w:p w14:paraId="167A783C">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828164</w:t>
                  </w:r>
                </w:p>
              </w:tc>
              <w:tc>
                <w:tcPr>
                  <w:tcW w:w="751" w:type="pct"/>
                  <w:noWrap/>
                  <w:vAlign w:val="center"/>
                </w:tcPr>
                <w:p w14:paraId="73634AC5">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828164</w:t>
                  </w:r>
                </w:p>
              </w:tc>
            </w:tr>
            <w:tr w14:paraId="3B368A4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57" w:type="dxa"/>
                </w:tblCellMar>
              </w:tblPrEx>
              <w:trPr>
                <w:trHeight w:val="57" w:hRule="atLeast"/>
              </w:trPr>
              <w:tc>
                <w:tcPr>
                  <w:tcW w:w="350" w:type="pct"/>
                  <w:vAlign w:val="center"/>
                </w:tcPr>
                <w:p w14:paraId="629C08CC">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8</w:t>
                  </w:r>
                </w:p>
              </w:tc>
              <w:tc>
                <w:tcPr>
                  <w:tcW w:w="553" w:type="pct"/>
                  <w:vAlign w:val="center"/>
                </w:tcPr>
                <w:p w14:paraId="170A5DC4">
                  <w:pPr>
                    <w:widowControl/>
                    <w:jc w:val="center"/>
                    <w:textAlignment w:val="center"/>
                    <w:rPr>
                      <w:color w:val="000000" w:themeColor="text1"/>
                      <w:kern w:val="0"/>
                      <w:sz w:val="18"/>
                      <w:szCs w:val="18"/>
                      <w:lang w:bidi="ar"/>
                      <w14:textFill>
                        <w14:solidFill>
                          <w14:schemeClr w14:val="tx1"/>
                        </w14:solidFill>
                      </w14:textFill>
                    </w:rPr>
                  </w:pPr>
                </w:p>
              </w:tc>
              <w:tc>
                <w:tcPr>
                  <w:tcW w:w="789" w:type="pct"/>
                  <w:vAlign w:val="center"/>
                </w:tcPr>
                <w:p w14:paraId="03BBF203">
                  <w:pPr>
                    <w:widowControl/>
                    <w:jc w:val="center"/>
                    <w:textAlignment w:val="center"/>
                    <w:rPr>
                      <w:color w:val="000000" w:themeColor="text1"/>
                      <w:kern w:val="0"/>
                      <w:sz w:val="18"/>
                      <w:szCs w:val="18"/>
                      <w:lang w:bidi="ar"/>
                      <w14:textFill>
                        <w14:solidFill>
                          <w14:schemeClr w14:val="tx1"/>
                        </w14:solidFill>
                      </w14:textFill>
                    </w:rPr>
                  </w:pPr>
                </w:p>
              </w:tc>
              <w:tc>
                <w:tcPr>
                  <w:tcW w:w="730" w:type="pct"/>
                  <w:vAlign w:val="center"/>
                </w:tcPr>
                <w:p w14:paraId="5C400D58">
                  <w:pPr>
                    <w:widowControl/>
                    <w:jc w:val="center"/>
                    <w:textAlignment w:val="center"/>
                    <w:rPr>
                      <w:color w:val="000000" w:themeColor="text1"/>
                      <w:kern w:val="0"/>
                      <w:sz w:val="18"/>
                      <w:szCs w:val="18"/>
                      <w:lang w:bidi="ar"/>
                      <w14:textFill>
                        <w14:solidFill>
                          <w14:schemeClr w14:val="tx1"/>
                        </w14:solidFill>
                      </w14:textFill>
                    </w:rPr>
                  </w:pPr>
                </w:p>
              </w:tc>
              <w:tc>
                <w:tcPr>
                  <w:tcW w:w="426" w:type="pct"/>
                  <w:vMerge w:val="continue"/>
                  <w:noWrap/>
                  <w:vAlign w:val="center"/>
                </w:tcPr>
                <w:p w14:paraId="204CC1E9">
                  <w:pPr>
                    <w:widowControl/>
                    <w:jc w:val="center"/>
                    <w:textAlignment w:val="center"/>
                    <w:rPr>
                      <w:rFonts w:hint="eastAsia" w:ascii="宋体" w:hAnsi="宋体" w:cs="宋体"/>
                      <w:color w:val="000000" w:themeColor="text1"/>
                      <w:kern w:val="0"/>
                      <w:sz w:val="18"/>
                      <w:szCs w:val="18"/>
                      <w:lang w:bidi="ar"/>
                      <w14:textFill>
                        <w14:solidFill>
                          <w14:schemeClr w14:val="tx1"/>
                        </w14:solidFill>
                      </w14:textFill>
                    </w:rPr>
                  </w:pPr>
                </w:p>
              </w:tc>
              <w:tc>
                <w:tcPr>
                  <w:tcW w:w="603" w:type="pct"/>
                  <w:gridSpan w:val="2"/>
                  <w:vAlign w:val="center"/>
                </w:tcPr>
                <w:p w14:paraId="3BB7D26C">
                  <w:pPr>
                    <w:widowControl/>
                    <w:jc w:val="center"/>
                    <w:textAlignment w:val="center"/>
                    <w:rPr>
                      <w:rFonts w:hint="eastAsia" w:ascii="宋体" w:hAnsi="宋体" w:cs="宋体"/>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洗车平台</w:t>
                  </w:r>
                </w:p>
              </w:tc>
              <w:tc>
                <w:tcPr>
                  <w:tcW w:w="798" w:type="pct"/>
                  <w:vAlign w:val="center"/>
                </w:tcPr>
                <w:p w14:paraId="16105DB7">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1728</w:t>
                  </w:r>
                </w:p>
              </w:tc>
              <w:tc>
                <w:tcPr>
                  <w:tcW w:w="751" w:type="pct"/>
                  <w:noWrap/>
                  <w:vAlign w:val="center"/>
                </w:tcPr>
                <w:p w14:paraId="0CE7FF37">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1728</w:t>
                  </w:r>
                </w:p>
              </w:tc>
            </w:tr>
            <w:tr w14:paraId="38ECA92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57" w:type="dxa"/>
                </w:tblCellMar>
              </w:tblPrEx>
              <w:trPr>
                <w:trHeight w:val="57" w:hRule="atLeast"/>
              </w:trPr>
              <w:tc>
                <w:tcPr>
                  <w:tcW w:w="350" w:type="pct"/>
                  <w:vAlign w:val="center"/>
                </w:tcPr>
                <w:p w14:paraId="36632FC4">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9</w:t>
                  </w:r>
                </w:p>
              </w:tc>
              <w:tc>
                <w:tcPr>
                  <w:tcW w:w="553" w:type="pct"/>
                  <w:vAlign w:val="center"/>
                </w:tcPr>
                <w:p w14:paraId="162C3C9C">
                  <w:pPr>
                    <w:widowControl/>
                    <w:jc w:val="center"/>
                    <w:textAlignment w:val="center"/>
                    <w:rPr>
                      <w:color w:val="000000" w:themeColor="text1"/>
                      <w:kern w:val="0"/>
                      <w:sz w:val="18"/>
                      <w:szCs w:val="18"/>
                      <w:lang w:bidi="ar"/>
                      <w14:textFill>
                        <w14:solidFill>
                          <w14:schemeClr w14:val="tx1"/>
                        </w14:solidFill>
                      </w14:textFill>
                    </w:rPr>
                  </w:pPr>
                </w:p>
              </w:tc>
              <w:tc>
                <w:tcPr>
                  <w:tcW w:w="789" w:type="pct"/>
                  <w:vAlign w:val="center"/>
                </w:tcPr>
                <w:p w14:paraId="3A1DEE4F">
                  <w:pPr>
                    <w:widowControl/>
                    <w:jc w:val="center"/>
                    <w:textAlignment w:val="center"/>
                    <w:rPr>
                      <w:color w:val="000000" w:themeColor="text1"/>
                      <w:kern w:val="0"/>
                      <w:sz w:val="18"/>
                      <w:szCs w:val="18"/>
                      <w:lang w:bidi="ar"/>
                      <w14:textFill>
                        <w14:solidFill>
                          <w14:schemeClr w14:val="tx1"/>
                        </w14:solidFill>
                      </w14:textFill>
                    </w:rPr>
                  </w:pPr>
                </w:p>
              </w:tc>
              <w:tc>
                <w:tcPr>
                  <w:tcW w:w="730" w:type="pct"/>
                  <w:vAlign w:val="center"/>
                </w:tcPr>
                <w:p w14:paraId="294C2B09">
                  <w:pPr>
                    <w:widowControl/>
                    <w:jc w:val="center"/>
                    <w:textAlignment w:val="center"/>
                    <w:rPr>
                      <w:color w:val="000000" w:themeColor="text1"/>
                      <w:kern w:val="0"/>
                      <w:sz w:val="18"/>
                      <w:szCs w:val="18"/>
                      <w:lang w:bidi="ar"/>
                      <w14:textFill>
                        <w14:solidFill>
                          <w14:schemeClr w14:val="tx1"/>
                        </w14:solidFill>
                      </w14:textFill>
                    </w:rPr>
                  </w:pPr>
                </w:p>
              </w:tc>
              <w:tc>
                <w:tcPr>
                  <w:tcW w:w="426" w:type="pct"/>
                  <w:vMerge w:val="continue"/>
                  <w:noWrap/>
                  <w:vAlign w:val="center"/>
                </w:tcPr>
                <w:p w14:paraId="6A1BC60B">
                  <w:pPr>
                    <w:widowControl/>
                    <w:jc w:val="center"/>
                    <w:textAlignment w:val="center"/>
                    <w:rPr>
                      <w:rFonts w:hint="eastAsia" w:ascii="宋体" w:hAnsi="宋体" w:cs="宋体"/>
                      <w:color w:val="000000" w:themeColor="text1"/>
                      <w:kern w:val="0"/>
                      <w:sz w:val="18"/>
                      <w:szCs w:val="18"/>
                      <w:lang w:bidi="ar"/>
                      <w14:textFill>
                        <w14:solidFill>
                          <w14:schemeClr w14:val="tx1"/>
                        </w14:solidFill>
                      </w14:textFill>
                    </w:rPr>
                  </w:pPr>
                </w:p>
              </w:tc>
              <w:tc>
                <w:tcPr>
                  <w:tcW w:w="603" w:type="pct"/>
                  <w:gridSpan w:val="2"/>
                  <w:vAlign w:val="center"/>
                </w:tcPr>
                <w:p w14:paraId="468982AA">
                  <w:pPr>
                    <w:widowControl/>
                    <w:jc w:val="center"/>
                    <w:textAlignment w:val="center"/>
                    <w:rPr>
                      <w:rFonts w:hint="eastAsia" w:ascii="宋体" w:hAnsi="宋体" w:cs="宋体"/>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地面清洗</w:t>
                  </w:r>
                </w:p>
              </w:tc>
              <w:tc>
                <w:tcPr>
                  <w:tcW w:w="798" w:type="pct"/>
                  <w:vAlign w:val="center"/>
                </w:tcPr>
                <w:p w14:paraId="24669877">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1600</w:t>
                  </w:r>
                </w:p>
              </w:tc>
              <w:tc>
                <w:tcPr>
                  <w:tcW w:w="751" w:type="pct"/>
                  <w:noWrap/>
                  <w:vAlign w:val="center"/>
                </w:tcPr>
                <w:p w14:paraId="0EF3C581">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1600</w:t>
                  </w:r>
                </w:p>
              </w:tc>
            </w:tr>
            <w:tr w14:paraId="5DA2F51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57" w:type="dxa"/>
                </w:tblCellMar>
              </w:tblPrEx>
              <w:trPr>
                <w:trHeight w:val="57" w:hRule="atLeast"/>
              </w:trPr>
              <w:tc>
                <w:tcPr>
                  <w:tcW w:w="903" w:type="pct"/>
                  <w:gridSpan w:val="2"/>
                  <w:vAlign w:val="center"/>
                </w:tcPr>
                <w:p w14:paraId="6A21F4FD">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bidi="ar"/>
                      <w14:textFill>
                        <w14:solidFill>
                          <w14:schemeClr w14:val="tx1"/>
                        </w14:solidFill>
                      </w14:textFill>
                    </w:rPr>
                    <w:t>10</w:t>
                  </w:r>
                </w:p>
              </w:tc>
              <w:tc>
                <w:tcPr>
                  <w:tcW w:w="789" w:type="pct"/>
                  <w:tcBorders>
                    <w:top w:val="nil"/>
                    <w:left w:val="nil"/>
                    <w:bottom w:val="single" w:color="auto" w:sz="12" w:space="0"/>
                    <w:right w:val="single" w:color="auto" w:sz="12" w:space="0"/>
                  </w:tcBorders>
                  <w:vAlign w:val="center"/>
                </w:tcPr>
                <w:p w14:paraId="33C0741D">
                  <w:pPr>
                    <w:widowControl/>
                    <w:jc w:val="center"/>
                    <w:rPr>
                      <w:rFonts w:eastAsia="等线"/>
                      <w:color w:val="000000" w:themeColor="text1"/>
                      <w:kern w:val="0"/>
                      <w:sz w:val="18"/>
                      <w:szCs w:val="18"/>
                      <w14:textFill>
                        <w14:solidFill>
                          <w14:schemeClr w14:val="tx1"/>
                        </w14:solidFill>
                      </w14:textFill>
                    </w:rPr>
                  </w:pPr>
                  <w:r>
                    <w:rPr>
                      <w:rFonts w:eastAsia="等线"/>
                      <w:color w:val="000000" w:themeColor="text1"/>
                      <w:sz w:val="18"/>
                      <w:szCs w:val="18"/>
                      <w14:textFill>
                        <w14:solidFill>
                          <w14:schemeClr w14:val="tx1"/>
                        </w14:solidFill>
                      </w14:textFill>
                    </w:rPr>
                    <w:t xml:space="preserve">1868060 </w:t>
                  </w:r>
                </w:p>
              </w:tc>
              <w:tc>
                <w:tcPr>
                  <w:tcW w:w="730" w:type="pct"/>
                  <w:tcBorders>
                    <w:top w:val="nil"/>
                    <w:left w:val="nil"/>
                    <w:bottom w:val="single" w:color="auto" w:sz="12" w:space="0"/>
                    <w:right w:val="single" w:color="auto" w:sz="12" w:space="0"/>
                  </w:tcBorders>
                  <w:vAlign w:val="center"/>
                </w:tcPr>
                <w:p w14:paraId="79334D14">
                  <w:pPr>
                    <w:widowControl/>
                    <w:jc w:val="center"/>
                    <w:textAlignment w:val="center"/>
                    <w:rPr>
                      <w:color w:val="000000" w:themeColor="text1"/>
                      <w:kern w:val="0"/>
                      <w:sz w:val="18"/>
                      <w:szCs w:val="18"/>
                      <w:lang w:bidi="ar"/>
                      <w14:textFill>
                        <w14:solidFill>
                          <w14:schemeClr w14:val="tx1"/>
                        </w14:solidFill>
                      </w14:textFill>
                    </w:rPr>
                  </w:pPr>
                  <w:r>
                    <w:rPr>
                      <w:rFonts w:eastAsia="等线"/>
                      <w:color w:val="000000" w:themeColor="text1"/>
                      <w:sz w:val="18"/>
                      <w:szCs w:val="18"/>
                      <w14:textFill>
                        <w14:solidFill>
                          <w14:schemeClr w14:val="tx1"/>
                        </w14:solidFill>
                      </w14:textFill>
                    </w:rPr>
                    <w:t>930860</w:t>
                  </w:r>
                </w:p>
              </w:tc>
              <w:tc>
                <w:tcPr>
                  <w:tcW w:w="1029" w:type="pct"/>
                  <w:gridSpan w:val="3"/>
                  <w:vAlign w:val="center"/>
                </w:tcPr>
                <w:p w14:paraId="40210295">
                  <w:pPr>
                    <w:widowControl/>
                    <w:jc w:val="center"/>
                    <w:textAlignment w:val="center"/>
                    <w:rPr>
                      <w:color w:val="000000" w:themeColor="text1"/>
                      <w:kern w:val="0"/>
                      <w:sz w:val="18"/>
                      <w:szCs w:val="18"/>
                      <w:lang w:bidi="ar"/>
                      <w14:textFill>
                        <w14:solidFill>
                          <w14:schemeClr w14:val="tx1"/>
                        </w14:solidFill>
                      </w14:textFill>
                    </w:rPr>
                  </w:pPr>
                </w:p>
              </w:tc>
              <w:tc>
                <w:tcPr>
                  <w:tcW w:w="798" w:type="pct"/>
                  <w:tcBorders>
                    <w:top w:val="nil"/>
                    <w:left w:val="nil"/>
                    <w:bottom w:val="single" w:color="auto" w:sz="12" w:space="0"/>
                    <w:right w:val="single" w:color="auto" w:sz="12" w:space="0"/>
                  </w:tcBorders>
                  <w:vAlign w:val="center"/>
                </w:tcPr>
                <w:p w14:paraId="4D6CF3F5">
                  <w:pPr>
                    <w:widowControl/>
                    <w:jc w:val="center"/>
                    <w:textAlignment w:val="center"/>
                    <w:rPr>
                      <w:color w:val="000000" w:themeColor="text1"/>
                      <w:kern w:val="0"/>
                      <w:sz w:val="18"/>
                      <w:szCs w:val="18"/>
                      <w:lang w:bidi="ar"/>
                      <w14:textFill>
                        <w14:solidFill>
                          <w14:schemeClr w14:val="tx1"/>
                        </w14:solidFill>
                      </w14:textFill>
                    </w:rPr>
                  </w:pPr>
                  <w:r>
                    <w:rPr>
                      <w:rFonts w:eastAsia="等线"/>
                      <w:color w:val="000000" w:themeColor="text1"/>
                      <w:sz w:val="18"/>
                      <w:szCs w:val="18"/>
                      <w14:textFill>
                        <w14:solidFill>
                          <w14:schemeClr w14:val="tx1"/>
                        </w14:solidFill>
                      </w14:textFill>
                    </w:rPr>
                    <w:t>1868060</w:t>
                  </w:r>
                </w:p>
              </w:tc>
              <w:tc>
                <w:tcPr>
                  <w:tcW w:w="751" w:type="pct"/>
                  <w:tcBorders>
                    <w:top w:val="nil"/>
                    <w:left w:val="nil"/>
                    <w:bottom w:val="single" w:color="auto" w:sz="12" w:space="0"/>
                    <w:right w:val="single" w:color="auto" w:sz="12" w:space="0"/>
                  </w:tcBorders>
                  <w:vAlign w:val="center"/>
                </w:tcPr>
                <w:p w14:paraId="67D7D212">
                  <w:pPr>
                    <w:widowControl/>
                    <w:jc w:val="center"/>
                    <w:textAlignment w:val="center"/>
                    <w:rPr>
                      <w:color w:val="000000" w:themeColor="text1"/>
                      <w:kern w:val="0"/>
                      <w:sz w:val="18"/>
                      <w:szCs w:val="18"/>
                      <w:lang w:bidi="ar"/>
                      <w14:textFill>
                        <w14:solidFill>
                          <w14:schemeClr w14:val="tx1"/>
                        </w14:solidFill>
                      </w14:textFill>
                    </w:rPr>
                  </w:pPr>
                  <w:r>
                    <w:rPr>
                      <w:rFonts w:eastAsia="等线"/>
                      <w:color w:val="000000" w:themeColor="text1"/>
                      <w:sz w:val="18"/>
                      <w:szCs w:val="18"/>
                      <w14:textFill>
                        <w14:solidFill>
                          <w14:schemeClr w14:val="tx1"/>
                        </w14:solidFill>
                      </w14:textFill>
                    </w:rPr>
                    <w:t>930860</w:t>
                  </w:r>
                </w:p>
              </w:tc>
            </w:tr>
          </w:tbl>
          <w:p w14:paraId="4FA1A3E3">
            <w:pPr>
              <w:autoSpaceDE w:val="0"/>
              <w:autoSpaceDN w:val="0"/>
              <w:adjustRightInd w:val="0"/>
              <w:jc w:val="center"/>
              <w:rPr>
                <w:b/>
                <w:bCs/>
                <w:color w:val="000000" w:themeColor="text1"/>
                <w:sz w:val="24"/>
                <w14:textFill>
                  <w14:solidFill>
                    <w14:schemeClr w14:val="tx1"/>
                  </w14:solidFill>
                </w14:textFill>
              </w:rPr>
            </w:pPr>
          </w:p>
          <w:p w14:paraId="07191336">
            <w:pPr>
              <w:autoSpaceDE w:val="0"/>
              <w:autoSpaceDN w:val="0"/>
              <w:adjustRightIn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drawing>
                <wp:inline distT="0" distB="0" distL="0" distR="0">
                  <wp:extent cx="4857750" cy="6305550"/>
                  <wp:effectExtent l="0" t="0" r="0" b="0"/>
                  <wp:docPr id="92478408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784085" name="图片 7"/>
                          <pic:cNvPicPr>
                            <a:picLocks noChangeAspect="1" noChangeArrowheads="1"/>
                          </pic:cNvPicPr>
                        </pic:nvPicPr>
                        <pic:blipFill>
                          <a:blip r:embed="rId12">
                            <a:extLst>
                              <a:ext uri="{28A0092B-C50C-407E-A947-70E740481C1C}">
                                <a14:useLocalDpi xmlns:a14="http://schemas.microsoft.com/office/drawing/2010/main" val="0"/>
                              </a:ext>
                            </a:extLst>
                          </a:blip>
                          <a:srcRect l="11059" t="7543" r="9502" b="21121"/>
                          <a:stretch>
                            <a:fillRect/>
                          </a:stretch>
                        </pic:blipFill>
                        <pic:spPr>
                          <a:xfrm>
                            <a:off x="0" y="0"/>
                            <a:ext cx="4857750" cy="6305550"/>
                          </a:xfrm>
                          <a:prstGeom prst="rect">
                            <a:avLst/>
                          </a:prstGeom>
                          <a:noFill/>
                          <a:ln>
                            <a:noFill/>
                          </a:ln>
                        </pic:spPr>
                      </pic:pic>
                    </a:graphicData>
                  </a:graphic>
                </wp:inline>
              </w:drawing>
            </w:r>
          </w:p>
          <w:p w14:paraId="6802A6A0">
            <w:pPr>
              <w:pStyle w:val="56"/>
              <w:jc w:val="center"/>
              <w:rPr>
                <w:rFonts w:ascii="Times New Roman" w:eastAsia="宋体"/>
                <w:b/>
                <w:color w:val="000000" w:themeColor="text1"/>
                <w14:textFill>
                  <w14:solidFill>
                    <w14:schemeClr w14:val="tx1"/>
                  </w14:solidFill>
                </w14:textFill>
              </w:rPr>
            </w:pPr>
            <w:r>
              <w:rPr>
                <w:rFonts w:ascii="Times New Roman" w:eastAsia="宋体"/>
                <w:b/>
                <w:color w:val="000000" w:themeColor="text1"/>
                <w14:textFill>
                  <w14:solidFill>
                    <w14:schemeClr w14:val="tx1"/>
                  </w14:solidFill>
                </w14:textFill>
              </w:rPr>
              <w:t>图2-</w:t>
            </w:r>
            <w:r>
              <w:rPr>
                <w:rFonts w:hint="eastAsia" w:ascii="Times New Roman" w:eastAsia="宋体"/>
                <w:b/>
                <w:color w:val="000000" w:themeColor="text1"/>
                <w14:textFill>
                  <w14:solidFill>
                    <w14:schemeClr w14:val="tx1"/>
                  </w14:solidFill>
                </w14:textFill>
              </w:rPr>
              <w:t>4</w:t>
            </w:r>
            <w:r>
              <w:rPr>
                <w:rFonts w:ascii="Times New Roman" w:eastAsia="宋体"/>
                <w:b/>
                <w:color w:val="000000" w:themeColor="text1"/>
                <w14:textFill>
                  <w14:solidFill>
                    <w14:schemeClr w14:val="tx1"/>
                  </w14:solidFill>
                </w14:textFill>
              </w:rPr>
              <w:t xml:space="preserve">  项目</w:t>
            </w:r>
            <w:r>
              <w:rPr>
                <w:rFonts w:hint="eastAsia" w:ascii="Times New Roman" w:eastAsia="宋体"/>
                <w:b/>
                <w:color w:val="000000" w:themeColor="text1"/>
                <w14:textFill>
                  <w14:solidFill>
                    <w14:schemeClr w14:val="tx1"/>
                  </w14:solidFill>
                </w14:textFill>
              </w:rPr>
              <w:t>物料</w:t>
            </w:r>
            <w:r>
              <w:rPr>
                <w:rFonts w:ascii="Times New Roman" w:eastAsia="宋体"/>
                <w:b/>
                <w:color w:val="000000" w:themeColor="text1"/>
                <w14:textFill>
                  <w14:solidFill>
                    <w14:schemeClr w14:val="tx1"/>
                  </w14:solidFill>
                </w14:textFill>
              </w:rPr>
              <w:t>平</w:t>
            </w:r>
            <w:r>
              <w:rPr>
                <w:rFonts w:ascii="Times New Roman" w:eastAsia="宋体" w:cs="Times New Roman"/>
                <w:b/>
                <w:color w:val="000000" w:themeColor="text1"/>
                <w14:textFill>
                  <w14:solidFill>
                    <w14:schemeClr w14:val="tx1"/>
                  </w14:solidFill>
                </w14:textFill>
              </w:rPr>
              <w:t>衡图（单位：</w:t>
            </w:r>
            <w:r>
              <w:rPr>
                <w:rFonts w:hint="eastAsia" w:cs="Times New Roman" w:asciiTheme="minorEastAsia" w:hAnsiTheme="minorEastAsia" w:eastAsiaTheme="minorEastAsia"/>
                <w:b/>
                <w:bCs/>
                <w:color w:val="000000" w:themeColor="text1"/>
                <w14:textFill>
                  <w14:solidFill>
                    <w14:schemeClr w14:val="tx1"/>
                  </w14:solidFill>
                </w14:textFill>
              </w:rPr>
              <w:t>t</w:t>
            </w:r>
            <w:r>
              <w:rPr>
                <w:rFonts w:ascii="Times New Roman" w:cs="Times New Roman"/>
                <w:b/>
                <w:bCs/>
                <w:color w:val="000000" w:themeColor="text1"/>
                <w14:textFill>
                  <w14:solidFill>
                    <w14:schemeClr w14:val="tx1"/>
                  </w14:solidFill>
                </w14:textFill>
              </w:rPr>
              <w:t>/</w:t>
            </w:r>
            <w:r>
              <w:rPr>
                <w:rFonts w:hint="eastAsia" w:ascii="Times New Roman" w:cs="Times New Roman" w:eastAsiaTheme="minorEastAsia"/>
                <w:b/>
                <w:bCs/>
                <w:color w:val="000000" w:themeColor="text1"/>
                <w14:textFill>
                  <w14:solidFill>
                    <w14:schemeClr w14:val="tx1"/>
                  </w14:solidFill>
                </w14:textFill>
              </w:rPr>
              <w:t>a</w:t>
            </w:r>
            <w:r>
              <w:rPr>
                <w:rFonts w:ascii="Times New Roman" w:eastAsia="宋体" w:cs="Times New Roman"/>
                <w:b/>
                <w:color w:val="000000" w:themeColor="text1"/>
                <w14:textFill>
                  <w14:solidFill>
                    <w14:schemeClr w14:val="tx1"/>
                  </w14:solidFill>
                </w14:textFill>
              </w:rPr>
              <w:t>）</w:t>
            </w:r>
          </w:p>
          <w:p w14:paraId="48BF482D">
            <w:pPr>
              <w:autoSpaceDE w:val="0"/>
              <w:autoSpaceDN w:val="0"/>
              <w:adjustRightInd w:val="0"/>
              <w:spacing w:line="360" w:lineRule="auto"/>
              <w:ind w:firstLine="482" w:firstLineChars="200"/>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七</w:t>
            </w:r>
            <w:r>
              <w:rPr>
                <w:b/>
                <w:bCs/>
                <w:color w:val="000000" w:themeColor="text1"/>
                <w:sz w:val="24"/>
                <w14:textFill>
                  <w14:solidFill>
                    <w14:schemeClr w14:val="tx1"/>
                  </w14:solidFill>
                </w14:textFill>
              </w:rPr>
              <w:t>、水平衡</w:t>
            </w:r>
          </w:p>
          <w:p w14:paraId="6D40D072">
            <w:pPr>
              <w:widowControl/>
              <w:adjustRightInd w:val="0"/>
              <w:snapToGrid w:val="0"/>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项目</w:t>
            </w:r>
            <w:r>
              <w:rPr>
                <w:rFonts w:hint="eastAsia"/>
                <w:color w:val="000000" w:themeColor="text1"/>
                <w:sz w:val="24"/>
                <w14:textFill>
                  <w14:solidFill>
                    <w14:schemeClr w14:val="tx1"/>
                  </w14:solidFill>
                </w14:textFill>
              </w:rPr>
              <w:t>用水</w:t>
            </w:r>
            <w:r>
              <w:rPr>
                <w:color w:val="000000" w:themeColor="text1"/>
                <w:sz w:val="24"/>
                <w14:textFill>
                  <w14:solidFill>
                    <w14:schemeClr w14:val="tx1"/>
                  </w14:solidFill>
                </w14:textFill>
              </w:rPr>
              <w:t>主要为办公生活污水、</w:t>
            </w:r>
            <w:r>
              <w:rPr>
                <w:rFonts w:hint="eastAsia"/>
                <w:color w:val="000000" w:themeColor="text1"/>
                <w:sz w:val="24"/>
                <w14:textFill>
                  <w14:solidFill>
                    <w14:schemeClr w14:val="tx1"/>
                  </w14:solidFill>
                </w14:textFill>
              </w:rPr>
              <w:t>喷雾用水、过水池清洗用水、生产搅拌用水、地面清洗用和车辆清洗用水</w:t>
            </w:r>
            <w:r>
              <w:rPr>
                <w:color w:val="000000" w:themeColor="text1"/>
                <w:sz w:val="24"/>
                <w14:textFill>
                  <w14:solidFill>
                    <w14:schemeClr w14:val="tx1"/>
                  </w14:solidFill>
                </w14:textFill>
              </w:rPr>
              <w:t>。</w:t>
            </w:r>
          </w:p>
          <w:p w14:paraId="6A89870B">
            <w:pPr>
              <w:widowControl/>
              <w:adjustRightInd w:val="0"/>
              <w:snapToGrid w:val="0"/>
              <w:spacing w:line="360" w:lineRule="auto"/>
              <w:ind w:firstLine="480" w:firstLineChars="200"/>
              <w:jc w:val="left"/>
              <w:rPr>
                <w:color w:val="000000" w:themeColor="text1"/>
                <w:kern w:val="0"/>
                <w:sz w:val="24"/>
                <w:lang w:bidi="ar"/>
                <w14:textFill>
                  <w14:solidFill>
                    <w14:schemeClr w14:val="tx1"/>
                  </w14:solidFill>
                </w14:textFill>
              </w:rPr>
            </w:pPr>
            <w:r>
              <w:rPr>
                <w:rFonts w:hint="eastAsia"/>
                <w:color w:val="000000" w:themeColor="text1"/>
                <w:kern w:val="0"/>
                <w:sz w:val="24"/>
                <w:lang w:bidi="ar"/>
                <w14:textFill>
                  <w14:solidFill>
                    <w14:schemeClr w14:val="tx1"/>
                  </w14:solidFill>
                </w14:textFill>
              </w:rPr>
              <w:t>1、生活用水</w:t>
            </w:r>
          </w:p>
          <w:p w14:paraId="390EA4E9">
            <w:pPr>
              <w:widowControl/>
              <w:adjustRightInd w:val="0"/>
              <w:snapToGrid w:val="0"/>
              <w:spacing w:line="360" w:lineRule="auto"/>
              <w:ind w:firstLine="480" w:firstLineChars="200"/>
              <w:jc w:val="left"/>
              <w:rPr>
                <w:color w:val="000000" w:themeColor="text1"/>
                <w:sz w:val="24"/>
                <w14:textFill>
                  <w14:solidFill>
                    <w14:schemeClr w14:val="tx1"/>
                  </w14:solidFill>
                </w14:textFill>
              </w:rPr>
            </w:pPr>
            <w:r>
              <w:rPr>
                <w:color w:val="000000" w:themeColor="text1"/>
                <w:kern w:val="0"/>
                <w:sz w:val="24"/>
                <w:lang w:bidi="ar"/>
                <w14:textFill>
                  <w14:solidFill>
                    <w14:schemeClr w14:val="tx1"/>
                  </w14:solidFill>
                </w14:textFill>
              </w:rPr>
              <w:t>根据建设单位提供资料，项目职工总人数为</w:t>
            </w:r>
            <w:r>
              <w:rPr>
                <w:rFonts w:hint="eastAsia"/>
                <w:color w:val="000000" w:themeColor="text1"/>
                <w:kern w:val="0"/>
                <w:sz w:val="24"/>
                <w:lang w:bidi="ar"/>
                <w14:textFill>
                  <w14:solidFill>
                    <w14:schemeClr w14:val="tx1"/>
                  </w14:solidFill>
                </w14:textFill>
              </w:rPr>
              <w:t>20</w:t>
            </w:r>
            <w:r>
              <w:rPr>
                <w:color w:val="000000" w:themeColor="text1"/>
                <w:kern w:val="0"/>
                <w:sz w:val="24"/>
                <w:lang w:bidi="ar"/>
                <w14:textFill>
                  <w14:solidFill>
                    <w14:schemeClr w14:val="tx1"/>
                  </w14:solidFill>
                </w14:textFill>
              </w:rPr>
              <w:t>人，</w:t>
            </w:r>
            <w:bookmarkStart w:id="39" w:name="OLE_LINK20"/>
            <w:r>
              <w:rPr>
                <w:bCs/>
                <w:color w:val="000000" w:themeColor="text1"/>
                <w:sz w:val="24"/>
                <w:szCs w:val="20"/>
                <w:lang w:bidi="ar"/>
                <w14:textFill>
                  <w14:solidFill>
                    <w14:schemeClr w14:val="tx1"/>
                  </w14:solidFill>
                </w14:textFill>
              </w:rPr>
              <w:t>参考《生活及服务业用水定额第</w:t>
            </w:r>
            <w:r>
              <w:rPr>
                <w:rFonts w:hint="eastAsia"/>
                <w:bCs/>
                <w:color w:val="000000" w:themeColor="text1"/>
                <w:sz w:val="24"/>
                <w:szCs w:val="20"/>
                <w:lang w:bidi="ar"/>
                <w14:textFill>
                  <w14:solidFill>
                    <w14:schemeClr w14:val="tx1"/>
                  </w14:solidFill>
                </w14:textFill>
              </w:rPr>
              <w:t>2</w:t>
            </w:r>
            <w:r>
              <w:rPr>
                <w:bCs/>
                <w:color w:val="000000" w:themeColor="text1"/>
                <w:sz w:val="24"/>
                <w:szCs w:val="20"/>
                <w:lang w:bidi="ar"/>
                <w14:textFill>
                  <w14:solidFill>
                    <w14:schemeClr w14:val="tx1"/>
                  </w14:solidFill>
                </w14:textFill>
              </w:rPr>
              <w:t>部分：</w:t>
            </w:r>
            <w:r>
              <w:rPr>
                <w:rFonts w:hint="eastAsia"/>
                <w:bCs/>
                <w:color w:val="000000" w:themeColor="text1"/>
                <w:sz w:val="24"/>
                <w:szCs w:val="20"/>
                <w:lang w:bidi="ar"/>
                <w14:textFill>
                  <w14:solidFill>
                    <w14:schemeClr w14:val="tx1"/>
                  </w14:solidFill>
                </w14:textFill>
              </w:rPr>
              <w:t>服务业、居民生活和建筑业</w:t>
            </w:r>
            <w:r>
              <w:rPr>
                <w:bCs/>
                <w:color w:val="000000" w:themeColor="text1"/>
                <w:sz w:val="24"/>
                <w:szCs w:val="20"/>
                <w:lang w:bidi="ar"/>
                <w14:textFill>
                  <w14:solidFill>
                    <w14:schemeClr w14:val="tx1"/>
                  </w14:solidFill>
                </w14:textFill>
              </w:rPr>
              <w:t>》（</w:t>
            </w:r>
            <w:r>
              <w:rPr>
                <w:rFonts w:hint="eastAsia"/>
                <w:bCs/>
                <w:color w:val="000000" w:themeColor="text1"/>
                <w:sz w:val="24"/>
                <w:szCs w:val="20"/>
                <w:lang w:bidi="ar"/>
                <w14:textFill>
                  <w14:solidFill>
                    <w14:schemeClr w14:val="tx1"/>
                  </w14:solidFill>
                </w14:textFill>
              </w:rPr>
              <w:t>赣府发〔2024〕17号</w:t>
            </w:r>
            <w:r>
              <w:rPr>
                <w:bCs/>
                <w:color w:val="000000" w:themeColor="text1"/>
                <w:sz w:val="24"/>
                <w:szCs w:val="20"/>
                <w:lang w:bidi="ar"/>
                <w14:textFill>
                  <w14:solidFill>
                    <w14:schemeClr w14:val="tx1"/>
                  </w14:solidFill>
                </w14:textFill>
              </w:rPr>
              <w:t>）中“表</w:t>
            </w:r>
            <w:r>
              <w:rPr>
                <w:rFonts w:hint="eastAsia"/>
                <w:bCs/>
                <w:color w:val="000000" w:themeColor="text1"/>
                <w:sz w:val="24"/>
                <w:szCs w:val="20"/>
                <w:lang w:bidi="ar"/>
                <w14:textFill>
                  <w14:solidFill>
                    <w14:schemeClr w14:val="tx1"/>
                  </w14:solidFill>
                </w14:textFill>
              </w:rPr>
              <w:t>11</w:t>
            </w:r>
            <w:r>
              <w:rPr>
                <w:bCs/>
                <w:color w:val="000000" w:themeColor="text1"/>
                <w:sz w:val="24"/>
                <w:szCs w:val="20"/>
                <w:lang w:bidi="ar"/>
                <w14:textFill>
                  <w14:solidFill>
                    <w14:schemeClr w14:val="tx1"/>
                  </w14:solidFill>
                </w14:textFill>
              </w:rPr>
              <w:t xml:space="preserve"> </w:t>
            </w:r>
            <w:r>
              <w:rPr>
                <w:rFonts w:hint="eastAsia"/>
                <w:bCs/>
                <w:color w:val="000000" w:themeColor="text1"/>
                <w:sz w:val="24"/>
                <w:szCs w:val="20"/>
                <w:lang w:bidi="ar"/>
                <w14:textFill>
                  <w14:solidFill>
                    <w14:schemeClr w14:val="tx1"/>
                  </w14:solidFill>
                </w14:textFill>
              </w:rPr>
              <w:t>农村居民生活用水定额指标</w:t>
            </w:r>
            <w:r>
              <w:rPr>
                <w:bCs/>
                <w:color w:val="000000" w:themeColor="text1"/>
                <w:sz w:val="24"/>
                <w:szCs w:val="20"/>
                <w:lang w:bidi="ar"/>
                <w14:textFill>
                  <w14:solidFill>
                    <w14:schemeClr w14:val="tx1"/>
                  </w14:solidFill>
                </w14:textFill>
              </w:rPr>
              <w:t>-</w:t>
            </w:r>
            <w:r>
              <w:rPr>
                <w:rFonts w:hint="eastAsia"/>
                <w:bCs/>
                <w:color w:val="000000" w:themeColor="text1"/>
                <w:sz w:val="24"/>
                <w:szCs w:val="20"/>
                <w:lang w:bidi="ar"/>
                <w14:textFill>
                  <w14:solidFill>
                    <w14:schemeClr w14:val="tx1"/>
                  </w14:solidFill>
                </w14:textFill>
              </w:rPr>
              <w:t>集中式供水</w:t>
            </w:r>
            <w:r>
              <w:rPr>
                <w:bCs/>
                <w:color w:val="000000" w:themeColor="text1"/>
                <w:sz w:val="24"/>
                <w:szCs w:val="20"/>
                <w:lang w:bidi="ar"/>
                <w14:textFill>
                  <w14:solidFill>
                    <w14:schemeClr w14:val="tx1"/>
                  </w14:solidFill>
                </w14:textFill>
              </w:rPr>
              <w:t>”</w:t>
            </w:r>
            <w:r>
              <w:rPr>
                <w:rFonts w:hint="eastAsia"/>
                <w:bCs/>
                <w:color w:val="000000" w:themeColor="text1"/>
                <w:sz w:val="24"/>
                <w:szCs w:val="20"/>
                <w:lang w:bidi="ar"/>
                <w14:textFill>
                  <w14:solidFill>
                    <w14:schemeClr w14:val="tx1"/>
                  </w14:solidFill>
                </w14:textFill>
              </w:rPr>
              <w:t xml:space="preserve"> 120L</w:t>
            </w:r>
            <w:r>
              <w:rPr>
                <w:bCs/>
                <w:color w:val="000000" w:themeColor="text1"/>
                <w:sz w:val="24"/>
                <w:szCs w:val="20"/>
                <w:lang w:bidi="ar"/>
                <w14:textFill>
                  <w14:solidFill>
                    <w14:schemeClr w14:val="tx1"/>
                  </w14:solidFill>
                </w14:textFill>
              </w:rPr>
              <w:t>/（人·</w:t>
            </w:r>
            <w:r>
              <w:rPr>
                <w:rFonts w:hint="eastAsia"/>
                <w:bCs/>
                <w:color w:val="000000" w:themeColor="text1"/>
                <w:sz w:val="24"/>
                <w:szCs w:val="20"/>
                <w:lang w:bidi="ar"/>
                <w14:textFill>
                  <w14:solidFill>
                    <w14:schemeClr w14:val="tx1"/>
                  </w14:solidFill>
                </w14:textFill>
              </w:rPr>
              <w:t>d</w:t>
            </w:r>
            <w:r>
              <w:rPr>
                <w:bCs/>
                <w:color w:val="000000" w:themeColor="text1"/>
                <w:sz w:val="24"/>
                <w:szCs w:val="20"/>
                <w:lang w:bidi="ar"/>
                <w14:textFill>
                  <w14:solidFill>
                    <w14:schemeClr w14:val="tx1"/>
                  </w14:solidFill>
                </w14:textFill>
              </w:rPr>
              <w:t>）计算</w:t>
            </w:r>
            <w:bookmarkEnd w:id="39"/>
            <w:r>
              <w:rPr>
                <w:bCs/>
                <w:color w:val="000000" w:themeColor="text1"/>
                <w:sz w:val="24"/>
                <w:szCs w:val="20"/>
                <w:lang w:bidi="ar"/>
                <w14:textFill>
                  <w14:solidFill>
                    <w14:schemeClr w14:val="tx1"/>
                  </w14:solidFill>
                </w14:textFill>
              </w:rPr>
              <w:t>，则项目生活用水量为</w:t>
            </w:r>
            <w:r>
              <w:rPr>
                <w:rFonts w:hint="eastAsia"/>
                <w:bCs/>
                <w:color w:val="000000" w:themeColor="text1"/>
                <w:sz w:val="24"/>
                <w:szCs w:val="20"/>
                <w:lang w:bidi="ar"/>
                <w14:textFill>
                  <w14:solidFill>
                    <w14:schemeClr w14:val="tx1"/>
                  </w14:solidFill>
                </w14:textFill>
              </w:rPr>
              <w:t>720</w:t>
            </w:r>
            <w:r>
              <w:rPr>
                <w:bCs/>
                <w:color w:val="000000" w:themeColor="text1"/>
                <w:sz w:val="24"/>
                <w:szCs w:val="20"/>
                <w:lang w:bidi="ar"/>
                <w14:textFill>
                  <w14:solidFill>
                    <w14:schemeClr w14:val="tx1"/>
                  </w14:solidFill>
                </w14:textFill>
              </w:rPr>
              <w:t>m</w:t>
            </w:r>
            <w:r>
              <w:rPr>
                <w:bCs/>
                <w:color w:val="000000" w:themeColor="text1"/>
                <w:sz w:val="24"/>
                <w:szCs w:val="20"/>
                <w:vertAlign w:val="superscript"/>
                <w:lang w:bidi="ar"/>
                <w14:textFill>
                  <w14:solidFill>
                    <w14:schemeClr w14:val="tx1"/>
                  </w14:solidFill>
                </w14:textFill>
              </w:rPr>
              <w:t>3</w:t>
            </w:r>
            <w:r>
              <w:rPr>
                <w:bCs/>
                <w:color w:val="000000" w:themeColor="text1"/>
                <w:sz w:val="24"/>
                <w:szCs w:val="20"/>
                <w:lang w:bidi="ar"/>
                <w14:textFill>
                  <w14:solidFill>
                    <w14:schemeClr w14:val="tx1"/>
                  </w14:solidFill>
                </w14:textFill>
              </w:rPr>
              <w:t>/a（</w:t>
            </w:r>
            <w:r>
              <w:rPr>
                <w:rFonts w:hint="eastAsia"/>
                <w:bCs/>
                <w:color w:val="000000" w:themeColor="text1"/>
                <w:sz w:val="24"/>
                <w:szCs w:val="20"/>
                <w:lang w:bidi="ar"/>
                <w14:textFill>
                  <w14:solidFill>
                    <w14:schemeClr w14:val="tx1"/>
                  </w14:solidFill>
                </w14:textFill>
              </w:rPr>
              <w:t>2.4</w:t>
            </w:r>
            <w:r>
              <w:rPr>
                <w:bCs/>
                <w:color w:val="000000" w:themeColor="text1"/>
                <w:sz w:val="24"/>
                <w:szCs w:val="20"/>
                <w:lang w:bidi="ar"/>
                <w14:textFill>
                  <w14:solidFill>
                    <w14:schemeClr w14:val="tx1"/>
                  </w14:solidFill>
                </w14:textFill>
              </w:rPr>
              <w:t>m</w:t>
            </w:r>
            <w:r>
              <w:rPr>
                <w:bCs/>
                <w:color w:val="000000" w:themeColor="text1"/>
                <w:sz w:val="24"/>
                <w:szCs w:val="20"/>
                <w:vertAlign w:val="superscript"/>
                <w:lang w:bidi="ar"/>
                <w14:textFill>
                  <w14:solidFill>
                    <w14:schemeClr w14:val="tx1"/>
                  </w14:solidFill>
                </w14:textFill>
              </w:rPr>
              <w:t>3</w:t>
            </w:r>
            <w:r>
              <w:rPr>
                <w:bCs/>
                <w:color w:val="000000" w:themeColor="text1"/>
                <w:sz w:val="24"/>
                <w:szCs w:val="20"/>
                <w:lang w:bidi="ar"/>
                <w14:textFill>
                  <w14:solidFill>
                    <w14:schemeClr w14:val="tx1"/>
                  </w14:solidFill>
                </w14:textFill>
              </w:rPr>
              <w:t>/d），排放量按产生量的80%计</w:t>
            </w:r>
            <w:r>
              <w:rPr>
                <w:color w:val="000000" w:themeColor="text1"/>
                <w:sz w:val="24"/>
                <w14:textFill>
                  <w14:solidFill>
                    <w14:schemeClr w14:val="tx1"/>
                  </w14:solidFill>
                </w14:textFill>
              </w:rPr>
              <w:t>，则其排放量为</w:t>
            </w:r>
            <w:r>
              <w:rPr>
                <w:rFonts w:hint="eastAsia"/>
                <w:color w:val="000000" w:themeColor="text1"/>
                <w:sz w:val="24"/>
                <w14:textFill>
                  <w14:solidFill>
                    <w14:schemeClr w14:val="tx1"/>
                  </w14:solidFill>
                </w14:textFill>
              </w:rPr>
              <w:t>576</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/a（</w:t>
            </w:r>
            <w:r>
              <w:rPr>
                <w:rFonts w:hint="eastAsia"/>
                <w:color w:val="000000" w:themeColor="text1"/>
                <w:sz w:val="24"/>
                <w14:textFill>
                  <w14:solidFill>
                    <w14:schemeClr w14:val="tx1"/>
                  </w14:solidFill>
                </w14:textFill>
              </w:rPr>
              <w:t>1.92</w:t>
            </w:r>
            <w:r>
              <w:rPr>
                <w:color w:val="000000" w:themeColor="text1"/>
                <w:kern w:val="0"/>
                <w:sz w:val="24"/>
                <w:lang w:bidi="ar"/>
                <w14:textFill>
                  <w14:solidFill>
                    <w14:schemeClr w14:val="tx1"/>
                  </w14:solidFill>
                </w14:textFill>
              </w:rPr>
              <w:t>m</w:t>
            </w:r>
            <w:r>
              <w:rPr>
                <w:color w:val="000000" w:themeColor="text1"/>
                <w:kern w:val="0"/>
                <w:sz w:val="24"/>
                <w:vertAlign w:val="superscript"/>
                <w:lang w:bidi="ar"/>
                <w14:textFill>
                  <w14:solidFill>
                    <w14:schemeClr w14:val="tx1"/>
                  </w14:solidFill>
                </w14:textFill>
              </w:rPr>
              <w:t>3</w:t>
            </w:r>
            <w:r>
              <w:rPr>
                <w:color w:val="000000" w:themeColor="text1"/>
                <w:kern w:val="0"/>
                <w:sz w:val="24"/>
                <w:lang w:bidi="ar"/>
                <w14:textFill>
                  <w14:solidFill>
                    <w14:schemeClr w14:val="tx1"/>
                  </w14:solidFill>
                </w14:textFill>
              </w:rPr>
              <w:t>/d</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，经隔油池+化粪池预处理后通过市政污水管网进入金山工业园污水处理厂进行进一步处理</w:t>
            </w:r>
            <w:r>
              <w:rPr>
                <w:color w:val="000000" w:themeColor="text1"/>
                <w:sz w:val="24"/>
                <w14:textFill>
                  <w14:solidFill>
                    <w14:schemeClr w14:val="tx1"/>
                  </w14:solidFill>
                </w14:textFill>
              </w:rPr>
              <w:t>。</w:t>
            </w:r>
          </w:p>
          <w:p w14:paraId="01D9586A">
            <w:pPr>
              <w:widowControl/>
              <w:spacing w:line="360" w:lineRule="auto"/>
              <w:ind w:firstLine="480" w:firstLineChars="200"/>
              <w:rPr>
                <w:color w:val="000000" w:themeColor="text1"/>
                <w:kern w:val="0"/>
                <w:sz w:val="24"/>
                <w:lang w:bidi="ar"/>
                <w14:textFill>
                  <w14:solidFill>
                    <w14:schemeClr w14:val="tx1"/>
                  </w14:solidFill>
                </w14:textFill>
              </w:rPr>
            </w:pPr>
            <w:r>
              <w:rPr>
                <w:rFonts w:hint="eastAsia"/>
                <w:color w:val="000000" w:themeColor="text1"/>
                <w:kern w:val="0"/>
                <w:sz w:val="24"/>
                <w:lang w:bidi="ar"/>
                <w14:textFill>
                  <w14:solidFill>
                    <w14:schemeClr w14:val="tx1"/>
                  </w14:solidFill>
                </w14:textFill>
              </w:rPr>
              <w:t>2、</w:t>
            </w:r>
            <w:bookmarkStart w:id="40" w:name="OLE_LINK29"/>
            <w:r>
              <w:rPr>
                <w:rFonts w:hint="eastAsia"/>
                <w:color w:val="000000" w:themeColor="text1"/>
                <w:kern w:val="0"/>
                <w:sz w:val="24"/>
                <w:lang w:bidi="ar"/>
                <w14:textFill>
                  <w14:solidFill>
                    <w14:schemeClr w14:val="tx1"/>
                  </w14:solidFill>
                </w14:textFill>
              </w:rPr>
              <w:t>过水池</w:t>
            </w:r>
            <w:bookmarkEnd w:id="40"/>
            <w:r>
              <w:rPr>
                <w:rFonts w:hint="eastAsia"/>
                <w:color w:val="000000" w:themeColor="text1"/>
                <w:kern w:val="0"/>
                <w:sz w:val="24"/>
                <w:lang w:bidi="ar"/>
                <w14:textFill>
                  <w14:solidFill>
                    <w14:schemeClr w14:val="tx1"/>
                  </w14:solidFill>
                </w14:textFill>
              </w:rPr>
              <w:t>清洗用水</w:t>
            </w:r>
          </w:p>
          <w:p w14:paraId="0A217EDA">
            <w:pPr>
              <w:widowControl/>
              <w:spacing w:line="360" w:lineRule="auto"/>
              <w:ind w:firstLine="480" w:firstLineChars="200"/>
              <w:rPr>
                <w:color w:val="000000" w:themeColor="text1"/>
                <w:kern w:val="0"/>
                <w:sz w:val="24"/>
                <w:lang w:bidi="ar"/>
                <w14:textFill>
                  <w14:solidFill>
                    <w14:schemeClr w14:val="tx1"/>
                  </w14:solidFill>
                </w14:textFill>
              </w:rPr>
            </w:pPr>
            <w:r>
              <w:rPr>
                <w:color w:val="000000" w:themeColor="text1"/>
                <w:kern w:val="0"/>
                <w:sz w:val="24"/>
                <w:lang w:bidi="ar"/>
                <w14:textFill>
                  <w14:solidFill>
                    <w14:schemeClr w14:val="tx1"/>
                  </w14:solidFill>
                </w14:textFill>
              </w:rPr>
              <w:t>项目</w:t>
            </w:r>
            <w:r>
              <w:rPr>
                <w:rFonts w:hint="eastAsia"/>
                <w:color w:val="000000" w:themeColor="text1"/>
                <w:kern w:val="0"/>
                <w:sz w:val="24"/>
                <w:lang w:bidi="ar"/>
                <w14:textFill>
                  <w14:solidFill>
                    <w14:schemeClr w14:val="tx1"/>
                  </w14:solidFill>
                </w14:textFill>
              </w:rPr>
              <w:t>毛石采用过水工艺去除附着的杂质。根据建设单位提供资料</w:t>
            </w:r>
            <w:r>
              <w:rPr>
                <w:color w:val="000000" w:themeColor="text1"/>
                <w:kern w:val="0"/>
                <w:sz w:val="24"/>
                <w:lang w:bidi="ar"/>
                <w14:textFill>
                  <w14:solidFill>
                    <w14:schemeClr w14:val="tx1"/>
                  </w14:solidFill>
                </w14:textFill>
              </w:rPr>
              <w:t>，</w:t>
            </w:r>
            <w:r>
              <w:rPr>
                <w:rFonts w:hint="eastAsia"/>
                <w:color w:val="000000" w:themeColor="text1"/>
                <w:kern w:val="0"/>
                <w:sz w:val="24"/>
                <w:lang w:bidi="ar"/>
                <w14:textFill>
                  <w14:solidFill>
                    <w14:schemeClr w14:val="tx1"/>
                  </w14:solidFill>
                </w14:textFill>
              </w:rPr>
              <w:t>生产加工用水量</w:t>
            </w:r>
            <w:r>
              <w:rPr>
                <w:color w:val="000000" w:themeColor="text1"/>
                <w:kern w:val="0"/>
                <w:sz w:val="24"/>
                <w:lang w:bidi="ar"/>
                <w14:textFill>
                  <w14:solidFill>
                    <w14:schemeClr w14:val="tx1"/>
                  </w14:solidFill>
                </w14:textFill>
              </w:rPr>
              <w:t>与</w:t>
            </w:r>
            <w:r>
              <w:rPr>
                <w:rFonts w:hint="eastAsia"/>
                <w:color w:val="000000" w:themeColor="text1"/>
                <w:kern w:val="0"/>
                <w:sz w:val="24"/>
                <w:lang w:bidi="ar"/>
                <w14:textFill>
                  <w14:solidFill>
                    <w14:schemeClr w14:val="tx1"/>
                  </w14:solidFill>
                </w14:textFill>
              </w:rPr>
              <w:t>毛</w:t>
            </w:r>
            <w:r>
              <w:rPr>
                <w:color w:val="000000" w:themeColor="text1"/>
                <w:kern w:val="0"/>
                <w:sz w:val="24"/>
                <w:lang w:bidi="ar"/>
                <w14:textFill>
                  <w14:solidFill>
                    <w14:schemeClr w14:val="tx1"/>
                  </w14:solidFill>
                </w14:textFill>
              </w:rPr>
              <w:t>石比例</w:t>
            </w:r>
            <w:r>
              <w:rPr>
                <w:rFonts w:hint="eastAsia"/>
                <w:color w:val="000000" w:themeColor="text1"/>
                <w:kern w:val="0"/>
                <w:sz w:val="24"/>
                <w:lang w:bidi="ar"/>
                <w14:textFill>
                  <w14:solidFill>
                    <w14:schemeClr w14:val="tx1"/>
                  </w14:solidFill>
                </w14:textFill>
              </w:rPr>
              <w:t>约</w:t>
            </w:r>
            <w:r>
              <w:rPr>
                <w:color w:val="000000" w:themeColor="text1"/>
                <w:kern w:val="0"/>
                <w:sz w:val="24"/>
                <w:lang w:bidi="ar"/>
                <w14:textFill>
                  <w14:solidFill>
                    <w14:schemeClr w14:val="tx1"/>
                  </w14:solidFill>
                </w14:textFill>
              </w:rPr>
              <w:t>为1：1，本项目处理</w:t>
            </w:r>
            <w:r>
              <w:rPr>
                <w:rFonts w:hint="eastAsia"/>
                <w:color w:val="000000" w:themeColor="text1"/>
                <w:kern w:val="0"/>
                <w:sz w:val="24"/>
                <w:lang w:bidi="ar"/>
                <w14:textFill>
                  <w14:solidFill>
                    <w14:schemeClr w14:val="tx1"/>
                  </w14:solidFill>
                </w14:textFill>
              </w:rPr>
              <w:t>石料</w:t>
            </w:r>
            <w:r>
              <w:rPr>
                <w:color w:val="000000" w:themeColor="text1"/>
                <w:kern w:val="0"/>
                <w:sz w:val="24"/>
                <w:lang w:bidi="ar"/>
                <w14:textFill>
                  <w14:solidFill>
                    <w14:schemeClr w14:val="tx1"/>
                  </w14:solidFill>
                </w14:textFill>
              </w:rPr>
              <w:t>为</w:t>
            </w:r>
            <w:r>
              <w:rPr>
                <w:rFonts w:hint="eastAsia"/>
                <w:color w:val="000000" w:themeColor="text1"/>
                <w:kern w:val="0"/>
                <w:sz w:val="24"/>
                <w:lang w:bidi="ar"/>
                <w14:textFill>
                  <w14:solidFill>
                    <w14:schemeClr w14:val="tx1"/>
                  </w14:solidFill>
                </w14:textFill>
              </w:rPr>
              <w:t>887200</w:t>
            </w:r>
            <w:r>
              <w:rPr>
                <w:color w:val="000000" w:themeColor="text1"/>
                <w:kern w:val="0"/>
                <w:sz w:val="24"/>
                <w:lang w:bidi="ar"/>
                <w14:textFill>
                  <w14:solidFill>
                    <w14:schemeClr w14:val="tx1"/>
                  </w14:solidFill>
                </w14:textFill>
              </w:rPr>
              <w:t>t/a，</w:t>
            </w:r>
            <w:r>
              <w:rPr>
                <w:rFonts w:hint="eastAsia"/>
                <w:color w:val="000000" w:themeColor="text1"/>
                <w:kern w:val="0"/>
                <w:sz w:val="24"/>
                <w:lang w:bidi="ar"/>
                <w14:textFill>
                  <w14:solidFill>
                    <w14:schemeClr w14:val="tx1"/>
                  </w14:solidFill>
                </w14:textFill>
              </w:rPr>
              <w:t>根据建设单位提供的资料过水池</w:t>
            </w:r>
            <w:r>
              <w:rPr>
                <w:color w:val="000000" w:themeColor="text1"/>
                <w:kern w:val="0"/>
                <w:sz w:val="24"/>
                <w:lang w:bidi="ar"/>
                <w14:textFill>
                  <w14:solidFill>
                    <w14:schemeClr w14:val="tx1"/>
                  </w14:solidFill>
                </w14:textFill>
              </w:rPr>
              <w:t>用水量为</w:t>
            </w:r>
            <w:r>
              <w:rPr>
                <w:rFonts w:hint="eastAsia"/>
                <w:color w:val="000000" w:themeColor="text1"/>
                <w:kern w:val="0"/>
                <w:sz w:val="24"/>
                <w:lang w:bidi="ar"/>
                <w14:textFill>
                  <w14:solidFill>
                    <w14:schemeClr w14:val="tx1"/>
                  </w14:solidFill>
                </w14:textFill>
              </w:rPr>
              <w:t>887200m</w:t>
            </w:r>
            <w:r>
              <w:rPr>
                <w:rFonts w:hint="eastAsia"/>
                <w:color w:val="000000" w:themeColor="text1"/>
                <w:kern w:val="0"/>
                <w:sz w:val="24"/>
                <w:vertAlign w:val="superscript"/>
                <w:lang w:bidi="ar"/>
                <w14:textFill>
                  <w14:solidFill>
                    <w14:schemeClr w14:val="tx1"/>
                  </w14:solidFill>
                </w14:textFill>
              </w:rPr>
              <w:t>3</w:t>
            </w:r>
            <w:r>
              <w:rPr>
                <w:color w:val="000000" w:themeColor="text1"/>
                <w:kern w:val="0"/>
                <w:sz w:val="24"/>
                <w:lang w:bidi="ar"/>
                <w14:textFill>
                  <w14:solidFill>
                    <w14:schemeClr w14:val="tx1"/>
                  </w14:solidFill>
                </w14:textFill>
              </w:rPr>
              <w:t>/a，</w:t>
            </w:r>
            <w:r>
              <w:rPr>
                <w:rFonts w:hint="eastAsia"/>
                <w:color w:val="000000" w:themeColor="text1"/>
                <w:kern w:val="0"/>
                <w:sz w:val="24"/>
                <w:lang w:bidi="ar"/>
                <w14:textFill>
                  <w14:solidFill>
                    <w14:schemeClr w14:val="tx1"/>
                  </w14:solidFill>
                </w14:textFill>
              </w:rPr>
              <w:t>毛石</w:t>
            </w:r>
            <w:r>
              <w:rPr>
                <w:color w:val="000000" w:themeColor="text1"/>
                <w:kern w:val="0"/>
                <w:sz w:val="24"/>
                <w:lang w:bidi="ar"/>
                <w14:textFill>
                  <w14:solidFill>
                    <w14:schemeClr w14:val="tx1"/>
                  </w14:solidFill>
                </w14:textFill>
              </w:rPr>
              <w:t>随</w:t>
            </w:r>
            <w:r>
              <w:rPr>
                <w:rFonts w:hint="eastAsia"/>
                <w:color w:val="000000" w:themeColor="text1"/>
                <w:kern w:val="0"/>
                <w:sz w:val="24"/>
                <w:lang w:bidi="ar"/>
                <w14:textFill>
                  <w14:solidFill>
                    <w14:schemeClr w14:val="tx1"/>
                  </w14:solidFill>
                </w14:textFill>
              </w:rPr>
              <w:t>传送带</w:t>
            </w:r>
            <w:r>
              <w:rPr>
                <w:color w:val="000000" w:themeColor="text1"/>
                <w:kern w:val="0"/>
                <w:sz w:val="24"/>
                <w:lang w:bidi="ar"/>
                <w14:textFill>
                  <w14:solidFill>
                    <w14:schemeClr w14:val="tx1"/>
                  </w14:solidFill>
                </w14:textFill>
              </w:rPr>
              <w:t>进入</w:t>
            </w:r>
            <w:r>
              <w:rPr>
                <w:rFonts w:hint="eastAsia"/>
                <w:color w:val="000000" w:themeColor="text1"/>
                <w:kern w:val="0"/>
                <w:sz w:val="24"/>
                <w:lang w:bidi="ar"/>
                <w14:textFill>
                  <w14:solidFill>
                    <w14:schemeClr w14:val="tx1"/>
                  </w14:solidFill>
                </w14:textFill>
              </w:rPr>
              <w:t>过水池（5.5×3m×1.5m）</w:t>
            </w:r>
            <w:r>
              <w:rPr>
                <w:color w:val="000000" w:themeColor="text1"/>
                <w:kern w:val="0"/>
                <w:sz w:val="24"/>
                <w:lang w:bidi="ar"/>
                <w14:textFill>
                  <w14:solidFill>
                    <w14:schemeClr w14:val="tx1"/>
                  </w14:solidFill>
                </w14:textFill>
              </w:rPr>
              <w:t>洗去杂质后随即转出进入</w:t>
            </w:r>
            <w:r>
              <w:rPr>
                <w:rFonts w:hint="eastAsia"/>
                <w:color w:val="000000" w:themeColor="text1"/>
                <w:kern w:val="0"/>
                <w:sz w:val="24"/>
                <w:lang w:bidi="ar"/>
                <w14:textFill>
                  <w14:solidFill>
                    <w14:schemeClr w14:val="tx1"/>
                  </w14:solidFill>
                </w14:textFill>
              </w:rPr>
              <w:t>脱水筛振动</w:t>
            </w:r>
            <w:r>
              <w:rPr>
                <w:color w:val="000000" w:themeColor="text1"/>
                <w:kern w:val="0"/>
                <w:sz w:val="24"/>
                <w:lang w:bidi="ar"/>
                <w14:textFill>
                  <w14:solidFill>
                    <w14:schemeClr w14:val="tx1"/>
                  </w14:solidFill>
                </w14:textFill>
              </w:rPr>
              <w:t>脱水，脱下水与</w:t>
            </w:r>
            <w:bookmarkStart w:id="41" w:name="OLE_LINK18"/>
            <w:r>
              <w:rPr>
                <w:rFonts w:hint="eastAsia"/>
                <w:color w:val="000000" w:themeColor="text1"/>
                <w:kern w:val="0"/>
                <w:sz w:val="24"/>
                <w:lang w:bidi="ar"/>
                <w14:textFill>
                  <w14:solidFill>
                    <w14:schemeClr w14:val="tx1"/>
                  </w14:solidFill>
                </w14:textFill>
              </w:rPr>
              <w:t>过水池</w:t>
            </w:r>
            <w:bookmarkEnd w:id="41"/>
            <w:r>
              <w:rPr>
                <w:color w:val="000000" w:themeColor="text1"/>
                <w:kern w:val="0"/>
                <w:sz w:val="24"/>
                <w:lang w:bidi="ar"/>
                <w14:textFill>
                  <w14:solidFill>
                    <w14:schemeClr w14:val="tx1"/>
                  </w14:solidFill>
                </w14:textFill>
              </w:rPr>
              <w:t>废水可重复利用，过水池</w:t>
            </w:r>
            <w:r>
              <w:rPr>
                <w:rFonts w:hint="eastAsia"/>
                <w:color w:val="000000" w:themeColor="text1"/>
                <w:kern w:val="0"/>
                <w:sz w:val="24"/>
                <w:lang w:bidi="ar"/>
                <w14:textFill>
                  <w14:solidFill>
                    <w14:schemeClr w14:val="tx1"/>
                  </w14:solidFill>
                </w14:textFill>
              </w:rPr>
              <w:t>废水经砂石分离机分离泥渣，经分离后的砂石和浆水回用于生产，泥渣经压滤后的脱水回用于生产，</w:t>
            </w:r>
            <w:r>
              <w:rPr>
                <w:color w:val="000000" w:themeColor="text1"/>
                <w:kern w:val="0"/>
                <w:sz w:val="24"/>
                <w:lang w:bidi="ar"/>
                <w14:textFill>
                  <w14:solidFill>
                    <w14:schemeClr w14:val="tx1"/>
                  </w14:solidFill>
                </w14:textFill>
              </w:rPr>
              <w:t>仅需补充少量因蒸发</w:t>
            </w:r>
            <w:r>
              <w:rPr>
                <w:rFonts w:hint="eastAsia"/>
                <w:color w:val="000000" w:themeColor="text1"/>
                <w:kern w:val="0"/>
                <w:sz w:val="24"/>
                <w:lang w:bidi="ar"/>
                <w14:textFill>
                  <w14:solidFill>
                    <w14:schemeClr w14:val="tx1"/>
                  </w14:solidFill>
                </w14:textFill>
              </w:rPr>
              <w:t>、产品和压滤泥渣</w:t>
            </w:r>
            <w:r>
              <w:rPr>
                <w:color w:val="000000" w:themeColor="text1"/>
                <w:kern w:val="0"/>
                <w:sz w:val="24"/>
                <w:lang w:bidi="ar"/>
                <w14:textFill>
                  <w14:solidFill>
                    <w14:schemeClr w14:val="tx1"/>
                  </w14:solidFill>
                </w14:textFill>
              </w:rPr>
              <w:t>带走的废水</w:t>
            </w:r>
            <w:r>
              <w:rPr>
                <w:rFonts w:hint="eastAsia"/>
                <w:color w:val="000000" w:themeColor="text1"/>
                <w:kern w:val="0"/>
                <w:sz w:val="24"/>
                <w:lang w:bidi="ar"/>
                <w14:textFill>
                  <w14:solidFill>
                    <w14:schemeClr w14:val="tx1"/>
                  </w14:solidFill>
                </w14:textFill>
              </w:rPr>
              <w:t>：</w:t>
            </w:r>
            <w:r>
              <w:rPr>
                <w:color w:val="000000" w:themeColor="text1"/>
                <w:kern w:val="0"/>
                <w:sz w:val="24"/>
                <w:lang w:bidi="ar"/>
                <w14:textFill>
                  <w14:solidFill>
                    <w14:schemeClr w14:val="tx1"/>
                  </w14:solidFill>
                </w14:textFill>
              </w:rPr>
              <w:t>其中</w:t>
            </w:r>
            <w:r>
              <w:rPr>
                <w:rFonts w:hint="eastAsia"/>
                <w:color w:val="000000" w:themeColor="text1"/>
                <w:kern w:val="0"/>
                <w:sz w:val="24"/>
                <w:lang w:bidi="ar"/>
                <w14:textFill>
                  <w14:solidFill>
                    <w14:schemeClr w14:val="tx1"/>
                  </w14:solidFill>
                </w14:textFill>
              </w:rPr>
              <w:t>蒸发损耗17744</w:t>
            </w:r>
            <w:r>
              <w:rPr>
                <w:color w:val="000000" w:themeColor="text1"/>
                <w:kern w:val="0"/>
                <w:sz w:val="24"/>
                <w:lang w:bidi="ar"/>
                <w14:textFill>
                  <w14:solidFill>
                    <w14:schemeClr w14:val="tx1"/>
                  </w14:solidFill>
                </w14:textFill>
              </w:rPr>
              <w:t>m</w:t>
            </w:r>
            <w:r>
              <w:rPr>
                <w:color w:val="000000" w:themeColor="text1"/>
                <w:kern w:val="0"/>
                <w:sz w:val="24"/>
                <w:vertAlign w:val="superscript"/>
                <w:lang w:bidi="ar"/>
                <w14:textFill>
                  <w14:solidFill>
                    <w14:schemeClr w14:val="tx1"/>
                  </w14:solidFill>
                </w14:textFill>
              </w:rPr>
              <w:t>3</w:t>
            </w:r>
            <w:r>
              <w:rPr>
                <w:color w:val="000000" w:themeColor="text1"/>
                <w:kern w:val="0"/>
                <w:sz w:val="24"/>
                <w:lang w:bidi="ar"/>
                <w14:textFill>
                  <w14:solidFill>
                    <w14:schemeClr w14:val="tx1"/>
                  </w14:solidFill>
                </w14:textFill>
              </w:rPr>
              <w:t>/a</w:t>
            </w:r>
            <w:r>
              <w:rPr>
                <w:rFonts w:hint="eastAsia"/>
                <w:color w:val="000000" w:themeColor="text1"/>
                <w:kern w:val="0"/>
                <w:sz w:val="24"/>
                <w:lang w:bidi="ar"/>
                <w14:textFill>
                  <w14:solidFill>
                    <w14:schemeClr w14:val="tx1"/>
                  </w14:solidFill>
                </w14:textFill>
              </w:rPr>
              <w:t>，约占用水量的2%；半成</w:t>
            </w:r>
            <w:r>
              <w:rPr>
                <w:color w:val="000000" w:themeColor="text1"/>
                <w:kern w:val="0"/>
                <w:sz w:val="24"/>
                <w:lang w:bidi="ar"/>
                <w14:textFill>
                  <w14:solidFill>
                    <w14:schemeClr w14:val="tx1"/>
                  </w14:solidFill>
                </w14:textFill>
              </w:rPr>
              <w:t>品</w:t>
            </w:r>
            <w:r>
              <w:rPr>
                <w:rFonts w:hint="eastAsia"/>
                <w:color w:val="000000" w:themeColor="text1"/>
                <w:kern w:val="0"/>
                <w:sz w:val="24"/>
                <w:lang w:bidi="ar"/>
                <w14:textFill>
                  <w14:solidFill>
                    <w14:schemeClr w14:val="tx1"/>
                  </w14:solidFill>
                </w14:textFill>
              </w:rPr>
              <w:t>（</w:t>
            </w:r>
            <w:r>
              <w:rPr>
                <w:rFonts w:hint="eastAsia"/>
                <w:bCs/>
                <w:color w:val="000000" w:themeColor="text1"/>
                <w:sz w:val="24"/>
                <w14:textFill>
                  <w14:solidFill>
                    <w14:schemeClr w14:val="tx1"/>
                  </w14:solidFill>
                </w14:textFill>
              </w:rPr>
              <w:t>小颗粒骨料、中颗粒骨料</w:t>
            </w:r>
            <w:r>
              <w:rPr>
                <w:rFonts w:hint="eastAsia"/>
                <w:color w:val="000000" w:themeColor="text1"/>
                <w:kern w:val="0"/>
                <w:sz w:val="24"/>
                <w:lang w:bidi="ar"/>
                <w14:textFill>
                  <w14:solidFill>
                    <w14:schemeClr w14:val="tx1"/>
                  </w14:solidFill>
                </w14:textFill>
              </w:rPr>
              <w:t>含水率分别约为5%和3%）</w:t>
            </w:r>
            <w:r>
              <w:rPr>
                <w:color w:val="000000" w:themeColor="text1"/>
                <w:kern w:val="0"/>
                <w:sz w:val="24"/>
                <w:lang w:bidi="ar"/>
                <w14:textFill>
                  <w14:solidFill>
                    <w14:schemeClr w14:val="tx1"/>
                  </w14:solidFill>
                </w14:textFill>
              </w:rPr>
              <w:t>带走损耗水量约</w:t>
            </w:r>
            <w:r>
              <w:rPr>
                <w:rFonts w:hint="eastAsia"/>
                <w:color w:val="000000" w:themeColor="text1"/>
                <w:kern w:val="0"/>
                <w:sz w:val="24"/>
                <w:lang w:bidi="ar"/>
                <w14:textFill>
                  <w14:solidFill>
                    <w14:schemeClr w14:val="tx1"/>
                  </w14:solidFill>
                </w14:textFill>
              </w:rPr>
              <w:t>305</w:t>
            </w:r>
            <w:r>
              <w:rPr>
                <w:color w:val="000000" w:themeColor="text1"/>
                <w:kern w:val="0"/>
                <w:sz w:val="24"/>
                <w:lang w:bidi="ar"/>
                <w14:textFill>
                  <w14:solidFill>
                    <w14:schemeClr w14:val="tx1"/>
                  </w14:solidFill>
                </w14:textFill>
              </w:rPr>
              <w:t>00m</w:t>
            </w:r>
            <w:r>
              <w:rPr>
                <w:color w:val="000000" w:themeColor="text1"/>
                <w:kern w:val="0"/>
                <w:sz w:val="24"/>
                <w:vertAlign w:val="superscript"/>
                <w:lang w:bidi="ar"/>
                <w14:textFill>
                  <w14:solidFill>
                    <w14:schemeClr w14:val="tx1"/>
                  </w14:solidFill>
                </w14:textFill>
              </w:rPr>
              <w:t>3</w:t>
            </w:r>
            <w:r>
              <w:rPr>
                <w:color w:val="000000" w:themeColor="text1"/>
                <w:kern w:val="0"/>
                <w:sz w:val="24"/>
                <w:lang w:bidi="ar"/>
                <w14:textFill>
                  <w14:solidFill>
                    <w14:schemeClr w14:val="tx1"/>
                  </w14:solidFill>
                </w14:textFill>
              </w:rPr>
              <w:t>/a</w:t>
            </w:r>
            <w:r>
              <w:rPr>
                <w:rFonts w:hint="eastAsia"/>
                <w:color w:val="000000" w:themeColor="text1"/>
                <w:kern w:val="0"/>
                <w:sz w:val="24"/>
                <w:lang w:bidi="ar"/>
                <w14:textFill>
                  <w14:solidFill>
                    <w14:schemeClr w14:val="tx1"/>
                  </w14:solidFill>
                </w14:textFill>
              </w:rPr>
              <w:t>，振动脱水回用于生产；压滤泥渣（压滤泥渣产生量17988.263t/a，含水率约60%）带走损耗水量约10792</w:t>
            </w:r>
            <w:r>
              <w:rPr>
                <w:color w:val="000000" w:themeColor="text1"/>
                <w:kern w:val="0"/>
                <w:sz w:val="24"/>
                <w:lang w:bidi="ar"/>
                <w14:textFill>
                  <w14:solidFill>
                    <w14:schemeClr w14:val="tx1"/>
                  </w14:solidFill>
                </w14:textFill>
              </w:rPr>
              <w:t>m</w:t>
            </w:r>
            <w:r>
              <w:rPr>
                <w:color w:val="000000" w:themeColor="text1"/>
                <w:kern w:val="0"/>
                <w:sz w:val="24"/>
                <w:vertAlign w:val="superscript"/>
                <w:lang w:bidi="ar"/>
                <w14:textFill>
                  <w14:solidFill>
                    <w14:schemeClr w14:val="tx1"/>
                  </w14:solidFill>
                </w14:textFill>
              </w:rPr>
              <w:t>3</w:t>
            </w:r>
            <w:r>
              <w:rPr>
                <w:color w:val="000000" w:themeColor="text1"/>
                <w:kern w:val="0"/>
                <w:sz w:val="24"/>
                <w:lang w:bidi="ar"/>
                <w14:textFill>
                  <w14:solidFill>
                    <w14:schemeClr w14:val="tx1"/>
                  </w14:solidFill>
                </w14:textFill>
              </w:rPr>
              <w:t>/a</w:t>
            </w:r>
            <w:r>
              <w:rPr>
                <w:rFonts w:hint="eastAsia"/>
                <w:color w:val="000000" w:themeColor="text1"/>
                <w:kern w:val="0"/>
                <w:sz w:val="24"/>
                <w:lang w:bidi="ar"/>
                <w14:textFill>
                  <w14:solidFill>
                    <w14:schemeClr w14:val="tx1"/>
                  </w14:solidFill>
                </w14:textFill>
              </w:rPr>
              <w:t>。项目废水经沉淀和压滤后回用，回用水量为828164</w:t>
            </w:r>
            <w:r>
              <w:rPr>
                <w:color w:val="000000" w:themeColor="text1"/>
                <w:kern w:val="0"/>
                <w:sz w:val="24"/>
                <w:lang w:bidi="ar"/>
                <w14:textFill>
                  <w14:solidFill>
                    <w14:schemeClr w14:val="tx1"/>
                  </w14:solidFill>
                </w14:textFill>
              </w:rPr>
              <w:t>m</w:t>
            </w:r>
            <w:r>
              <w:rPr>
                <w:color w:val="000000" w:themeColor="text1"/>
                <w:kern w:val="0"/>
                <w:sz w:val="24"/>
                <w:vertAlign w:val="superscript"/>
                <w:lang w:bidi="ar"/>
                <w14:textFill>
                  <w14:solidFill>
                    <w14:schemeClr w14:val="tx1"/>
                  </w14:solidFill>
                </w14:textFill>
              </w:rPr>
              <w:t>3</w:t>
            </w:r>
            <w:r>
              <w:rPr>
                <w:color w:val="000000" w:themeColor="text1"/>
                <w:kern w:val="0"/>
                <w:sz w:val="24"/>
                <w:lang w:bidi="ar"/>
                <w14:textFill>
                  <w14:solidFill>
                    <w14:schemeClr w14:val="tx1"/>
                  </w14:solidFill>
                </w14:textFill>
              </w:rPr>
              <w:t>/a</w:t>
            </w:r>
            <w:r>
              <w:rPr>
                <w:rFonts w:hint="eastAsia"/>
                <w:color w:val="000000" w:themeColor="text1"/>
                <w:kern w:val="0"/>
                <w:sz w:val="24"/>
                <w:lang w:bidi="ar"/>
                <w14:textFill>
                  <w14:solidFill>
                    <w14:schemeClr w14:val="tx1"/>
                  </w14:solidFill>
                </w14:textFill>
              </w:rPr>
              <w:t>。</w:t>
            </w:r>
          </w:p>
          <w:p w14:paraId="420C2858">
            <w:pPr>
              <w:widowControl/>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3、喷雾用水</w:t>
            </w:r>
          </w:p>
          <w:p w14:paraId="67749CD0">
            <w:pPr>
              <w:widowControl/>
              <w:adjustRightInd w:val="0"/>
              <w:snapToGrid w:val="0"/>
              <w:spacing w:line="360" w:lineRule="auto"/>
              <w:ind w:firstLine="480" w:firstLineChars="200"/>
              <w:jc w:val="left"/>
              <w:rPr>
                <w:color w:val="000000" w:themeColor="text1"/>
                <w:sz w:val="24"/>
                <w14:textFill>
                  <w14:solidFill>
                    <w14:schemeClr w14:val="tx1"/>
                  </w14:solidFill>
                </w14:textFill>
              </w:rPr>
            </w:pPr>
            <w:r>
              <w:rPr>
                <w:rFonts w:eastAsia="新宋体"/>
                <w:color w:val="000000" w:themeColor="text1"/>
                <w:sz w:val="24"/>
                <w14:textFill>
                  <w14:solidFill>
                    <w14:schemeClr w14:val="tx1"/>
                  </w14:solidFill>
                </w14:textFill>
              </w:rPr>
              <w:t>本项目</w:t>
            </w:r>
            <w:r>
              <w:rPr>
                <w:rFonts w:hint="eastAsia" w:eastAsia="新宋体"/>
                <w:color w:val="000000" w:themeColor="text1"/>
                <w:sz w:val="24"/>
                <w14:textFill>
                  <w14:solidFill>
                    <w14:schemeClr w14:val="tx1"/>
                  </w14:solidFill>
                </w14:textFill>
              </w:rPr>
              <w:t>设置防尘喷淋水系统（主要为雾炮机）对生产区、储存区进行抑尘处理，防尘喷淋水系统使用新鲜水。根据建设单位提供的资料，本项目防尘喷淋水系统用水总流量约为4m</w:t>
            </w:r>
            <w:r>
              <w:rPr>
                <w:rFonts w:eastAsia="新宋体"/>
                <w:color w:val="000000" w:themeColor="text1"/>
                <w:sz w:val="24"/>
                <w:vertAlign w:val="superscript"/>
                <w14:textFill>
                  <w14:solidFill>
                    <w14:schemeClr w14:val="tx1"/>
                  </w14:solidFill>
                </w14:textFill>
              </w:rPr>
              <w:t>3</w:t>
            </w:r>
            <w:r>
              <w:rPr>
                <w:rFonts w:eastAsia="新宋体"/>
                <w:color w:val="000000" w:themeColor="text1"/>
                <w:sz w:val="24"/>
                <w14:textFill>
                  <w14:solidFill>
                    <w14:schemeClr w14:val="tx1"/>
                  </w14:solidFill>
                </w14:textFill>
              </w:rPr>
              <w:t>/</w:t>
            </w:r>
            <w:r>
              <w:rPr>
                <w:rFonts w:hint="eastAsia" w:eastAsia="新宋体"/>
                <w:color w:val="000000" w:themeColor="text1"/>
                <w:sz w:val="24"/>
                <w14:textFill>
                  <w14:solidFill>
                    <w14:schemeClr w14:val="tx1"/>
                  </w14:solidFill>
                </w14:textFill>
              </w:rPr>
              <w:t>d，则生产抑尘用水总量约1200m</w:t>
            </w:r>
            <w:r>
              <w:rPr>
                <w:rFonts w:eastAsia="新宋体"/>
                <w:color w:val="000000" w:themeColor="text1"/>
                <w:sz w:val="24"/>
                <w:vertAlign w:val="superscript"/>
                <w14:textFill>
                  <w14:solidFill>
                    <w14:schemeClr w14:val="tx1"/>
                  </w14:solidFill>
                </w14:textFill>
              </w:rPr>
              <w:t>3</w:t>
            </w:r>
            <w:r>
              <w:rPr>
                <w:rFonts w:eastAsia="新宋体"/>
                <w:color w:val="000000" w:themeColor="text1"/>
                <w:sz w:val="24"/>
                <w14:textFill>
                  <w14:solidFill>
                    <w14:schemeClr w14:val="tx1"/>
                  </w14:solidFill>
                </w14:textFill>
              </w:rPr>
              <w:t>/</w:t>
            </w:r>
            <w:r>
              <w:rPr>
                <w:rFonts w:hint="eastAsia" w:eastAsia="新宋体"/>
                <w:color w:val="000000" w:themeColor="text1"/>
                <w:sz w:val="24"/>
                <w14:textFill>
                  <w14:solidFill>
                    <w14:schemeClr w14:val="tx1"/>
                  </w14:solidFill>
                </w14:textFill>
              </w:rPr>
              <w:t>a（</w:t>
            </w:r>
            <w:r>
              <w:rPr>
                <w:rFonts w:hint="eastAsia"/>
                <w:color w:val="000000" w:themeColor="text1"/>
                <w:sz w:val="24"/>
                <w14:textFill>
                  <w14:solidFill>
                    <w14:schemeClr w14:val="tx1"/>
                  </w14:solidFill>
                </w14:textFill>
              </w:rPr>
              <w:t>4m</w:t>
            </w:r>
            <w:r>
              <w:rPr>
                <w:rFonts w:hint="eastAsia"/>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/d</w:t>
            </w:r>
            <w:r>
              <w:rPr>
                <w:rFonts w:hint="eastAsia" w:eastAsia="新宋体"/>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此过程水约90%进入物料，剩余10%全部蒸发进入空气，无废水外排。即进入产品水量为1080m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/a（3.6m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/d）。</w:t>
            </w:r>
          </w:p>
          <w:p w14:paraId="7FB0B4D8">
            <w:pPr>
              <w:widowControl/>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4、生产搅拌用水</w:t>
            </w:r>
          </w:p>
          <w:p w14:paraId="3916C824">
            <w:pPr>
              <w:widowControl/>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项目水稳料生产需要添加水，根据建设单位提供资料，水稳料产品含水率为7%，项目年产水稳料约100万t/a，则产品所需用水为70000m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/a（233.333m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/d），</w:t>
            </w:r>
            <w:r>
              <w:rPr>
                <w:rFonts w:hint="eastAsia"/>
                <w:bCs/>
                <w:color w:val="000000" w:themeColor="text1"/>
                <w:sz w:val="24"/>
                <w14:textFill>
                  <w14:solidFill>
                    <w14:schemeClr w14:val="tx1"/>
                  </w14:solidFill>
                </w14:textFill>
              </w:rPr>
              <w:t>小颗粒骨料、中颗粒骨料</w:t>
            </w:r>
            <w:r>
              <w:rPr>
                <w:rFonts w:hint="eastAsia"/>
                <w:color w:val="000000" w:themeColor="text1"/>
                <w:sz w:val="24"/>
                <w14:textFill>
                  <w14:solidFill>
                    <w14:schemeClr w14:val="tx1"/>
                  </w14:solidFill>
                </w14:textFill>
              </w:rPr>
              <w:t>经振动脱水后含水率分别为5%、3%，即骨料含水量为30500m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/a（101.667m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/d），且全部进入产品，喷雾用水约90%的水量进入产品中，进入产品的水量为1080m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/a（3.6m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/d），则水稳料生产配料需用新鲜水量为38420m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/a（128.066m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/d）。</w:t>
            </w:r>
          </w:p>
          <w:p w14:paraId="3A08E8B7">
            <w:pPr>
              <w:widowControl/>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5、车辆清洗用水</w:t>
            </w:r>
          </w:p>
          <w:p w14:paraId="02D493F1">
            <w:pPr>
              <w:widowControl/>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本项目原材料采用汽车运输方式进出厂区，为防治扬尘污染，运输车辆进出厂区需进行车辆清洗</w:t>
            </w:r>
            <w:r>
              <w:rPr>
                <w:rFonts w:hint="eastAsia"/>
                <w:color w:val="000000" w:themeColor="text1"/>
                <w:sz w:val="24"/>
                <w14:textFill>
                  <w14:solidFill>
                    <w14:schemeClr w14:val="tx1"/>
                  </w14:solidFill>
                </w14:textFill>
              </w:rPr>
              <w:t>，设置洗车平台</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根据《机动车清洗站技术规范》（</w:t>
            </w:r>
            <w:r>
              <w:rPr>
                <w:color w:val="000000" w:themeColor="text1"/>
                <w:sz w:val="24"/>
                <w14:textFill>
                  <w14:solidFill>
                    <w14:schemeClr w14:val="tx1"/>
                  </w14:solidFill>
                </w14:textFill>
              </w:rPr>
              <w:t>CJJ/T 71-2011</w:t>
            </w:r>
            <w:r>
              <w:rPr>
                <w:rFonts w:hint="eastAsia"/>
                <w:color w:val="000000" w:themeColor="text1"/>
                <w:sz w:val="24"/>
                <w14:textFill>
                  <w14:solidFill>
                    <w14:schemeClr w14:val="tx1"/>
                  </w14:solidFill>
                </w14:textFill>
              </w:rPr>
              <w:t>）表6.1.3中“中型车、大型车-高压喷枪清洗”，本次</w:t>
            </w:r>
            <w:r>
              <w:rPr>
                <w:bCs/>
                <w:color w:val="000000" w:themeColor="text1"/>
                <w:kern w:val="21"/>
                <w:sz w:val="24"/>
                <w14:textFill>
                  <w14:solidFill>
                    <w14:schemeClr w14:val="tx1"/>
                  </w14:solidFill>
                </w14:textFill>
              </w:rPr>
              <w:t>车辆清洗</w:t>
            </w:r>
            <w:r>
              <w:rPr>
                <w:rFonts w:hint="eastAsia"/>
                <w:color w:val="000000" w:themeColor="text1"/>
                <w:sz w:val="24"/>
                <w14:textFill>
                  <w14:solidFill>
                    <w14:schemeClr w14:val="tx1"/>
                  </w14:solidFill>
                </w14:textFill>
              </w:rPr>
              <w:t>用水量取值按120L/（辆·次）计，每天发车60次（只清洗运送原料车辆、不清洗运送产品车辆），单车1次最大运输量为50t，年工作300天，则</w:t>
            </w:r>
            <w:r>
              <w:rPr>
                <w:color w:val="000000" w:themeColor="text1"/>
                <w:sz w:val="24"/>
                <w14:textFill>
                  <w14:solidFill>
                    <w14:schemeClr w14:val="tx1"/>
                  </w14:solidFill>
                </w14:textFill>
              </w:rPr>
              <w:t>车辆清洗用水为</w:t>
            </w:r>
            <w:r>
              <w:rPr>
                <w:rFonts w:hint="eastAsia"/>
                <w:color w:val="000000" w:themeColor="text1"/>
                <w:sz w:val="24"/>
                <w14:textFill>
                  <w14:solidFill>
                    <w14:schemeClr w14:val="tx1"/>
                  </w14:solidFill>
                </w14:textFill>
              </w:rPr>
              <w:t>2160m</w:t>
            </w:r>
            <w:r>
              <w:rPr>
                <w:rFonts w:hint="eastAsia"/>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/a</w:t>
            </w:r>
            <w:r>
              <w:rPr>
                <w:rFonts w:hint="eastAsia"/>
                <w:color w:val="000000" w:themeColor="text1"/>
                <w:sz w:val="24"/>
                <w14:textFill>
                  <w14:solidFill>
                    <w14:schemeClr w14:val="tx1"/>
                  </w14:solidFill>
                </w14:textFill>
              </w:rPr>
              <w:t>（7.2m</w:t>
            </w:r>
            <w:r>
              <w:rPr>
                <w:rFonts w:hint="eastAsia"/>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w:t>
            </w:r>
            <w:r>
              <w:rPr>
                <w:rFonts w:hint="eastAsia"/>
                <w:color w:val="000000" w:themeColor="text1"/>
                <w:kern w:val="0"/>
                <w:sz w:val="24"/>
                <w:lang w:bidi="ar"/>
                <w14:textFill>
                  <w14:solidFill>
                    <w14:schemeClr w14:val="tx1"/>
                  </w14:solidFill>
                </w14:textFill>
              </w:rPr>
              <w:t>排放系数按0.8计算</w:t>
            </w:r>
            <w:r>
              <w:rPr>
                <w:rFonts w:hint="eastAsia"/>
                <w:color w:val="000000" w:themeColor="text1"/>
                <w:sz w:val="24"/>
                <w14:textFill>
                  <w14:solidFill>
                    <w14:schemeClr w14:val="tx1"/>
                  </w14:solidFill>
                </w14:textFill>
              </w:rPr>
              <w:t>，车辆清洗废水产生量1728 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 a（5.76m</w:t>
            </w:r>
            <w:r>
              <w:rPr>
                <w:rFonts w:hint="eastAsia"/>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），车辆清洗废水通过洗车平台进行沉淀处理满足《城市污水再生利用 工业用水水质》（GBT19923-2024）</w:t>
            </w:r>
            <w:r>
              <w:rPr>
                <w:rFonts w:hint="eastAsia" w:eastAsia="新宋体"/>
                <w:color w:val="000000" w:themeColor="text1"/>
                <w:sz w:val="24"/>
                <w14:textFill>
                  <w14:solidFill>
                    <w14:schemeClr w14:val="tx1"/>
                  </w14:solidFill>
                </w14:textFill>
              </w:rPr>
              <w:t>中洗涤用水</w:t>
            </w:r>
            <w:r>
              <w:rPr>
                <w:rFonts w:hint="eastAsia"/>
                <w:color w:val="000000" w:themeColor="text1"/>
                <w:sz w:val="24"/>
                <w14:textFill>
                  <w14:solidFill>
                    <w14:schemeClr w14:val="tx1"/>
                  </w14:solidFill>
                </w14:textFill>
              </w:rPr>
              <w:t>标准后排入回用于生产，</w:t>
            </w:r>
            <w:r>
              <w:rPr>
                <w:color w:val="000000" w:themeColor="text1"/>
                <w:sz w:val="24"/>
                <w14:textFill>
                  <w14:solidFill>
                    <w14:schemeClr w14:val="tx1"/>
                  </w14:solidFill>
                </w14:textFill>
              </w:rPr>
              <w:t>本项目不产生</w:t>
            </w:r>
            <w:r>
              <w:rPr>
                <w:rFonts w:hint="eastAsia"/>
                <w:color w:val="000000" w:themeColor="text1"/>
                <w:sz w:val="24"/>
                <w14:textFill>
                  <w14:solidFill>
                    <w14:schemeClr w14:val="tx1"/>
                  </w14:solidFill>
                </w14:textFill>
              </w:rPr>
              <w:t>外排</w:t>
            </w:r>
            <w:r>
              <w:rPr>
                <w:color w:val="000000" w:themeColor="text1"/>
                <w:sz w:val="24"/>
                <w14:textFill>
                  <w14:solidFill>
                    <w14:schemeClr w14:val="tx1"/>
                  </w14:solidFill>
                </w14:textFill>
              </w:rPr>
              <w:t>车辆清洗废水</w:t>
            </w:r>
            <w:r>
              <w:rPr>
                <w:rFonts w:hint="eastAsia"/>
                <w:color w:val="000000" w:themeColor="text1"/>
                <w:sz w:val="24"/>
                <w14:textFill>
                  <w14:solidFill>
                    <w14:schemeClr w14:val="tx1"/>
                  </w14:solidFill>
                </w14:textFill>
              </w:rPr>
              <w:t>，定期补充新鲜水量为1.44m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/d</w:t>
            </w:r>
            <w:r>
              <w:rPr>
                <w:color w:val="000000" w:themeColor="text1"/>
                <w:sz w:val="24"/>
                <w14:textFill>
                  <w14:solidFill>
                    <w14:schemeClr w14:val="tx1"/>
                  </w14:solidFill>
                </w14:textFill>
              </w:rPr>
              <w:t>。</w:t>
            </w:r>
          </w:p>
          <w:p w14:paraId="303C47C3">
            <w:pPr>
              <w:widowControl/>
              <w:spacing w:line="360" w:lineRule="auto"/>
              <w:ind w:firstLine="480" w:firstLineChars="200"/>
              <w:rPr>
                <w:color w:val="000000" w:themeColor="text1"/>
                <w:kern w:val="0"/>
                <w:sz w:val="24"/>
                <w:lang w:bidi="ar"/>
                <w14:textFill>
                  <w14:solidFill>
                    <w14:schemeClr w14:val="tx1"/>
                  </w14:solidFill>
                </w14:textFill>
              </w:rPr>
            </w:pPr>
            <w:r>
              <w:rPr>
                <w:rFonts w:hint="eastAsia"/>
                <w:color w:val="000000" w:themeColor="text1"/>
                <w:kern w:val="0"/>
                <w:sz w:val="24"/>
                <w:lang w:bidi="ar"/>
                <w14:textFill>
                  <w14:solidFill>
                    <w14:schemeClr w14:val="tx1"/>
                  </w14:solidFill>
                </w14:textFill>
              </w:rPr>
              <w:t>6、地面清洗用水</w:t>
            </w:r>
          </w:p>
          <w:p w14:paraId="1399DB10">
            <w:pPr>
              <w:widowControl/>
              <w:spacing w:line="360" w:lineRule="auto"/>
              <w:ind w:firstLine="480" w:firstLineChars="200"/>
              <w:rPr>
                <w:color w:val="000000" w:themeColor="text1"/>
                <w:kern w:val="0"/>
                <w:sz w:val="24"/>
                <w:lang w:bidi="ar"/>
                <w14:textFill>
                  <w14:solidFill>
                    <w14:schemeClr w14:val="tx1"/>
                  </w14:solidFill>
                </w14:textFill>
              </w:rPr>
            </w:pPr>
            <w:r>
              <w:rPr>
                <w:rFonts w:hint="eastAsia"/>
                <w:color w:val="000000" w:themeColor="text1"/>
                <w:kern w:val="0"/>
                <w:sz w:val="24"/>
                <w:lang w:bidi="ar"/>
                <w14:textFill>
                  <w14:solidFill>
                    <w14:schemeClr w14:val="tx1"/>
                  </w14:solidFill>
                </w14:textFill>
              </w:rPr>
              <w:t>根据建设单位提供资料，本项目为保证洁净车间，需定期清洗（不进行冲洗，使用拖地设备进行拖地），车间需清洗面积约</w:t>
            </w:r>
            <w:bookmarkStart w:id="42" w:name="OLE_LINK68"/>
            <w:r>
              <w:rPr>
                <w:rFonts w:hint="eastAsia"/>
                <w:color w:val="000000" w:themeColor="text1"/>
                <w:kern w:val="0"/>
                <w:sz w:val="24"/>
                <w:lang w:bidi="ar"/>
                <w14:textFill>
                  <w14:solidFill>
                    <w14:schemeClr w14:val="tx1"/>
                  </w14:solidFill>
                </w14:textFill>
              </w:rPr>
              <w:t>4000</w:t>
            </w:r>
            <w:bookmarkEnd w:id="42"/>
            <w:r>
              <w:rPr>
                <w:color w:val="000000" w:themeColor="text1"/>
                <w:kern w:val="0"/>
                <w:sz w:val="24"/>
                <w:lang w:bidi="ar"/>
                <w14:textFill>
                  <w14:solidFill>
                    <w14:schemeClr w14:val="tx1"/>
                  </w14:solidFill>
                </w14:textFill>
              </w:rPr>
              <w:t>m</w:t>
            </w:r>
            <w:r>
              <w:rPr>
                <w:color w:val="000000" w:themeColor="text1"/>
                <w:kern w:val="0"/>
                <w:sz w:val="24"/>
                <w:vertAlign w:val="superscript"/>
                <w:lang w:bidi="ar"/>
                <w14:textFill>
                  <w14:solidFill>
                    <w14:schemeClr w14:val="tx1"/>
                  </w14:solidFill>
                </w14:textFill>
              </w:rPr>
              <w:t>2</w:t>
            </w:r>
            <w:r>
              <w:rPr>
                <w:rFonts w:hint="eastAsia"/>
                <w:color w:val="000000" w:themeColor="text1"/>
                <w:kern w:val="0"/>
                <w:sz w:val="24"/>
                <w:lang w:bidi="ar"/>
                <w14:textFill>
                  <w14:solidFill>
                    <w14:schemeClr w14:val="tx1"/>
                  </w14:solidFill>
                </w14:textFill>
              </w:rPr>
              <w:t>，</w:t>
            </w:r>
            <w:r>
              <w:rPr>
                <w:bCs/>
                <w:color w:val="000000" w:themeColor="text1"/>
                <w:sz w:val="24"/>
                <w:szCs w:val="20"/>
                <w:lang w:bidi="ar"/>
                <w14:textFill>
                  <w14:solidFill>
                    <w14:schemeClr w14:val="tx1"/>
                  </w14:solidFill>
                </w14:textFill>
              </w:rPr>
              <w:t>参考《生活及服务业用水定额第</w:t>
            </w:r>
            <w:r>
              <w:rPr>
                <w:rFonts w:hint="eastAsia"/>
                <w:bCs/>
                <w:color w:val="000000" w:themeColor="text1"/>
                <w:sz w:val="24"/>
                <w:szCs w:val="20"/>
                <w:lang w:bidi="ar"/>
                <w14:textFill>
                  <w14:solidFill>
                    <w14:schemeClr w14:val="tx1"/>
                  </w14:solidFill>
                </w14:textFill>
              </w:rPr>
              <w:t>2</w:t>
            </w:r>
            <w:r>
              <w:rPr>
                <w:bCs/>
                <w:color w:val="000000" w:themeColor="text1"/>
                <w:sz w:val="24"/>
                <w:szCs w:val="20"/>
                <w:lang w:bidi="ar"/>
                <w14:textFill>
                  <w14:solidFill>
                    <w14:schemeClr w14:val="tx1"/>
                  </w14:solidFill>
                </w14:textFill>
              </w:rPr>
              <w:t>部分：</w:t>
            </w:r>
            <w:r>
              <w:rPr>
                <w:rFonts w:hint="eastAsia"/>
                <w:bCs/>
                <w:color w:val="000000" w:themeColor="text1"/>
                <w:sz w:val="24"/>
                <w:szCs w:val="20"/>
                <w:lang w:bidi="ar"/>
                <w14:textFill>
                  <w14:solidFill>
                    <w14:schemeClr w14:val="tx1"/>
                  </w14:solidFill>
                </w14:textFill>
              </w:rPr>
              <w:t>服务业、居民生活和建筑业</w:t>
            </w:r>
            <w:r>
              <w:rPr>
                <w:bCs/>
                <w:color w:val="000000" w:themeColor="text1"/>
                <w:sz w:val="24"/>
                <w:szCs w:val="20"/>
                <w:lang w:bidi="ar"/>
                <w14:textFill>
                  <w14:solidFill>
                    <w14:schemeClr w14:val="tx1"/>
                  </w14:solidFill>
                </w14:textFill>
              </w:rPr>
              <w:t>》（</w:t>
            </w:r>
            <w:r>
              <w:rPr>
                <w:rFonts w:hint="eastAsia"/>
                <w:bCs/>
                <w:color w:val="000000" w:themeColor="text1"/>
                <w:sz w:val="24"/>
                <w:szCs w:val="20"/>
                <w:lang w:bidi="ar"/>
                <w14:textFill>
                  <w14:solidFill>
                    <w14:schemeClr w14:val="tx1"/>
                  </w14:solidFill>
                </w14:textFill>
              </w:rPr>
              <w:t>赣府发〔2024〕17号</w:t>
            </w:r>
            <w:r>
              <w:rPr>
                <w:bCs/>
                <w:color w:val="000000" w:themeColor="text1"/>
                <w:sz w:val="24"/>
                <w:szCs w:val="20"/>
                <w:lang w:bidi="ar"/>
                <w14:textFill>
                  <w14:solidFill>
                    <w14:schemeClr w14:val="tx1"/>
                  </w14:solidFill>
                </w14:textFill>
              </w:rPr>
              <w:t>）中“表</w:t>
            </w:r>
            <w:r>
              <w:rPr>
                <w:rFonts w:hint="eastAsia"/>
                <w:bCs/>
                <w:color w:val="000000" w:themeColor="text1"/>
                <w:sz w:val="24"/>
                <w:szCs w:val="20"/>
                <w:lang w:bidi="ar"/>
                <w14:textFill>
                  <w14:solidFill>
                    <w14:schemeClr w14:val="tx1"/>
                  </w14:solidFill>
                </w14:textFill>
              </w:rPr>
              <w:t>6公共设施管理业用水定额指标及等级值</w:t>
            </w:r>
            <w:r>
              <w:rPr>
                <w:bCs/>
                <w:color w:val="000000" w:themeColor="text1"/>
                <w:sz w:val="24"/>
                <w:szCs w:val="20"/>
                <w:lang w:bidi="ar"/>
                <w14:textFill>
                  <w14:solidFill>
                    <w14:schemeClr w14:val="tx1"/>
                  </w14:solidFill>
                </w14:textFill>
              </w:rPr>
              <w:t>-</w:t>
            </w:r>
            <w:r>
              <w:rPr>
                <w:rFonts w:hint="eastAsia"/>
                <w:bCs/>
                <w:color w:val="000000" w:themeColor="text1"/>
                <w:sz w:val="24"/>
                <w:szCs w:val="20"/>
                <w:lang w:bidi="ar"/>
                <w14:textFill>
                  <w14:solidFill>
                    <w14:schemeClr w14:val="tx1"/>
                  </w14:solidFill>
                </w14:textFill>
              </w:rPr>
              <w:t>环境卫生管理-浇洒道路和场地</w:t>
            </w:r>
            <w:r>
              <w:rPr>
                <w:bCs/>
                <w:color w:val="000000" w:themeColor="text1"/>
                <w:sz w:val="24"/>
                <w:szCs w:val="20"/>
                <w:lang w:bidi="ar"/>
                <w14:textFill>
                  <w14:solidFill>
                    <w14:schemeClr w14:val="tx1"/>
                  </w14:solidFill>
                </w14:textFill>
              </w:rPr>
              <w:t>”</w:t>
            </w:r>
            <w:r>
              <w:rPr>
                <w:rFonts w:hint="eastAsia"/>
                <w:bCs/>
                <w:color w:val="000000" w:themeColor="text1"/>
                <w:sz w:val="24"/>
                <w:szCs w:val="20"/>
                <w:lang w:bidi="ar"/>
                <w14:textFill>
                  <w14:solidFill>
                    <w14:schemeClr w14:val="tx1"/>
                  </w14:solidFill>
                </w14:textFill>
              </w:rPr>
              <w:t>先进值0.5</w:t>
            </w:r>
            <w:r>
              <w:rPr>
                <w:rFonts w:hint="eastAsia"/>
                <w:color w:val="000000" w:themeColor="text1"/>
                <w:sz w:val="24"/>
                <w14:textFill>
                  <w14:solidFill>
                    <w14:schemeClr w14:val="tx1"/>
                  </w14:solidFill>
                </w14:textFill>
              </w:rPr>
              <w:t xml:space="preserve"> m</w:t>
            </w:r>
            <w:r>
              <w:rPr>
                <w:rFonts w:hint="eastAsia"/>
                <w:color w:val="000000" w:themeColor="text1"/>
                <w:sz w:val="24"/>
                <w:vertAlign w:val="superscript"/>
                <w14:textFill>
                  <w14:solidFill>
                    <w14:schemeClr w14:val="tx1"/>
                  </w14:solidFill>
                </w14:textFill>
              </w:rPr>
              <w:t>3</w:t>
            </w:r>
            <w:r>
              <w:rPr>
                <w:bCs/>
                <w:color w:val="000000" w:themeColor="text1"/>
                <w:sz w:val="24"/>
                <w:szCs w:val="20"/>
                <w:lang w:bidi="ar"/>
                <w14:textFill>
                  <w14:solidFill>
                    <w14:schemeClr w14:val="tx1"/>
                  </w14:solidFill>
                </w14:textFill>
              </w:rPr>
              <w:t>/（</w:t>
            </w:r>
            <w:r>
              <w:rPr>
                <w:color w:val="000000" w:themeColor="text1"/>
                <w:kern w:val="0"/>
                <w:sz w:val="24"/>
                <w:lang w:bidi="ar"/>
                <w14:textFill>
                  <w14:solidFill>
                    <w14:schemeClr w14:val="tx1"/>
                  </w14:solidFill>
                </w14:textFill>
              </w:rPr>
              <w:t>m</w:t>
            </w:r>
            <w:r>
              <w:rPr>
                <w:color w:val="000000" w:themeColor="text1"/>
                <w:kern w:val="0"/>
                <w:sz w:val="24"/>
                <w:vertAlign w:val="superscript"/>
                <w:lang w:bidi="ar"/>
                <w14:textFill>
                  <w14:solidFill>
                    <w14:schemeClr w14:val="tx1"/>
                  </w14:solidFill>
                </w14:textFill>
              </w:rPr>
              <w:t>2</w:t>
            </w:r>
            <w:r>
              <w:rPr>
                <w:bCs/>
                <w:color w:val="000000" w:themeColor="text1"/>
                <w:sz w:val="24"/>
                <w:szCs w:val="20"/>
                <w:lang w:bidi="ar"/>
                <w14:textFill>
                  <w14:solidFill>
                    <w14:schemeClr w14:val="tx1"/>
                  </w14:solidFill>
                </w14:textFill>
              </w:rPr>
              <w:t>·</w:t>
            </w:r>
            <w:r>
              <w:rPr>
                <w:rFonts w:hint="eastAsia"/>
                <w:bCs/>
                <w:color w:val="000000" w:themeColor="text1"/>
                <w:sz w:val="24"/>
                <w:szCs w:val="20"/>
                <w:lang w:bidi="ar"/>
                <w14:textFill>
                  <w14:solidFill>
                    <w14:schemeClr w14:val="tx1"/>
                  </w14:solidFill>
                </w14:textFill>
              </w:rPr>
              <w:t>a</w:t>
            </w:r>
            <w:r>
              <w:rPr>
                <w:bCs/>
                <w:color w:val="000000" w:themeColor="text1"/>
                <w:sz w:val="24"/>
                <w:szCs w:val="20"/>
                <w:lang w:bidi="ar"/>
                <w14:textFill>
                  <w14:solidFill>
                    <w14:schemeClr w14:val="tx1"/>
                  </w14:solidFill>
                </w14:textFill>
              </w:rPr>
              <w:t>）计算</w:t>
            </w:r>
            <w:r>
              <w:rPr>
                <w:color w:val="000000" w:themeColor="text1"/>
                <w:kern w:val="0"/>
                <w:sz w:val="24"/>
                <w:lang w:bidi="ar"/>
                <w14:textFill>
                  <w14:solidFill>
                    <w14:schemeClr w14:val="tx1"/>
                  </w14:solidFill>
                </w14:textFill>
              </w:rPr>
              <w:t>，</w:t>
            </w:r>
            <w:r>
              <w:rPr>
                <w:rFonts w:hint="eastAsia"/>
                <w:color w:val="000000" w:themeColor="text1"/>
                <w:kern w:val="0"/>
                <w:sz w:val="24"/>
                <w:lang w:bidi="ar"/>
                <w14:textFill>
                  <w14:solidFill>
                    <w14:schemeClr w14:val="tx1"/>
                  </w14:solidFill>
                </w14:textFill>
              </w:rPr>
              <w:t>则车间</w:t>
            </w:r>
            <w:r>
              <w:rPr>
                <w:color w:val="000000" w:themeColor="text1"/>
                <w:kern w:val="0"/>
                <w:sz w:val="24"/>
                <w:lang w:bidi="ar"/>
                <w14:textFill>
                  <w14:solidFill>
                    <w14:schemeClr w14:val="tx1"/>
                  </w14:solidFill>
                </w14:textFill>
              </w:rPr>
              <w:t>地面拖洗水量为</w:t>
            </w:r>
            <w:r>
              <w:rPr>
                <w:rFonts w:hint="eastAsia"/>
                <w:color w:val="000000" w:themeColor="text1"/>
                <w:kern w:val="0"/>
                <w:sz w:val="24"/>
                <w:lang w:bidi="ar"/>
                <w14:textFill>
                  <w14:solidFill>
                    <w14:schemeClr w14:val="tx1"/>
                  </w14:solidFill>
                </w14:textFill>
              </w:rPr>
              <w:t>2000</w:t>
            </w:r>
            <w:r>
              <w:rPr>
                <w:color w:val="000000" w:themeColor="text1"/>
                <w:kern w:val="0"/>
                <w:sz w:val="24"/>
                <w:lang w:bidi="ar"/>
                <w14:textFill>
                  <w14:solidFill>
                    <w14:schemeClr w14:val="tx1"/>
                  </w14:solidFill>
                </w14:textFill>
              </w:rPr>
              <w:t>m</w:t>
            </w:r>
            <w:r>
              <w:rPr>
                <w:color w:val="000000" w:themeColor="text1"/>
                <w:kern w:val="0"/>
                <w:sz w:val="24"/>
                <w:vertAlign w:val="superscript"/>
                <w:lang w:bidi="ar"/>
                <w14:textFill>
                  <w14:solidFill>
                    <w14:schemeClr w14:val="tx1"/>
                  </w14:solidFill>
                </w14:textFill>
              </w:rPr>
              <w:t>3</w:t>
            </w:r>
            <w:r>
              <w:rPr>
                <w:color w:val="000000" w:themeColor="text1"/>
                <w:kern w:val="0"/>
                <w:sz w:val="24"/>
                <w:lang w:bidi="ar"/>
                <w14:textFill>
                  <w14:solidFill>
                    <w14:schemeClr w14:val="tx1"/>
                  </w14:solidFill>
                </w14:textFill>
              </w:rPr>
              <w:t>/a（</w:t>
            </w:r>
            <w:r>
              <w:rPr>
                <w:rFonts w:hint="eastAsia"/>
                <w:color w:val="000000" w:themeColor="text1"/>
                <w:kern w:val="0"/>
                <w:sz w:val="24"/>
                <w:lang w:bidi="ar"/>
                <w14:textFill>
                  <w14:solidFill>
                    <w14:schemeClr w14:val="tx1"/>
                  </w14:solidFill>
                </w14:textFill>
              </w:rPr>
              <w:t>6.667</w:t>
            </w:r>
            <w:r>
              <w:rPr>
                <w:color w:val="000000" w:themeColor="text1"/>
                <w:kern w:val="0"/>
                <w:sz w:val="24"/>
                <w:lang w:bidi="ar"/>
                <w14:textFill>
                  <w14:solidFill>
                    <w14:schemeClr w14:val="tx1"/>
                  </w14:solidFill>
                </w14:textFill>
              </w:rPr>
              <w:t>m</w:t>
            </w:r>
            <w:r>
              <w:rPr>
                <w:color w:val="000000" w:themeColor="text1"/>
                <w:kern w:val="0"/>
                <w:sz w:val="24"/>
                <w:vertAlign w:val="superscript"/>
                <w:lang w:bidi="ar"/>
                <w14:textFill>
                  <w14:solidFill>
                    <w14:schemeClr w14:val="tx1"/>
                  </w14:solidFill>
                </w14:textFill>
              </w:rPr>
              <w:t>3</w:t>
            </w:r>
            <w:r>
              <w:rPr>
                <w:color w:val="000000" w:themeColor="text1"/>
                <w:kern w:val="0"/>
                <w:sz w:val="24"/>
                <w:lang w:bidi="ar"/>
                <w14:textFill>
                  <w14:solidFill>
                    <w14:schemeClr w14:val="tx1"/>
                  </w14:solidFill>
                </w14:textFill>
              </w:rPr>
              <w:t>/d）</w:t>
            </w:r>
            <w:r>
              <w:rPr>
                <w:rFonts w:hint="eastAsia"/>
                <w:color w:val="000000" w:themeColor="text1"/>
                <w:kern w:val="0"/>
                <w:sz w:val="24"/>
                <w:lang w:bidi="ar"/>
                <w14:textFill>
                  <w14:solidFill>
                    <w14:schemeClr w14:val="tx1"/>
                  </w14:solidFill>
                </w14:textFill>
              </w:rPr>
              <w:t>，排放系数按0.8计算，则地面冲洗废水排放量为1600</w:t>
            </w:r>
            <w:r>
              <w:rPr>
                <w:color w:val="000000" w:themeColor="text1"/>
                <w:kern w:val="0"/>
                <w:sz w:val="24"/>
                <w:lang w:bidi="ar"/>
                <w14:textFill>
                  <w14:solidFill>
                    <w14:schemeClr w14:val="tx1"/>
                  </w14:solidFill>
                </w14:textFill>
              </w:rPr>
              <w:t>m</w:t>
            </w:r>
            <w:r>
              <w:rPr>
                <w:color w:val="000000" w:themeColor="text1"/>
                <w:kern w:val="0"/>
                <w:sz w:val="24"/>
                <w:vertAlign w:val="superscript"/>
                <w:lang w:bidi="ar"/>
                <w14:textFill>
                  <w14:solidFill>
                    <w14:schemeClr w14:val="tx1"/>
                  </w14:solidFill>
                </w14:textFill>
              </w:rPr>
              <w:t>3</w:t>
            </w:r>
            <w:r>
              <w:rPr>
                <w:color w:val="000000" w:themeColor="text1"/>
                <w:kern w:val="0"/>
                <w:sz w:val="24"/>
                <w:lang w:bidi="ar"/>
                <w14:textFill>
                  <w14:solidFill>
                    <w14:schemeClr w14:val="tx1"/>
                  </w14:solidFill>
                </w14:textFill>
              </w:rPr>
              <w:t>/a（</w:t>
            </w:r>
            <w:r>
              <w:rPr>
                <w:rFonts w:hint="eastAsia"/>
                <w:color w:val="000000" w:themeColor="text1"/>
                <w:kern w:val="0"/>
                <w:sz w:val="24"/>
                <w:lang w:bidi="ar"/>
                <w14:textFill>
                  <w14:solidFill>
                    <w14:schemeClr w14:val="tx1"/>
                  </w14:solidFill>
                </w14:textFill>
              </w:rPr>
              <w:t>5.333</w:t>
            </w:r>
            <w:r>
              <w:rPr>
                <w:color w:val="000000" w:themeColor="text1"/>
                <w:kern w:val="0"/>
                <w:sz w:val="24"/>
                <w:lang w:bidi="ar"/>
                <w14:textFill>
                  <w14:solidFill>
                    <w14:schemeClr w14:val="tx1"/>
                  </w14:solidFill>
                </w14:textFill>
              </w:rPr>
              <w:t>m</w:t>
            </w:r>
            <w:r>
              <w:rPr>
                <w:color w:val="000000" w:themeColor="text1"/>
                <w:kern w:val="0"/>
                <w:sz w:val="24"/>
                <w:vertAlign w:val="superscript"/>
                <w:lang w:bidi="ar"/>
                <w14:textFill>
                  <w14:solidFill>
                    <w14:schemeClr w14:val="tx1"/>
                  </w14:solidFill>
                </w14:textFill>
              </w:rPr>
              <w:t>3</w:t>
            </w:r>
            <w:r>
              <w:rPr>
                <w:color w:val="000000" w:themeColor="text1"/>
                <w:kern w:val="0"/>
                <w:sz w:val="24"/>
                <w:lang w:bidi="ar"/>
                <w14:textFill>
                  <w14:solidFill>
                    <w14:schemeClr w14:val="tx1"/>
                  </w14:solidFill>
                </w14:textFill>
              </w:rPr>
              <w:t>/d）</w:t>
            </w:r>
            <w:r>
              <w:rPr>
                <w:rFonts w:hint="eastAsia"/>
                <w:color w:val="000000" w:themeColor="text1"/>
                <w:kern w:val="0"/>
                <w:sz w:val="24"/>
                <w:lang w:bidi="ar"/>
                <w14:textFill>
                  <w14:solidFill>
                    <w14:schemeClr w14:val="tx1"/>
                  </w14:solidFill>
                </w14:textFill>
              </w:rPr>
              <w:t>，</w:t>
            </w:r>
            <w:r>
              <w:rPr>
                <w:rFonts w:hint="eastAsia"/>
                <w:color w:val="000000" w:themeColor="text1"/>
                <w:sz w:val="24"/>
                <w14:textFill>
                  <w14:solidFill>
                    <w14:schemeClr w14:val="tx1"/>
                  </w14:solidFill>
                </w14:textFill>
              </w:rPr>
              <w:t>经沉淀池沉淀处理达《城市污水再生利用 工业用水水质》（GBT19923-2024）中表1洗涤用水标准后循环利用，不外排，定期补充新鲜水量为1.334m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/d</w:t>
            </w:r>
            <w:r>
              <w:rPr>
                <w:rFonts w:hint="eastAsia"/>
                <w:color w:val="000000" w:themeColor="text1"/>
                <w:kern w:val="0"/>
                <w:sz w:val="24"/>
                <w:lang w:bidi="ar"/>
                <w14:textFill>
                  <w14:solidFill>
                    <w14:schemeClr w14:val="tx1"/>
                  </w14:solidFill>
                </w14:textFill>
              </w:rPr>
              <w:t>。</w:t>
            </w:r>
          </w:p>
          <w:p w14:paraId="1075A96A">
            <w:pPr>
              <w:widowControl/>
              <w:spacing w:line="360" w:lineRule="auto"/>
              <w:ind w:firstLine="480" w:firstLineChars="200"/>
              <w:rPr>
                <w:color w:val="000000" w:themeColor="text1"/>
                <w:kern w:val="0"/>
                <w:sz w:val="24"/>
                <w:lang w:bidi="ar"/>
                <w14:textFill>
                  <w14:solidFill>
                    <w14:schemeClr w14:val="tx1"/>
                  </w14:solidFill>
                </w14:textFill>
              </w:rPr>
            </w:pPr>
            <w:r>
              <w:rPr>
                <w:rFonts w:hint="eastAsia"/>
                <w:color w:val="000000" w:themeColor="text1"/>
                <w:kern w:val="0"/>
                <w:sz w:val="24"/>
                <w:lang w:bidi="ar"/>
                <w14:textFill>
                  <w14:solidFill>
                    <w14:schemeClr w14:val="tx1"/>
                  </w14:solidFill>
                </w14:textFill>
              </w:rPr>
              <w:t>7、初期雨水</w:t>
            </w:r>
          </w:p>
          <w:p w14:paraId="0CF10E9E">
            <w:pPr>
              <w:widowControl/>
              <w:spacing w:line="360" w:lineRule="auto"/>
              <w:ind w:firstLine="480" w:firstLineChars="200"/>
              <w:rPr>
                <w:color w:val="000000" w:themeColor="text1"/>
                <w:sz w:val="24"/>
                <w14:textFill>
                  <w14:solidFill>
                    <w14:schemeClr w14:val="tx1"/>
                  </w14:solidFill>
                </w14:textFill>
              </w:rPr>
            </w:pPr>
            <w:r>
              <w:rPr>
                <w:rFonts w:hint="eastAsia"/>
                <w:color w:val="000000" w:themeColor="text1"/>
                <w:kern w:val="0"/>
                <w:sz w:val="24"/>
                <w14:textFill>
                  <w14:solidFill>
                    <w14:schemeClr w14:val="tx1"/>
                  </w14:solidFill>
                </w14:textFill>
              </w:rPr>
              <w:t>初期雨水是在降雨形成地面径流后10~15min的污染较大的雨水量</w:t>
            </w:r>
            <w:r>
              <w:rPr>
                <w:color w:val="000000" w:themeColor="text1"/>
                <w:sz w:val="24"/>
                <w14:textFill>
                  <w14:solidFill>
                    <w14:schemeClr w14:val="tx1"/>
                  </w14:solidFill>
                </w14:textFill>
              </w:rPr>
              <w:t>，因此可以认为初期雨水主要带走的是可能散落于生产厂房周边的少量原材料</w:t>
            </w:r>
            <w:r>
              <w:rPr>
                <w:rFonts w:hint="eastAsia"/>
                <w:color w:val="000000" w:themeColor="text1"/>
                <w:sz w:val="24"/>
                <w14:textFill>
                  <w14:solidFill>
                    <w14:schemeClr w14:val="tx1"/>
                  </w14:solidFill>
                </w14:textFill>
              </w:rPr>
              <w:t>，</w:t>
            </w:r>
            <w:r>
              <w:rPr>
                <w:rFonts w:hint="eastAsia"/>
                <w:color w:val="000000" w:themeColor="text1"/>
                <w:kern w:val="0"/>
                <w:sz w:val="24"/>
                <w14:textFill>
                  <w14:solidFill>
                    <w14:schemeClr w14:val="tx1"/>
                  </w14:solidFill>
                </w14:textFill>
              </w:rPr>
              <w:t>初期雨水与气象条件密切相关，具有间歇性、时间间隔变化大等特点。</w:t>
            </w:r>
            <w:r>
              <w:rPr>
                <w:color w:val="000000" w:themeColor="text1"/>
                <w:kern w:val="0"/>
                <w:sz w:val="24"/>
                <w14:textFill>
                  <w14:solidFill>
                    <w14:schemeClr w14:val="tx1"/>
                  </w14:solidFill>
                </w14:textFill>
              </w:rPr>
              <w:t>本项目所用原材料以水泥、毛石为主，这类材料本身污染程度较低</w:t>
            </w:r>
            <w:r>
              <w:rPr>
                <w:rFonts w:hint="eastAsia"/>
                <w:color w:val="000000" w:themeColor="text1"/>
                <w:kern w:val="0"/>
                <w:sz w:val="24"/>
                <w14:textFill>
                  <w14:solidFill>
                    <w14:schemeClr w14:val="tx1"/>
                  </w14:solidFill>
                </w14:textFill>
              </w:rPr>
              <w:t>，项目生产厂房均规划于独立区域，各厂房在日常运营中保持生产流程的相对独立，不存在生产物料、设备或人员的跨区域互换，同时厂房皆属于密闭的构筑物，因此本项目不考虑初期雨水的生成</w:t>
            </w:r>
            <w:r>
              <w:rPr>
                <w:rFonts w:hint="eastAsia"/>
                <w:bCs/>
                <w:color w:val="000000" w:themeColor="text1"/>
                <w:kern w:val="0"/>
                <w:sz w:val="24"/>
                <w14:textFill>
                  <w14:solidFill>
                    <w14:schemeClr w14:val="tx1"/>
                  </w14:solidFill>
                </w14:textFill>
              </w:rPr>
              <w:t>。</w:t>
            </w:r>
          </w:p>
          <w:p w14:paraId="16CA8557">
            <w:pPr>
              <w:widowControl/>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项目水平衡</w:t>
            </w:r>
            <w:r>
              <w:rPr>
                <w:color w:val="000000" w:themeColor="text1"/>
                <w:sz w:val="24"/>
                <w14:textFill>
                  <w14:solidFill>
                    <w14:schemeClr w14:val="tx1"/>
                  </w14:solidFill>
                </w14:textFill>
              </w:rPr>
              <w:t>情况见表2-</w:t>
            </w:r>
            <w:r>
              <w:rPr>
                <w:rFonts w:hint="eastAsia"/>
                <w:color w:val="000000" w:themeColor="text1"/>
                <w:sz w:val="24"/>
                <w14:textFill>
                  <w14:solidFill>
                    <w14:schemeClr w14:val="tx1"/>
                  </w14:solidFill>
                </w14:textFill>
              </w:rPr>
              <w:t>8</w:t>
            </w:r>
            <w:r>
              <w:rPr>
                <w:color w:val="000000" w:themeColor="text1"/>
                <w:sz w:val="24"/>
                <w14:textFill>
                  <w14:solidFill>
                    <w14:schemeClr w14:val="tx1"/>
                  </w14:solidFill>
                </w14:textFill>
              </w:rPr>
              <w:t>，项目水平衡图见图2-</w:t>
            </w:r>
            <w:r>
              <w:rPr>
                <w:rFonts w:hint="eastAsia"/>
                <w:color w:val="000000" w:themeColor="text1"/>
                <w:sz w:val="24"/>
                <w14:textFill>
                  <w14:solidFill>
                    <w14:schemeClr w14:val="tx1"/>
                  </w14:solidFill>
                </w14:textFill>
              </w:rPr>
              <w:t>5</w:t>
            </w:r>
            <w:r>
              <w:rPr>
                <w:color w:val="000000" w:themeColor="text1"/>
                <w:sz w:val="24"/>
                <w14:textFill>
                  <w14:solidFill>
                    <w14:schemeClr w14:val="tx1"/>
                  </w14:solidFill>
                </w14:textFill>
              </w:rPr>
              <w:t>。</w:t>
            </w:r>
          </w:p>
          <w:p w14:paraId="726A0816">
            <w:pPr>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表2-</w:t>
            </w:r>
            <w:r>
              <w:rPr>
                <w:rFonts w:hint="eastAsia"/>
                <w:b/>
                <w:bCs/>
                <w:color w:val="000000" w:themeColor="text1"/>
                <w:sz w:val="24"/>
                <w14:textFill>
                  <w14:solidFill>
                    <w14:schemeClr w14:val="tx1"/>
                  </w14:solidFill>
                </w14:textFill>
              </w:rPr>
              <w:t>8</w:t>
            </w:r>
            <w:r>
              <w:rPr>
                <w:b/>
                <w:bCs/>
                <w:color w:val="000000" w:themeColor="text1"/>
                <w:sz w:val="24"/>
                <w14:textFill>
                  <w14:solidFill>
                    <w14:schemeClr w14:val="tx1"/>
                  </w14:solidFill>
                </w14:textFill>
              </w:rPr>
              <w:t xml:space="preserve">  </w:t>
            </w:r>
            <w:r>
              <w:rPr>
                <w:rFonts w:hint="eastAsia"/>
                <w:b/>
                <w:bCs/>
                <w:color w:val="000000" w:themeColor="text1"/>
                <w:sz w:val="24"/>
                <w14:textFill>
                  <w14:solidFill>
                    <w14:schemeClr w14:val="tx1"/>
                  </w14:solidFill>
                </w14:textFill>
              </w:rPr>
              <w:t>本项目</w:t>
            </w:r>
            <w:r>
              <w:rPr>
                <w:b/>
                <w:bCs/>
                <w:color w:val="000000" w:themeColor="text1"/>
                <w:sz w:val="24"/>
                <w14:textFill>
                  <w14:solidFill>
                    <w14:schemeClr w14:val="tx1"/>
                  </w14:solidFill>
                </w14:textFill>
              </w:rPr>
              <w:t>水平衡表（单位：m</w:t>
            </w:r>
            <w:r>
              <w:rPr>
                <w:b/>
                <w:bCs/>
                <w:color w:val="000000" w:themeColor="text1"/>
                <w:sz w:val="24"/>
                <w:vertAlign w:val="superscript"/>
                <w14:textFill>
                  <w14:solidFill>
                    <w14:schemeClr w14:val="tx1"/>
                  </w14:solidFill>
                </w14:textFill>
              </w:rPr>
              <w:t>3</w:t>
            </w:r>
            <w:r>
              <w:rPr>
                <w:b/>
                <w:bCs/>
                <w:color w:val="000000" w:themeColor="text1"/>
                <w:sz w:val="24"/>
                <w14:textFill>
                  <w14:solidFill>
                    <w14:schemeClr w14:val="tx1"/>
                  </w14:solidFill>
                </w14:textFill>
              </w:rPr>
              <w:t>/d）</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28" w:type="dxa"/>
                <w:left w:w="28" w:type="dxa"/>
                <w:bottom w:w="28" w:type="dxa"/>
                <w:right w:w="28" w:type="dxa"/>
              </w:tblCellMar>
            </w:tblPr>
            <w:tblGrid>
              <w:gridCol w:w="354"/>
              <w:gridCol w:w="1152"/>
              <w:gridCol w:w="900"/>
              <w:gridCol w:w="756"/>
              <w:gridCol w:w="767"/>
              <w:gridCol w:w="642"/>
              <w:gridCol w:w="741"/>
              <w:gridCol w:w="638"/>
              <w:gridCol w:w="1578"/>
              <w:gridCol w:w="768"/>
              <w:gridCol w:w="741"/>
            </w:tblGrid>
            <w:tr w14:paraId="03DDCE5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28" w:type="dxa"/>
                  <w:left w:w="28" w:type="dxa"/>
                  <w:bottom w:w="28" w:type="dxa"/>
                  <w:right w:w="28" w:type="dxa"/>
                </w:tblCellMar>
              </w:tblPrEx>
              <w:trPr>
                <w:trHeight w:val="227" w:hRule="atLeast"/>
                <w:jc w:val="center"/>
              </w:trPr>
              <w:tc>
                <w:tcPr>
                  <w:tcW w:w="196" w:type="pct"/>
                  <w:vMerge w:val="restart"/>
                  <w:tcBorders>
                    <w:top w:val="single" w:color="auto" w:sz="12" w:space="0"/>
                    <w:left w:val="single" w:color="auto" w:sz="12" w:space="0"/>
                    <w:bottom w:val="single" w:color="auto" w:sz="12" w:space="0"/>
                    <w:right w:val="single" w:color="auto" w:sz="12" w:space="0"/>
                  </w:tcBorders>
                  <w:vAlign w:val="center"/>
                </w:tcPr>
                <w:p w14:paraId="68C517A5">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序号</w:t>
                  </w:r>
                </w:p>
              </w:tc>
              <w:tc>
                <w:tcPr>
                  <w:tcW w:w="637" w:type="pct"/>
                  <w:vMerge w:val="restart"/>
                  <w:tcBorders>
                    <w:top w:val="single" w:color="auto" w:sz="12" w:space="0"/>
                    <w:left w:val="single" w:color="auto" w:sz="12" w:space="0"/>
                    <w:bottom w:val="single" w:color="auto" w:sz="12" w:space="0"/>
                    <w:right w:val="single" w:color="auto" w:sz="12" w:space="0"/>
                  </w:tcBorders>
                  <w:vAlign w:val="center"/>
                </w:tcPr>
                <w:p w14:paraId="6C290542">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用水点</w:t>
                  </w:r>
                </w:p>
              </w:tc>
              <w:tc>
                <w:tcPr>
                  <w:tcW w:w="498" w:type="pct"/>
                  <w:vMerge w:val="restart"/>
                  <w:tcBorders>
                    <w:top w:val="single" w:color="auto" w:sz="12" w:space="0"/>
                    <w:left w:val="single" w:color="auto" w:sz="12" w:space="0"/>
                    <w:bottom w:val="single" w:color="auto" w:sz="12" w:space="0"/>
                    <w:right w:val="single" w:color="auto" w:sz="12" w:space="0"/>
                  </w:tcBorders>
                  <w:vAlign w:val="center"/>
                </w:tcPr>
                <w:p w14:paraId="7CBB9987">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总用水量</w:t>
                  </w:r>
                </w:p>
              </w:tc>
              <w:tc>
                <w:tcPr>
                  <w:tcW w:w="1607" w:type="pct"/>
                  <w:gridSpan w:val="4"/>
                  <w:tcBorders>
                    <w:top w:val="single" w:color="auto" w:sz="12" w:space="0"/>
                    <w:left w:val="single" w:color="auto" w:sz="12" w:space="0"/>
                    <w:bottom w:val="single" w:color="auto" w:sz="12" w:space="0"/>
                    <w:right w:val="single" w:color="auto" w:sz="12" w:space="0"/>
                  </w:tcBorders>
                </w:tcPr>
                <w:p w14:paraId="43FDC741">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给水</w:t>
                  </w:r>
                </w:p>
              </w:tc>
              <w:tc>
                <w:tcPr>
                  <w:tcW w:w="2061" w:type="pct"/>
                  <w:gridSpan w:val="4"/>
                  <w:tcBorders>
                    <w:top w:val="single" w:color="auto" w:sz="12" w:space="0"/>
                    <w:left w:val="single" w:color="auto" w:sz="12" w:space="0"/>
                    <w:bottom w:val="single" w:color="auto" w:sz="12" w:space="0"/>
                    <w:right w:val="single" w:color="auto" w:sz="12" w:space="0"/>
                  </w:tcBorders>
                  <w:vAlign w:val="center"/>
                </w:tcPr>
                <w:p w14:paraId="79D1E226">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排水</w:t>
                  </w:r>
                </w:p>
              </w:tc>
            </w:tr>
            <w:tr w14:paraId="27AD44F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28" w:type="dxa"/>
                  <w:left w:w="28" w:type="dxa"/>
                  <w:bottom w:w="28" w:type="dxa"/>
                  <w:right w:w="28" w:type="dxa"/>
                </w:tblCellMar>
              </w:tblPrEx>
              <w:trPr>
                <w:trHeight w:val="227" w:hRule="atLeast"/>
                <w:jc w:val="center"/>
              </w:trPr>
              <w:tc>
                <w:tcPr>
                  <w:tcW w:w="196" w:type="pct"/>
                  <w:vMerge w:val="continue"/>
                  <w:tcBorders>
                    <w:top w:val="single" w:color="auto" w:sz="12" w:space="0"/>
                    <w:left w:val="single" w:color="auto" w:sz="12" w:space="0"/>
                    <w:bottom w:val="single" w:color="auto" w:sz="12" w:space="0"/>
                    <w:right w:val="single" w:color="auto" w:sz="12" w:space="0"/>
                  </w:tcBorders>
                  <w:vAlign w:val="center"/>
                </w:tcPr>
                <w:p w14:paraId="6F415689">
                  <w:pPr>
                    <w:widowControl/>
                    <w:jc w:val="center"/>
                    <w:rPr>
                      <w:color w:val="000000" w:themeColor="text1"/>
                      <w:sz w:val="18"/>
                      <w:szCs w:val="18"/>
                      <w14:textFill>
                        <w14:solidFill>
                          <w14:schemeClr w14:val="tx1"/>
                        </w14:solidFill>
                      </w14:textFill>
                    </w:rPr>
                  </w:pPr>
                </w:p>
              </w:tc>
              <w:tc>
                <w:tcPr>
                  <w:tcW w:w="637" w:type="pct"/>
                  <w:vMerge w:val="continue"/>
                  <w:tcBorders>
                    <w:top w:val="single" w:color="auto" w:sz="12" w:space="0"/>
                    <w:left w:val="single" w:color="auto" w:sz="12" w:space="0"/>
                    <w:bottom w:val="single" w:color="auto" w:sz="12" w:space="0"/>
                    <w:right w:val="single" w:color="auto" w:sz="12" w:space="0"/>
                  </w:tcBorders>
                  <w:vAlign w:val="center"/>
                </w:tcPr>
                <w:p w14:paraId="38A1C6CC">
                  <w:pPr>
                    <w:widowControl/>
                    <w:jc w:val="center"/>
                    <w:rPr>
                      <w:color w:val="000000" w:themeColor="text1"/>
                      <w:sz w:val="18"/>
                      <w:szCs w:val="18"/>
                      <w14:textFill>
                        <w14:solidFill>
                          <w14:schemeClr w14:val="tx1"/>
                        </w14:solidFill>
                      </w14:textFill>
                    </w:rPr>
                  </w:pPr>
                </w:p>
              </w:tc>
              <w:tc>
                <w:tcPr>
                  <w:tcW w:w="498" w:type="pct"/>
                  <w:vMerge w:val="continue"/>
                  <w:tcBorders>
                    <w:top w:val="single" w:color="auto" w:sz="12" w:space="0"/>
                    <w:left w:val="single" w:color="auto" w:sz="12" w:space="0"/>
                    <w:bottom w:val="single" w:color="auto" w:sz="12" w:space="0"/>
                    <w:right w:val="single" w:color="auto" w:sz="12" w:space="0"/>
                  </w:tcBorders>
                  <w:vAlign w:val="center"/>
                </w:tcPr>
                <w:p w14:paraId="315451DB">
                  <w:pPr>
                    <w:widowControl/>
                    <w:jc w:val="center"/>
                    <w:rPr>
                      <w:color w:val="000000" w:themeColor="text1"/>
                      <w:sz w:val="18"/>
                      <w:szCs w:val="18"/>
                      <w14:textFill>
                        <w14:solidFill>
                          <w14:schemeClr w14:val="tx1"/>
                        </w14:solidFill>
                      </w14:textFill>
                    </w:rPr>
                  </w:pPr>
                </w:p>
              </w:tc>
              <w:tc>
                <w:tcPr>
                  <w:tcW w:w="418" w:type="pct"/>
                  <w:tcBorders>
                    <w:top w:val="single" w:color="auto" w:sz="12" w:space="0"/>
                    <w:left w:val="single" w:color="auto" w:sz="12" w:space="0"/>
                    <w:bottom w:val="single" w:color="auto" w:sz="12" w:space="0"/>
                    <w:right w:val="single" w:color="auto" w:sz="12" w:space="0"/>
                  </w:tcBorders>
                  <w:vAlign w:val="center"/>
                </w:tcPr>
                <w:p w14:paraId="0AD51EEC">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新鲜水</w:t>
                  </w:r>
                </w:p>
              </w:tc>
              <w:tc>
                <w:tcPr>
                  <w:tcW w:w="424" w:type="pct"/>
                  <w:tcBorders>
                    <w:top w:val="single" w:color="auto" w:sz="12" w:space="0"/>
                    <w:left w:val="single" w:color="auto" w:sz="12" w:space="0"/>
                    <w:bottom w:val="single" w:color="auto" w:sz="12" w:space="0"/>
                    <w:right w:val="single" w:color="auto" w:sz="12" w:space="0"/>
                  </w:tcBorders>
                  <w:vAlign w:val="center"/>
                </w:tcPr>
                <w:p w14:paraId="2D0FE77A">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原料带入</w:t>
                  </w:r>
                </w:p>
              </w:tc>
              <w:tc>
                <w:tcPr>
                  <w:tcW w:w="355" w:type="pct"/>
                  <w:tcBorders>
                    <w:top w:val="single" w:color="auto" w:sz="12" w:space="0"/>
                    <w:left w:val="single" w:color="auto" w:sz="12" w:space="0"/>
                    <w:bottom w:val="single" w:color="auto" w:sz="12" w:space="0"/>
                    <w:right w:val="single" w:color="auto" w:sz="12" w:space="0"/>
                  </w:tcBorders>
                  <w:vAlign w:val="center"/>
                </w:tcPr>
                <w:p w14:paraId="562FFF72">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雨水</w:t>
                  </w:r>
                </w:p>
              </w:tc>
              <w:tc>
                <w:tcPr>
                  <w:tcW w:w="410" w:type="pct"/>
                  <w:tcBorders>
                    <w:top w:val="single" w:color="auto" w:sz="12" w:space="0"/>
                    <w:left w:val="single" w:color="auto" w:sz="12" w:space="0"/>
                    <w:bottom w:val="single" w:color="auto" w:sz="12" w:space="0"/>
                    <w:right w:val="single" w:color="auto" w:sz="12" w:space="0"/>
                  </w:tcBorders>
                  <w:vAlign w:val="center"/>
                </w:tcPr>
                <w:p w14:paraId="0A67A73D">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循环水</w:t>
                  </w:r>
                </w:p>
              </w:tc>
              <w:tc>
                <w:tcPr>
                  <w:tcW w:w="353" w:type="pct"/>
                  <w:tcBorders>
                    <w:top w:val="single" w:color="auto" w:sz="12" w:space="0"/>
                    <w:left w:val="single" w:color="auto" w:sz="12" w:space="0"/>
                    <w:bottom w:val="single" w:color="auto" w:sz="12" w:space="0"/>
                    <w:right w:val="single" w:color="auto" w:sz="12" w:space="0"/>
                  </w:tcBorders>
                  <w:vAlign w:val="center"/>
                </w:tcPr>
                <w:p w14:paraId="45877513">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损耗水</w:t>
                  </w:r>
                </w:p>
              </w:tc>
              <w:tc>
                <w:tcPr>
                  <w:tcW w:w="873" w:type="pct"/>
                  <w:tcBorders>
                    <w:top w:val="single" w:color="auto" w:sz="12" w:space="0"/>
                    <w:left w:val="single" w:color="auto" w:sz="12" w:space="0"/>
                    <w:bottom w:val="single" w:color="auto" w:sz="12" w:space="0"/>
                    <w:right w:val="single" w:color="auto" w:sz="12" w:space="0"/>
                  </w:tcBorders>
                  <w:vAlign w:val="center"/>
                </w:tcPr>
                <w:p w14:paraId="78A3304B">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排水/去向</w:t>
                  </w:r>
                </w:p>
              </w:tc>
              <w:tc>
                <w:tcPr>
                  <w:tcW w:w="425" w:type="pct"/>
                  <w:tcBorders>
                    <w:top w:val="single" w:color="auto" w:sz="12" w:space="0"/>
                    <w:left w:val="single" w:color="auto" w:sz="12" w:space="0"/>
                    <w:bottom w:val="single" w:color="auto" w:sz="12" w:space="0"/>
                    <w:right w:val="single" w:color="auto" w:sz="12" w:space="0"/>
                  </w:tcBorders>
                  <w:vAlign w:val="center"/>
                </w:tcPr>
                <w:p w14:paraId="278097A5">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产品</w:t>
                  </w:r>
                  <w:r>
                    <w:rPr>
                      <w:color w:val="000000" w:themeColor="text1"/>
                      <w:sz w:val="18"/>
                      <w:szCs w:val="18"/>
                      <w14:textFill>
                        <w14:solidFill>
                          <w14:schemeClr w14:val="tx1"/>
                        </w14:solidFill>
                      </w14:textFill>
                    </w:rPr>
                    <w:t>带出</w:t>
                  </w:r>
                </w:p>
              </w:tc>
              <w:tc>
                <w:tcPr>
                  <w:tcW w:w="410" w:type="pct"/>
                  <w:tcBorders>
                    <w:top w:val="single" w:color="auto" w:sz="12" w:space="0"/>
                    <w:left w:val="single" w:color="auto" w:sz="12" w:space="0"/>
                    <w:bottom w:val="single" w:color="auto" w:sz="12" w:space="0"/>
                    <w:right w:val="single" w:color="auto" w:sz="12" w:space="0"/>
                  </w:tcBorders>
                  <w:vAlign w:val="center"/>
                </w:tcPr>
                <w:p w14:paraId="0B466C16">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循环水</w:t>
                  </w:r>
                </w:p>
              </w:tc>
            </w:tr>
            <w:tr w14:paraId="3A057E5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28" w:type="dxa"/>
                  <w:left w:w="28" w:type="dxa"/>
                  <w:bottom w:w="28" w:type="dxa"/>
                  <w:right w:w="28" w:type="dxa"/>
                </w:tblCellMar>
              </w:tblPrEx>
              <w:trPr>
                <w:trHeight w:val="227" w:hRule="atLeast"/>
                <w:jc w:val="center"/>
              </w:trPr>
              <w:tc>
                <w:tcPr>
                  <w:tcW w:w="196" w:type="pct"/>
                  <w:tcBorders>
                    <w:top w:val="single" w:color="auto" w:sz="12" w:space="0"/>
                    <w:left w:val="single" w:color="auto" w:sz="12" w:space="0"/>
                    <w:bottom w:val="single" w:color="auto" w:sz="12" w:space="0"/>
                    <w:right w:val="single" w:color="auto" w:sz="12" w:space="0"/>
                  </w:tcBorders>
                  <w:vAlign w:val="center"/>
                </w:tcPr>
                <w:p w14:paraId="3D3C4BD7">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p>
              </w:tc>
              <w:tc>
                <w:tcPr>
                  <w:tcW w:w="637"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4D365E35">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生活用水</w:t>
                  </w:r>
                </w:p>
              </w:tc>
              <w:tc>
                <w:tcPr>
                  <w:tcW w:w="498"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39C8EEB2">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2.4</w:t>
                  </w:r>
                </w:p>
              </w:tc>
              <w:tc>
                <w:tcPr>
                  <w:tcW w:w="418"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6C79FB87">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2.4</w:t>
                  </w:r>
                </w:p>
              </w:tc>
              <w:tc>
                <w:tcPr>
                  <w:tcW w:w="424"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1EB35438">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p>
              </w:tc>
              <w:tc>
                <w:tcPr>
                  <w:tcW w:w="355" w:type="pct"/>
                  <w:tcBorders>
                    <w:top w:val="single" w:color="auto" w:sz="12" w:space="0"/>
                    <w:left w:val="single" w:color="auto" w:sz="12" w:space="0"/>
                    <w:bottom w:val="single" w:color="auto" w:sz="12" w:space="0"/>
                    <w:right w:val="single" w:color="auto" w:sz="12" w:space="0"/>
                  </w:tcBorders>
                  <w:vAlign w:val="center"/>
                </w:tcPr>
                <w:p w14:paraId="60B2AAA7">
                  <w:pPr>
                    <w:jc w:val="center"/>
                    <w:rPr>
                      <w:color w:val="000000" w:themeColor="text1"/>
                      <w:sz w:val="18"/>
                      <w:szCs w:val="18"/>
                      <w14:textFill>
                        <w14:solidFill>
                          <w14:schemeClr w14:val="tx1"/>
                        </w14:solidFill>
                      </w14:textFill>
                    </w:rPr>
                  </w:pPr>
                </w:p>
              </w:tc>
              <w:tc>
                <w:tcPr>
                  <w:tcW w:w="410" w:type="pct"/>
                  <w:tcBorders>
                    <w:top w:val="single" w:color="auto" w:sz="12" w:space="0"/>
                    <w:left w:val="single" w:color="auto" w:sz="12" w:space="0"/>
                    <w:bottom w:val="single" w:color="auto" w:sz="12" w:space="0"/>
                    <w:right w:val="single" w:color="auto" w:sz="12" w:space="0"/>
                  </w:tcBorders>
                  <w:vAlign w:val="center"/>
                </w:tcPr>
                <w:p w14:paraId="4149BF5B">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p>
              </w:tc>
              <w:tc>
                <w:tcPr>
                  <w:tcW w:w="353" w:type="pct"/>
                  <w:tcBorders>
                    <w:top w:val="single" w:color="auto" w:sz="12" w:space="0"/>
                    <w:left w:val="single" w:color="auto" w:sz="12" w:space="0"/>
                    <w:bottom w:val="single" w:color="auto" w:sz="12" w:space="0"/>
                    <w:right w:val="single" w:color="auto" w:sz="12" w:space="0"/>
                  </w:tcBorders>
                  <w:vAlign w:val="center"/>
                </w:tcPr>
                <w:p w14:paraId="453ED51C">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0.48</w:t>
                  </w:r>
                </w:p>
              </w:tc>
              <w:tc>
                <w:tcPr>
                  <w:tcW w:w="873" w:type="pct"/>
                  <w:tcBorders>
                    <w:top w:val="single" w:color="auto" w:sz="12" w:space="0"/>
                    <w:left w:val="single" w:color="auto" w:sz="12" w:space="0"/>
                    <w:bottom w:val="single" w:color="auto" w:sz="12" w:space="0"/>
                    <w:right w:val="single" w:color="auto" w:sz="12" w:space="0"/>
                  </w:tcBorders>
                  <w:vAlign w:val="center"/>
                </w:tcPr>
                <w:p w14:paraId="16825EDA">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1.9</w:t>
                  </w:r>
                  <w:r>
                    <w:rPr>
                      <w:rFonts w:hint="eastAsia"/>
                      <w:color w:val="000000" w:themeColor="text1"/>
                      <w:sz w:val="18"/>
                      <w:szCs w:val="18"/>
                      <w:lang w:val="en-US" w:eastAsia="zh-CN"/>
                      <w14:textFill>
                        <w14:solidFill>
                          <w14:schemeClr w14:val="tx1"/>
                        </w14:solidFill>
                      </w14:textFill>
                    </w:rPr>
                    <w:t>2</w:t>
                  </w:r>
                  <w:r>
                    <w:rPr>
                      <w:rFonts w:hint="eastAsia"/>
                      <w:color w:val="000000" w:themeColor="text1"/>
                      <w:sz w:val="18"/>
                      <w:szCs w:val="18"/>
                      <w14:textFill>
                        <w14:solidFill>
                          <w14:schemeClr w14:val="tx1"/>
                        </w14:solidFill>
                      </w14:textFill>
                    </w:rPr>
                    <w:t>/金山工业园污水处理厂</w:t>
                  </w:r>
                </w:p>
              </w:tc>
              <w:tc>
                <w:tcPr>
                  <w:tcW w:w="425" w:type="pct"/>
                  <w:tcBorders>
                    <w:top w:val="single" w:color="auto" w:sz="12" w:space="0"/>
                    <w:left w:val="single" w:color="auto" w:sz="12" w:space="0"/>
                    <w:bottom w:val="single" w:color="auto" w:sz="12" w:space="0"/>
                    <w:right w:val="single" w:color="auto" w:sz="12" w:space="0"/>
                  </w:tcBorders>
                  <w:vAlign w:val="center"/>
                </w:tcPr>
                <w:p w14:paraId="227D9635">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p>
              </w:tc>
              <w:tc>
                <w:tcPr>
                  <w:tcW w:w="410" w:type="pct"/>
                  <w:tcBorders>
                    <w:top w:val="single" w:color="auto" w:sz="12" w:space="0"/>
                    <w:left w:val="single" w:color="auto" w:sz="12" w:space="0"/>
                    <w:bottom w:val="single" w:color="auto" w:sz="12" w:space="0"/>
                    <w:right w:val="single" w:color="auto" w:sz="12" w:space="0"/>
                  </w:tcBorders>
                  <w:vAlign w:val="center"/>
                </w:tcPr>
                <w:p w14:paraId="46F82DE5">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p>
              </w:tc>
            </w:tr>
            <w:tr w14:paraId="43FF245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28" w:type="dxa"/>
                  <w:left w:w="28" w:type="dxa"/>
                  <w:bottom w:w="28" w:type="dxa"/>
                  <w:right w:w="28" w:type="dxa"/>
                </w:tblCellMar>
              </w:tblPrEx>
              <w:trPr>
                <w:trHeight w:val="227" w:hRule="atLeast"/>
                <w:jc w:val="center"/>
              </w:trPr>
              <w:tc>
                <w:tcPr>
                  <w:tcW w:w="196" w:type="pct"/>
                  <w:tcBorders>
                    <w:top w:val="single" w:color="auto" w:sz="12" w:space="0"/>
                    <w:left w:val="single" w:color="auto" w:sz="12" w:space="0"/>
                    <w:bottom w:val="single" w:color="auto" w:sz="12" w:space="0"/>
                    <w:right w:val="single" w:color="auto" w:sz="12" w:space="0"/>
                  </w:tcBorders>
                  <w:vAlign w:val="center"/>
                </w:tcPr>
                <w:p w14:paraId="7FCC8267">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w:t>
                  </w:r>
                </w:p>
              </w:tc>
              <w:tc>
                <w:tcPr>
                  <w:tcW w:w="637"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63B3AF76">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过水池</w:t>
                  </w:r>
                </w:p>
                <w:p w14:paraId="7F5F406B">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清洗用水</w:t>
                  </w:r>
                </w:p>
              </w:tc>
              <w:tc>
                <w:tcPr>
                  <w:tcW w:w="498"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0437410F">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2957.333</w:t>
                  </w:r>
                </w:p>
              </w:tc>
              <w:tc>
                <w:tcPr>
                  <w:tcW w:w="418"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56C79D69">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196.787</w:t>
                  </w:r>
                </w:p>
              </w:tc>
              <w:tc>
                <w:tcPr>
                  <w:tcW w:w="424"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42EEB17E">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355" w:type="pct"/>
                  <w:tcBorders>
                    <w:top w:val="single" w:color="auto" w:sz="12" w:space="0"/>
                    <w:left w:val="single" w:color="auto" w:sz="12" w:space="0"/>
                    <w:bottom w:val="single" w:color="auto" w:sz="12" w:space="0"/>
                    <w:right w:val="single" w:color="auto" w:sz="12" w:space="0"/>
                  </w:tcBorders>
                  <w:vAlign w:val="center"/>
                </w:tcPr>
                <w:p w14:paraId="5A1BFB46">
                  <w:pPr>
                    <w:jc w:val="center"/>
                    <w:rPr>
                      <w:color w:val="000000" w:themeColor="text1"/>
                      <w:sz w:val="18"/>
                      <w:szCs w:val="18"/>
                      <w14:textFill>
                        <w14:solidFill>
                          <w14:schemeClr w14:val="tx1"/>
                        </w14:solidFill>
                      </w14:textFill>
                    </w:rPr>
                  </w:pPr>
                </w:p>
              </w:tc>
              <w:tc>
                <w:tcPr>
                  <w:tcW w:w="410" w:type="pct"/>
                  <w:tcBorders>
                    <w:top w:val="single" w:color="auto" w:sz="12" w:space="0"/>
                    <w:left w:val="single" w:color="auto" w:sz="12" w:space="0"/>
                    <w:bottom w:val="single" w:color="auto" w:sz="12" w:space="0"/>
                    <w:right w:val="single" w:color="auto" w:sz="12" w:space="0"/>
                  </w:tcBorders>
                  <w:vAlign w:val="center"/>
                </w:tcPr>
                <w:p w14:paraId="7E8397B9">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2760.546</w:t>
                  </w:r>
                </w:p>
              </w:tc>
              <w:tc>
                <w:tcPr>
                  <w:tcW w:w="353" w:type="pct"/>
                  <w:tcBorders>
                    <w:top w:val="single" w:color="auto" w:sz="12" w:space="0"/>
                    <w:left w:val="single" w:color="auto" w:sz="12" w:space="0"/>
                    <w:bottom w:val="single" w:color="auto" w:sz="12" w:space="0"/>
                    <w:right w:val="single" w:color="auto" w:sz="12" w:space="0"/>
                  </w:tcBorders>
                  <w:vAlign w:val="center"/>
                </w:tcPr>
                <w:p w14:paraId="1960989C">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59.147</w:t>
                  </w:r>
                </w:p>
              </w:tc>
              <w:tc>
                <w:tcPr>
                  <w:tcW w:w="873" w:type="pct"/>
                  <w:tcBorders>
                    <w:top w:val="single" w:color="auto" w:sz="12" w:space="0"/>
                    <w:left w:val="single" w:color="auto" w:sz="12" w:space="0"/>
                    <w:bottom w:val="single" w:color="auto" w:sz="12" w:space="0"/>
                    <w:right w:val="single" w:color="auto" w:sz="12" w:space="0"/>
                  </w:tcBorders>
                  <w:vAlign w:val="center"/>
                </w:tcPr>
                <w:p w14:paraId="29CB4AA7">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35.9</w:t>
                  </w:r>
                  <w:r>
                    <w:rPr>
                      <w:rFonts w:hint="eastAsia"/>
                      <w:color w:val="000000" w:themeColor="text1"/>
                      <w:sz w:val="18"/>
                      <w:szCs w:val="18"/>
                      <w14:textFill>
                        <w14:solidFill>
                          <w14:schemeClr w14:val="tx1"/>
                        </w14:solidFill>
                      </w14:textFill>
                    </w:rPr>
                    <w:t>73/进入泥渣</w:t>
                  </w:r>
                </w:p>
              </w:tc>
              <w:tc>
                <w:tcPr>
                  <w:tcW w:w="425" w:type="pct"/>
                  <w:tcBorders>
                    <w:top w:val="single" w:color="auto" w:sz="12" w:space="0"/>
                    <w:left w:val="single" w:color="auto" w:sz="12" w:space="0"/>
                    <w:bottom w:val="single" w:color="auto" w:sz="12" w:space="0"/>
                    <w:right w:val="single" w:color="auto" w:sz="12" w:space="0"/>
                  </w:tcBorders>
                  <w:vAlign w:val="center"/>
                </w:tcPr>
                <w:p w14:paraId="76FBA20F">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101.667</w:t>
                  </w:r>
                </w:p>
              </w:tc>
              <w:tc>
                <w:tcPr>
                  <w:tcW w:w="410" w:type="pct"/>
                  <w:tcBorders>
                    <w:top w:val="single" w:color="auto" w:sz="12" w:space="0"/>
                    <w:left w:val="single" w:color="auto" w:sz="12" w:space="0"/>
                    <w:bottom w:val="single" w:color="auto" w:sz="12" w:space="0"/>
                    <w:right w:val="single" w:color="auto" w:sz="12" w:space="0"/>
                  </w:tcBorders>
                  <w:vAlign w:val="center"/>
                </w:tcPr>
                <w:p w14:paraId="2E851EE6">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2760.546</w:t>
                  </w:r>
                </w:p>
              </w:tc>
            </w:tr>
            <w:tr w14:paraId="7D711FA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28" w:type="dxa"/>
                  <w:left w:w="28" w:type="dxa"/>
                  <w:bottom w:w="28" w:type="dxa"/>
                  <w:right w:w="28" w:type="dxa"/>
                </w:tblCellMar>
              </w:tblPrEx>
              <w:trPr>
                <w:trHeight w:val="227" w:hRule="atLeast"/>
                <w:jc w:val="center"/>
              </w:trPr>
              <w:tc>
                <w:tcPr>
                  <w:tcW w:w="196" w:type="pct"/>
                  <w:tcBorders>
                    <w:top w:val="single" w:color="auto" w:sz="12" w:space="0"/>
                    <w:left w:val="single" w:color="auto" w:sz="12" w:space="0"/>
                    <w:bottom w:val="single" w:color="auto" w:sz="12" w:space="0"/>
                    <w:right w:val="single" w:color="auto" w:sz="12" w:space="0"/>
                  </w:tcBorders>
                  <w:vAlign w:val="center"/>
                </w:tcPr>
                <w:p w14:paraId="2E22D037">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w:t>
                  </w:r>
                </w:p>
              </w:tc>
              <w:tc>
                <w:tcPr>
                  <w:tcW w:w="637"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089A8BF3">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喷雾用水</w:t>
                  </w:r>
                </w:p>
              </w:tc>
              <w:tc>
                <w:tcPr>
                  <w:tcW w:w="498"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2BF7A512">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4</w:t>
                  </w:r>
                </w:p>
              </w:tc>
              <w:tc>
                <w:tcPr>
                  <w:tcW w:w="418"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56847B6E">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4</w:t>
                  </w:r>
                </w:p>
              </w:tc>
              <w:tc>
                <w:tcPr>
                  <w:tcW w:w="424"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33800746">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355" w:type="pct"/>
                  <w:tcBorders>
                    <w:top w:val="single" w:color="auto" w:sz="12" w:space="0"/>
                    <w:left w:val="single" w:color="auto" w:sz="12" w:space="0"/>
                    <w:bottom w:val="single" w:color="auto" w:sz="12" w:space="0"/>
                    <w:right w:val="single" w:color="auto" w:sz="12" w:space="0"/>
                  </w:tcBorders>
                  <w:vAlign w:val="center"/>
                </w:tcPr>
                <w:p w14:paraId="51A3D9E0">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410" w:type="pct"/>
                  <w:tcBorders>
                    <w:top w:val="single" w:color="auto" w:sz="12" w:space="0"/>
                    <w:left w:val="single" w:color="auto" w:sz="12" w:space="0"/>
                    <w:bottom w:val="single" w:color="auto" w:sz="12" w:space="0"/>
                    <w:right w:val="single" w:color="auto" w:sz="12" w:space="0"/>
                  </w:tcBorders>
                  <w:vAlign w:val="center"/>
                </w:tcPr>
                <w:p w14:paraId="15EA513A">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353" w:type="pct"/>
                  <w:tcBorders>
                    <w:top w:val="single" w:color="auto" w:sz="12" w:space="0"/>
                    <w:left w:val="single" w:color="auto" w:sz="12" w:space="0"/>
                    <w:bottom w:val="single" w:color="auto" w:sz="12" w:space="0"/>
                    <w:right w:val="single" w:color="auto" w:sz="12" w:space="0"/>
                  </w:tcBorders>
                  <w:vAlign w:val="center"/>
                </w:tcPr>
                <w:p w14:paraId="593AD24B">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0.4</w:t>
                  </w:r>
                </w:p>
              </w:tc>
              <w:tc>
                <w:tcPr>
                  <w:tcW w:w="873" w:type="pct"/>
                  <w:tcBorders>
                    <w:top w:val="single" w:color="auto" w:sz="12" w:space="0"/>
                    <w:left w:val="single" w:color="auto" w:sz="12" w:space="0"/>
                    <w:bottom w:val="single" w:color="auto" w:sz="12" w:space="0"/>
                    <w:right w:val="single" w:color="auto" w:sz="12" w:space="0"/>
                  </w:tcBorders>
                  <w:vAlign w:val="center"/>
                </w:tcPr>
                <w:p w14:paraId="40A2783D">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3.6/进入产品</w:t>
                  </w:r>
                </w:p>
              </w:tc>
              <w:tc>
                <w:tcPr>
                  <w:tcW w:w="425" w:type="pct"/>
                  <w:tcBorders>
                    <w:top w:val="single" w:color="auto" w:sz="12" w:space="0"/>
                    <w:left w:val="single" w:color="auto" w:sz="12" w:space="0"/>
                    <w:bottom w:val="single" w:color="auto" w:sz="12" w:space="0"/>
                    <w:right w:val="single" w:color="auto" w:sz="12" w:space="0"/>
                  </w:tcBorders>
                  <w:vAlign w:val="center"/>
                </w:tcPr>
                <w:p w14:paraId="33EB92B4">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410" w:type="pct"/>
                  <w:tcBorders>
                    <w:top w:val="single" w:color="auto" w:sz="12" w:space="0"/>
                    <w:left w:val="single" w:color="auto" w:sz="12" w:space="0"/>
                    <w:bottom w:val="single" w:color="auto" w:sz="12" w:space="0"/>
                    <w:right w:val="single" w:color="auto" w:sz="12" w:space="0"/>
                  </w:tcBorders>
                  <w:vAlign w:val="center"/>
                </w:tcPr>
                <w:p w14:paraId="6F67D55C">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r>
            <w:tr w14:paraId="0A20C9A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28" w:type="dxa"/>
                  <w:left w:w="28" w:type="dxa"/>
                  <w:bottom w:w="28" w:type="dxa"/>
                  <w:right w:w="28" w:type="dxa"/>
                </w:tblCellMar>
              </w:tblPrEx>
              <w:trPr>
                <w:trHeight w:val="227" w:hRule="atLeast"/>
                <w:jc w:val="center"/>
              </w:trPr>
              <w:tc>
                <w:tcPr>
                  <w:tcW w:w="196" w:type="pct"/>
                  <w:tcBorders>
                    <w:top w:val="single" w:color="auto" w:sz="12" w:space="0"/>
                    <w:left w:val="single" w:color="auto" w:sz="12" w:space="0"/>
                    <w:bottom w:val="single" w:color="auto" w:sz="12" w:space="0"/>
                    <w:right w:val="single" w:color="auto" w:sz="12" w:space="0"/>
                  </w:tcBorders>
                  <w:vAlign w:val="center"/>
                </w:tcPr>
                <w:p w14:paraId="77D960C0">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4</w:t>
                  </w:r>
                </w:p>
              </w:tc>
              <w:tc>
                <w:tcPr>
                  <w:tcW w:w="637"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6961A068">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生产搅拌用水</w:t>
                  </w:r>
                </w:p>
              </w:tc>
              <w:tc>
                <w:tcPr>
                  <w:tcW w:w="498"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61539CF5">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w:t>
                  </w:r>
                  <w:r>
                    <w:rPr>
                      <w:color w:val="000000" w:themeColor="text1"/>
                      <w:sz w:val="18"/>
                      <w:szCs w:val="18"/>
                      <w14:textFill>
                        <w14:solidFill>
                          <w14:schemeClr w14:val="tx1"/>
                        </w14:solidFill>
                      </w14:textFill>
                    </w:rPr>
                    <w:t>33.333</w:t>
                  </w:r>
                </w:p>
              </w:tc>
              <w:tc>
                <w:tcPr>
                  <w:tcW w:w="418"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5FB94169">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128.066</w:t>
                  </w:r>
                </w:p>
              </w:tc>
              <w:tc>
                <w:tcPr>
                  <w:tcW w:w="424"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610F5440">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101.667</w:t>
                  </w:r>
                </w:p>
              </w:tc>
              <w:tc>
                <w:tcPr>
                  <w:tcW w:w="355" w:type="pct"/>
                  <w:tcBorders>
                    <w:top w:val="single" w:color="auto" w:sz="12" w:space="0"/>
                    <w:left w:val="single" w:color="auto" w:sz="12" w:space="0"/>
                    <w:bottom w:val="single" w:color="auto" w:sz="12" w:space="0"/>
                    <w:right w:val="single" w:color="auto" w:sz="12" w:space="0"/>
                  </w:tcBorders>
                  <w:vAlign w:val="center"/>
                </w:tcPr>
                <w:p w14:paraId="242005CD">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410" w:type="pct"/>
                  <w:tcBorders>
                    <w:top w:val="single" w:color="auto" w:sz="12" w:space="0"/>
                    <w:left w:val="single" w:color="auto" w:sz="12" w:space="0"/>
                    <w:bottom w:val="single" w:color="auto" w:sz="12" w:space="0"/>
                    <w:right w:val="single" w:color="auto" w:sz="12" w:space="0"/>
                  </w:tcBorders>
                  <w:vAlign w:val="center"/>
                </w:tcPr>
                <w:p w14:paraId="7B8B482F">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3.6</w:t>
                  </w:r>
                </w:p>
              </w:tc>
              <w:tc>
                <w:tcPr>
                  <w:tcW w:w="353" w:type="pct"/>
                  <w:tcBorders>
                    <w:top w:val="single" w:color="auto" w:sz="12" w:space="0"/>
                    <w:left w:val="single" w:color="auto" w:sz="12" w:space="0"/>
                    <w:bottom w:val="single" w:color="auto" w:sz="12" w:space="0"/>
                    <w:right w:val="single" w:color="auto" w:sz="12" w:space="0"/>
                  </w:tcBorders>
                  <w:vAlign w:val="center"/>
                </w:tcPr>
                <w:p w14:paraId="295D348D">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873" w:type="pct"/>
                  <w:tcBorders>
                    <w:top w:val="single" w:color="auto" w:sz="12" w:space="0"/>
                    <w:left w:val="single" w:color="auto" w:sz="12" w:space="0"/>
                    <w:bottom w:val="single" w:color="auto" w:sz="12" w:space="0"/>
                    <w:right w:val="single" w:color="auto" w:sz="12" w:space="0"/>
                  </w:tcBorders>
                  <w:vAlign w:val="center"/>
                </w:tcPr>
                <w:p w14:paraId="77B5DA43">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425" w:type="pct"/>
                  <w:tcBorders>
                    <w:top w:val="single" w:color="auto" w:sz="12" w:space="0"/>
                    <w:left w:val="single" w:color="auto" w:sz="12" w:space="0"/>
                    <w:bottom w:val="single" w:color="auto" w:sz="12" w:space="0"/>
                    <w:right w:val="single" w:color="auto" w:sz="12" w:space="0"/>
                  </w:tcBorders>
                  <w:vAlign w:val="center"/>
                </w:tcPr>
                <w:p w14:paraId="168342C4">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233.333</w:t>
                  </w:r>
                </w:p>
              </w:tc>
              <w:tc>
                <w:tcPr>
                  <w:tcW w:w="410" w:type="pct"/>
                  <w:tcBorders>
                    <w:top w:val="single" w:color="auto" w:sz="12" w:space="0"/>
                    <w:left w:val="single" w:color="auto" w:sz="12" w:space="0"/>
                    <w:bottom w:val="single" w:color="auto" w:sz="12" w:space="0"/>
                    <w:right w:val="single" w:color="auto" w:sz="12" w:space="0"/>
                  </w:tcBorders>
                  <w:vAlign w:val="center"/>
                </w:tcPr>
                <w:p w14:paraId="44A50795">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r>
            <w:tr w14:paraId="688DE34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28" w:type="dxa"/>
                  <w:left w:w="28" w:type="dxa"/>
                  <w:bottom w:w="28" w:type="dxa"/>
                  <w:right w:w="28" w:type="dxa"/>
                </w:tblCellMar>
              </w:tblPrEx>
              <w:trPr>
                <w:trHeight w:val="227" w:hRule="atLeast"/>
                <w:jc w:val="center"/>
              </w:trPr>
              <w:tc>
                <w:tcPr>
                  <w:tcW w:w="196" w:type="pct"/>
                  <w:tcBorders>
                    <w:top w:val="single" w:color="auto" w:sz="12" w:space="0"/>
                    <w:left w:val="single" w:color="auto" w:sz="12" w:space="0"/>
                    <w:bottom w:val="single" w:color="auto" w:sz="12" w:space="0"/>
                    <w:right w:val="single" w:color="auto" w:sz="12" w:space="0"/>
                  </w:tcBorders>
                  <w:vAlign w:val="center"/>
                </w:tcPr>
                <w:p w14:paraId="26E5D6EE">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w:t>
                  </w:r>
                </w:p>
              </w:tc>
              <w:tc>
                <w:tcPr>
                  <w:tcW w:w="637"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5A731D36">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车辆清洗用水</w:t>
                  </w:r>
                </w:p>
              </w:tc>
              <w:tc>
                <w:tcPr>
                  <w:tcW w:w="498"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0D3475AA">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7.2</w:t>
                  </w:r>
                </w:p>
              </w:tc>
              <w:tc>
                <w:tcPr>
                  <w:tcW w:w="418"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3092B474">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1.44</w:t>
                  </w:r>
                </w:p>
              </w:tc>
              <w:tc>
                <w:tcPr>
                  <w:tcW w:w="424"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07219ABD">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355" w:type="pct"/>
                  <w:tcBorders>
                    <w:top w:val="single" w:color="auto" w:sz="12" w:space="0"/>
                    <w:left w:val="single" w:color="auto" w:sz="12" w:space="0"/>
                    <w:bottom w:val="single" w:color="auto" w:sz="12" w:space="0"/>
                    <w:right w:val="single" w:color="auto" w:sz="12" w:space="0"/>
                  </w:tcBorders>
                  <w:vAlign w:val="center"/>
                </w:tcPr>
                <w:p w14:paraId="2F39FAE9">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410" w:type="pct"/>
                  <w:tcBorders>
                    <w:top w:val="single" w:color="auto" w:sz="12" w:space="0"/>
                    <w:left w:val="single" w:color="auto" w:sz="12" w:space="0"/>
                    <w:bottom w:val="single" w:color="auto" w:sz="12" w:space="0"/>
                    <w:right w:val="single" w:color="auto" w:sz="12" w:space="0"/>
                  </w:tcBorders>
                  <w:vAlign w:val="center"/>
                </w:tcPr>
                <w:p w14:paraId="5E5B839A">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5.76</w:t>
                  </w:r>
                </w:p>
              </w:tc>
              <w:tc>
                <w:tcPr>
                  <w:tcW w:w="353" w:type="pct"/>
                  <w:tcBorders>
                    <w:top w:val="single" w:color="auto" w:sz="12" w:space="0"/>
                    <w:left w:val="single" w:color="auto" w:sz="12" w:space="0"/>
                    <w:bottom w:val="single" w:color="auto" w:sz="12" w:space="0"/>
                    <w:right w:val="single" w:color="auto" w:sz="12" w:space="0"/>
                  </w:tcBorders>
                  <w:vAlign w:val="center"/>
                </w:tcPr>
                <w:p w14:paraId="77D4854E">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1.44</w:t>
                  </w:r>
                </w:p>
              </w:tc>
              <w:tc>
                <w:tcPr>
                  <w:tcW w:w="873" w:type="pct"/>
                  <w:tcBorders>
                    <w:top w:val="single" w:color="auto" w:sz="12" w:space="0"/>
                    <w:left w:val="single" w:color="auto" w:sz="12" w:space="0"/>
                    <w:bottom w:val="single" w:color="auto" w:sz="12" w:space="0"/>
                    <w:right w:val="single" w:color="auto" w:sz="12" w:space="0"/>
                  </w:tcBorders>
                  <w:vAlign w:val="center"/>
                </w:tcPr>
                <w:p w14:paraId="2F0B03CA">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5.76</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沉淀池</w:t>
                  </w:r>
                </w:p>
              </w:tc>
              <w:tc>
                <w:tcPr>
                  <w:tcW w:w="425" w:type="pct"/>
                  <w:tcBorders>
                    <w:top w:val="single" w:color="auto" w:sz="12" w:space="0"/>
                    <w:left w:val="single" w:color="auto" w:sz="12" w:space="0"/>
                    <w:bottom w:val="single" w:color="auto" w:sz="12" w:space="0"/>
                    <w:right w:val="single" w:color="auto" w:sz="12" w:space="0"/>
                  </w:tcBorders>
                  <w:vAlign w:val="center"/>
                </w:tcPr>
                <w:p w14:paraId="549D1900">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410" w:type="pct"/>
                  <w:tcBorders>
                    <w:top w:val="single" w:color="auto" w:sz="12" w:space="0"/>
                    <w:left w:val="single" w:color="auto" w:sz="12" w:space="0"/>
                    <w:bottom w:val="single" w:color="auto" w:sz="12" w:space="0"/>
                    <w:right w:val="single" w:color="auto" w:sz="12" w:space="0"/>
                  </w:tcBorders>
                  <w:vAlign w:val="center"/>
                </w:tcPr>
                <w:p w14:paraId="29D4ECD1">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5.76</w:t>
                  </w:r>
                </w:p>
              </w:tc>
            </w:tr>
            <w:tr w14:paraId="09A98BE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28" w:type="dxa"/>
                  <w:left w:w="28" w:type="dxa"/>
                  <w:bottom w:w="28" w:type="dxa"/>
                  <w:right w:w="28" w:type="dxa"/>
                </w:tblCellMar>
              </w:tblPrEx>
              <w:trPr>
                <w:trHeight w:val="227" w:hRule="atLeast"/>
                <w:jc w:val="center"/>
              </w:trPr>
              <w:tc>
                <w:tcPr>
                  <w:tcW w:w="196" w:type="pct"/>
                  <w:tcBorders>
                    <w:top w:val="single" w:color="auto" w:sz="12" w:space="0"/>
                    <w:left w:val="single" w:color="auto" w:sz="12" w:space="0"/>
                    <w:bottom w:val="single" w:color="auto" w:sz="12" w:space="0"/>
                    <w:right w:val="single" w:color="auto" w:sz="12" w:space="0"/>
                  </w:tcBorders>
                  <w:vAlign w:val="center"/>
                </w:tcPr>
                <w:p w14:paraId="2654A3A3">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7</w:t>
                  </w:r>
                </w:p>
              </w:tc>
              <w:tc>
                <w:tcPr>
                  <w:tcW w:w="637"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18166854">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地面拖洗用水</w:t>
                  </w:r>
                </w:p>
              </w:tc>
              <w:tc>
                <w:tcPr>
                  <w:tcW w:w="498"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2EAD1643">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6.667</w:t>
                  </w:r>
                </w:p>
              </w:tc>
              <w:tc>
                <w:tcPr>
                  <w:tcW w:w="418"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413BE793">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1.334</w:t>
                  </w:r>
                </w:p>
              </w:tc>
              <w:tc>
                <w:tcPr>
                  <w:tcW w:w="424"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322FC713">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355" w:type="pct"/>
                  <w:tcBorders>
                    <w:top w:val="single" w:color="auto" w:sz="12" w:space="0"/>
                    <w:left w:val="single" w:color="auto" w:sz="12" w:space="0"/>
                    <w:bottom w:val="single" w:color="auto" w:sz="12" w:space="0"/>
                    <w:right w:val="single" w:color="auto" w:sz="12" w:space="0"/>
                  </w:tcBorders>
                  <w:vAlign w:val="center"/>
                </w:tcPr>
                <w:p w14:paraId="6DF4E11E">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410" w:type="pct"/>
                  <w:tcBorders>
                    <w:top w:val="single" w:color="auto" w:sz="12" w:space="0"/>
                    <w:left w:val="single" w:color="auto" w:sz="12" w:space="0"/>
                    <w:bottom w:val="single" w:color="auto" w:sz="12" w:space="0"/>
                    <w:right w:val="single" w:color="auto" w:sz="12" w:space="0"/>
                  </w:tcBorders>
                  <w:vAlign w:val="center"/>
                </w:tcPr>
                <w:p w14:paraId="666D2519">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5.333</w:t>
                  </w:r>
                </w:p>
              </w:tc>
              <w:tc>
                <w:tcPr>
                  <w:tcW w:w="353" w:type="pct"/>
                  <w:tcBorders>
                    <w:top w:val="single" w:color="auto" w:sz="12" w:space="0"/>
                    <w:left w:val="single" w:color="auto" w:sz="12" w:space="0"/>
                    <w:bottom w:val="single" w:color="auto" w:sz="12" w:space="0"/>
                    <w:right w:val="single" w:color="auto" w:sz="12" w:space="0"/>
                  </w:tcBorders>
                  <w:vAlign w:val="center"/>
                </w:tcPr>
                <w:p w14:paraId="04350AD3">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1.334</w:t>
                  </w:r>
                </w:p>
              </w:tc>
              <w:tc>
                <w:tcPr>
                  <w:tcW w:w="873" w:type="pct"/>
                  <w:tcBorders>
                    <w:top w:val="single" w:color="auto" w:sz="12" w:space="0"/>
                    <w:left w:val="single" w:color="auto" w:sz="12" w:space="0"/>
                    <w:bottom w:val="single" w:color="auto" w:sz="12" w:space="0"/>
                    <w:right w:val="single" w:color="auto" w:sz="12" w:space="0"/>
                  </w:tcBorders>
                  <w:vAlign w:val="center"/>
                </w:tcPr>
                <w:p w14:paraId="01ECF2DC">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5.333</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沉淀池</w:t>
                  </w:r>
                </w:p>
              </w:tc>
              <w:tc>
                <w:tcPr>
                  <w:tcW w:w="425" w:type="pct"/>
                  <w:tcBorders>
                    <w:top w:val="single" w:color="auto" w:sz="12" w:space="0"/>
                    <w:left w:val="single" w:color="auto" w:sz="12" w:space="0"/>
                    <w:bottom w:val="single" w:color="auto" w:sz="12" w:space="0"/>
                    <w:right w:val="single" w:color="auto" w:sz="12" w:space="0"/>
                  </w:tcBorders>
                  <w:vAlign w:val="center"/>
                </w:tcPr>
                <w:p w14:paraId="7A2D89DB">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410" w:type="pct"/>
                  <w:tcBorders>
                    <w:top w:val="single" w:color="auto" w:sz="12" w:space="0"/>
                    <w:left w:val="single" w:color="auto" w:sz="12" w:space="0"/>
                    <w:bottom w:val="single" w:color="auto" w:sz="12" w:space="0"/>
                    <w:right w:val="single" w:color="auto" w:sz="12" w:space="0"/>
                  </w:tcBorders>
                  <w:vAlign w:val="center"/>
                </w:tcPr>
                <w:p w14:paraId="400E8FA5">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5.333</w:t>
                  </w:r>
                </w:p>
              </w:tc>
            </w:tr>
            <w:tr w14:paraId="0E39AD0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28" w:type="dxa"/>
                  <w:left w:w="28" w:type="dxa"/>
                  <w:bottom w:w="28" w:type="dxa"/>
                  <w:right w:w="28" w:type="dxa"/>
                </w:tblCellMar>
              </w:tblPrEx>
              <w:trPr>
                <w:trHeight w:val="227" w:hRule="atLeast"/>
                <w:jc w:val="center"/>
              </w:trPr>
              <w:tc>
                <w:tcPr>
                  <w:tcW w:w="833" w:type="pct"/>
                  <w:gridSpan w:val="2"/>
                  <w:tcBorders>
                    <w:top w:val="single" w:color="auto" w:sz="12" w:space="0"/>
                    <w:left w:val="single" w:color="auto" w:sz="12" w:space="0"/>
                    <w:bottom w:val="single" w:color="auto" w:sz="12" w:space="0"/>
                    <w:right w:val="single" w:color="auto" w:sz="12" w:space="0"/>
                  </w:tcBorders>
                  <w:vAlign w:val="center"/>
                </w:tcPr>
                <w:p w14:paraId="4867EF89">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总计</w:t>
                  </w:r>
                </w:p>
              </w:tc>
              <w:tc>
                <w:tcPr>
                  <w:tcW w:w="498"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565D2878">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3210.933</w:t>
                  </w:r>
                </w:p>
              </w:tc>
              <w:tc>
                <w:tcPr>
                  <w:tcW w:w="418"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4EE66B4B">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334.027</w:t>
                  </w:r>
                </w:p>
              </w:tc>
              <w:tc>
                <w:tcPr>
                  <w:tcW w:w="424" w:type="pct"/>
                  <w:tcBorders>
                    <w:top w:val="single" w:color="auto" w:sz="12" w:space="0"/>
                    <w:left w:val="single" w:color="auto" w:sz="12" w:space="0"/>
                    <w:bottom w:val="single" w:color="auto" w:sz="12" w:space="0"/>
                    <w:right w:val="single" w:color="auto" w:sz="12" w:space="0"/>
                  </w:tcBorders>
                  <w:tcMar>
                    <w:top w:w="0" w:type="dxa"/>
                    <w:left w:w="17" w:type="dxa"/>
                    <w:bottom w:w="0" w:type="dxa"/>
                    <w:right w:w="17" w:type="dxa"/>
                  </w:tcMar>
                  <w:vAlign w:val="center"/>
                </w:tcPr>
                <w:p w14:paraId="78AF0511">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101.667</w:t>
                  </w:r>
                </w:p>
              </w:tc>
              <w:tc>
                <w:tcPr>
                  <w:tcW w:w="355" w:type="pct"/>
                  <w:tcBorders>
                    <w:top w:val="single" w:color="auto" w:sz="12" w:space="0"/>
                    <w:left w:val="single" w:color="auto" w:sz="12" w:space="0"/>
                    <w:bottom w:val="single" w:color="auto" w:sz="12" w:space="0"/>
                    <w:right w:val="single" w:color="auto" w:sz="12" w:space="0"/>
                  </w:tcBorders>
                  <w:vAlign w:val="center"/>
                </w:tcPr>
                <w:p w14:paraId="6D6261CC">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w:t>
                  </w:r>
                </w:p>
              </w:tc>
              <w:tc>
                <w:tcPr>
                  <w:tcW w:w="410" w:type="pct"/>
                  <w:tcBorders>
                    <w:top w:val="single" w:color="auto" w:sz="12" w:space="0"/>
                    <w:left w:val="single" w:color="auto" w:sz="12" w:space="0"/>
                    <w:bottom w:val="single" w:color="auto" w:sz="12" w:space="0"/>
                    <w:right w:val="single" w:color="auto" w:sz="12" w:space="0"/>
                  </w:tcBorders>
                  <w:vAlign w:val="center"/>
                </w:tcPr>
                <w:p w14:paraId="724EBC6D">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2775.239</w:t>
                  </w:r>
                </w:p>
              </w:tc>
              <w:tc>
                <w:tcPr>
                  <w:tcW w:w="353" w:type="pct"/>
                  <w:tcBorders>
                    <w:top w:val="single" w:color="auto" w:sz="12" w:space="0"/>
                    <w:left w:val="single" w:color="auto" w:sz="12" w:space="0"/>
                    <w:bottom w:val="single" w:color="auto" w:sz="12" w:space="0"/>
                    <w:right w:val="single" w:color="auto" w:sz="12" w:space="0"/>
                  </w:tcBorders>
                  <w:vAlign w:val="center"/>
                </w:tcPr>
                <w:p w14:paraId="519FA266">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62.801</w:t>
                  </w:r>
                </w:p>
              </w:tc>
              <w:tc>
                <w:tcPr>
                  <w:tcW w:w="873" w:type="pct"/>
                  <w:tcBorders>
                    <w:top w:val="single" w:color="auto" w:sz="12" w:space="0"/>
                    <w:left w:val="single" w:color="auto" w:sz="12" w:space="0"/>
                    <w:bottom w:val="single" w:color="auto" w:sz="12" w:space="0"/>
                    <w:right w:val="single" w:color="auto" w:sz="12" w:space="0"/>
                  </w:tcBorders>
                  <w:vAlign w:val="center"/>
                </w:tcPr>
                <w:p w14:paraId="7426062F">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w:t>
                  </w:r>
                  <w:r>
                    <w:rPr>
                      <w:rFonts w:hint="eastAsia"/>
                      <w:color w:val="000000" w:themeColor="text1"/>
                      <w:sz w:val="18"/>
                      <w:szCs w:val="18"/>
                      <w:lang w:val="en-US" w:eastAsia="zh-CN"/>
                      <w14:textFill>
                        <w14:solidFill>
                          <w14:schemeClr w14:val="tx1"/>
                        </w14:solidFill>
                      </w14:textFill>
                    </w:rPr>
                    <w:t>92</w:t>
                  </w:r>
                  <w:r>
                    <w:rPr>
                      <w:color w:val="000000" w:themeColor="text1"/>
                      <w:sz w:val="18"/>
                      <w:szCs w:val="18"/>
                      <w14:textFill>
                        <w14:solidFill>
                          <w14:schemeClr w14:val="tx1"/>
                        </w14:solidFill>
                      </w14:textFill>
                    </w:rPr>
                    <w:t xml:space="preserve"> /</w:t>
                  </w:r>
                  <w:r>
                    <w:rPr>
                      <w:rFonts w:hint="eastAsia"/>
                      <w:color w:val="000000" w:themeColor="text1"/>
                      <w:sz w:val="18"/>
                      <w:szCs w:val="18"/>
                      <w14:textFill>
                        <w14:solidFill>
                          <w14:schemeClr w14:val="tx1"/>
                        </w14:solidFill>
                      </w14:textFill>
                    </w:rPr>
                    <w:t>金山工业园污水处理厂</w:t>
                  </w:r>
                </w:p>
              </w:tc>
              <w:tc>
                <w:tcPr>
                  <w:tcW w:w="425" w:type="pct"/>
                  <w:tcBorders>
                    <w:top w:val="single" w:color="auto" w:sz="12" w:space="0"/>
                    <w:left w:val="single" w:color="auto" w:sz="12" w:space="0"/>
                    <w:bottom w:val="single" w:color="auto" w:sz="12" w:space="0"/>
                    <w:right w:val="single" w:color="auto" w:sz="12" w:space="0"/>
                  </w:tcBorders>
                  <w:vAlign w:val="center"/>
                </w:tcPr>
                <w:p w14:paraId="71C81ED3">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33</w:t>
                  </w:r>
                  <w:r>
                    <w:rPr>
                      <w:rFonts w:hint="eastAsia"/>
                      <w:color w:val="000000" w:themeColor="text1"/>
                      <w:sz w:val="18"/>
                      <w:szCs w:val="18"/>
                      <w14:textFill>
                        <w14:solidFill>
                          <w14:schemeClr w14:val="tx1"/>
                        </w14:solidFill>
                      </w14:textFill>
                    </w:rPr>
                    <w:t>5</w:t>
                  </w:r>
                </w:p>
              </w:tc>
              <w:tc>
                <w:tcPr>
                  <w:tcW w:w="410" w:type="pct"/>
                  <w:tcBorders>
                    <w:top w:val="single" w:color="auto" w:sz="12" w:space="0"/>
                    <w:left w:val="single" w:color="auto" w:sz="12" w:space="0"/>
                    <w:bottom w:val="single" w:color="auto" w:sz="12" w:space="0"/>
                    <w:right w:val="single" w:color="auto" w:sz="12" w:space="0"/>
                  </w:tcBorders>
                  <w:vAlign w:val="center"/>
                </w:tcPr>
                <w:p w14:paraId="25537845">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r>
                    <w:rPr>
                      <w:rFonts w:hint="eastAsia"/>
                      <w:color w:val="000000" w:themeColor="text1"/>
                      <w:sz w:val="18"/>
                      <w:szCs w:val="18"/>
                      <w14:textFill>
                        <w14:solidFill>
                          <w14:schemeClr w14:val="tx1"/>
                        </w14:solidFill>
                      </w14:textFill>
                    </w:rPr>
                    <w:t>771.639</w:t>
                  </w:r>
                </w:p>
              </w:tc>
            </w:tr>
          </w:tbl>
          <w:p w14:paraId="55AFEE10">
            <w:pPr>
              <w:widowControl/>
              <w:jc w:val="center"/>
              <w:rPr>
                <w:rFonts w:hint="eastAsia" w:eastAsia="宋体"/>
                <w:color w:val="000000" w:themeColor="text1"/>
                <w:lang w:eastAsia="zh-CN"/>
                <w14:textFill>
                  <w14:solidFill>
                    <w14:schemeClr w14:val="tx1"/>
                  </w14:solidFill>
                </w14:textFill>
              </w:rPr>
            </w:pPr>
            <w:r>
              <w:rPr>
                <w:rFonts w:hint="eastAsia" w:eastAsia="宋体"/>
                <w:color w:val="000000" w:themeColor="text1"/>
                <w:lang w:eastAsia="zh-CN"/>
                <w14:textFill>
                  <w14:solidFill>
                    <w14:schemeClr w14:val="tx1"/>
                  </w14:solidFill>
                </w14:textFill>
              </w:rPr>
              <w:drawing>
                <wp:inline distT="0" distB="0" distL="114300" distR="114300">
                  <wp:extent cx="4912360" cy="4592320"/>
                  <wp:effectExtent l="0" t="0" r="2540" b="17780"/>
                  <wp:docPr id="2" name="图片 2" descr="水平衡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水平衡图"/>
                          <pic:cNvPicPr>
                            <a:picLocks noChangeAspect="1"/>
                          </pic:cNvPicPr>
                        </pic:nvPicPr>
                        <pic:blipFill>
                          <a:blip r:embed="rId13"/>
                          <a:srcRect l="10459" r="42277" b="36175"/>
                          <a:stretch>
                            <a:fillRect/>
                          </a:stretch>
                        </pic:blipFill>
                        <pic:spPr>
                          <a:xfrm>
                            <a:off x="0" y="0"/>
                            <a:ext cx="4912360" cy="4592320"/>
                          </a:xfrm>
                          <a:prstGeom prst="rect">
                            <a:avLst/>
                          </a:prstGeom>
                        </pic:spPr>
                      </pic:pic>
                    </a:graphicData>
                  </a:graphic>
                </wp:inline>
              </w:drawing>
            </w:r>
          </w:p>
          <w:p w14:paraId="594CB3B4">
            <w:pPr>
              <w:pStyle w:val="56"/>
              <w:jc w:val="center"/>
              <w:rPr>
                <w:rFonts w:ascii="Times New Roman" w:eastAsia="宋体"/>
                <w:b/>
                <w:color w:val="000000" w:themeColor="text1"/>
                <w14:textFill>
                  <w14:solidFill>
                    <w14:schemeClr w14:val="tx1"/>
                  </w14:solidFill>
                </w14:textFill>
              </w:rPr>
            </w:pPr>
            <w:r>
              <w:rPr>
                <w:rFonts w:ascii="Times New Roman" w:eastAsia="宋体"/>
                <w:b/>
                <w:color w:val="000000" w:themeColor="text1"/>
                <w14:textFill>
                  <w14:solidFill>
                    <w14:schemeClr w14:val="tx1"/>
                  </w14:solidFill>
                </w14:textFill>
              </w:rPr>
              <w:t>图2-</w:t>
            </w:r>
            <w:r>
              <w:rPr>
                <w:rFonts w:hint="eastAsia" w:ascii="Times New Roman" w:eastAsia="宋体"/>
                <w:b/>
                <w:color w:val="000000" w:themeColor="text1"/>
                <w14:textFill>
                  <w14:solidFill>
                    <w14:schemeClr w14:val="tx1"/>
                  </w14:solidFill>
                </w14:textFill>
              </w:rPr>
              <w:t>5</w:t>
            </w:r>
            <w:r>
              <w:rPr>
                <w:rFonts w:ascii="Times New Roman" w:eastAsia="宋体"/>
                <w:b/>
                <w:color w:val="000000" w:themeColor="text1"/>
                <w14:textFill>
                  <w14:solidFill>
                    <w14:schemeClr w14:val="tx1"/>
                  </w14:solidFill>
                </w14:textFill>
              </w:rPr>
              <w:t xml:space="preserve">  项目水平</w:t>
            </w:r>
            <w:r>
              <w:rPr>
                <w:rFonts w:ascii="Times New Roman" w:eastAsia="宋体" w:cs="Times New Roman"/>
                <w:b/>
                <w:color w:val="000000" w:themeColor="text1"/>
                <w14:textFill>
                  <w14:solidFill>
                    <w14:schemeClr w14:val="tx1"/>
                  </w14:solidFill>
                </w14:textFill>
              </w:rPr>
              <w:t>衡图（单位：</w:t>
            </w:r>
            <w:r>
              <w:rPr>
                <w:rFonts w:ascii="Times New Roman" w:cs="Times New Roman"/>
                <w:b/>
                <w:bCs/>
                <w:color w:val="000000" w:themeColor="text1"/>
                <w14:textFill>
                  <w14:solidFill>
                    <w14:schemeClr w14:val="tx1"/>
                  </w14:solidFill>
                </w14:textFill>
              </w:rPr>
              <w:t>m</w:t>
            </w:r>
            <w:r>
              <w:rPr>
                <w:rFonts w:ascii="Times New Roman" w:cs="Times New Roman"/>
                <w:b/>
                <w:bCs/>
                <w:color w:val="000000" w:themeColor="text1"/>
                <w:vertAlign w:val="superscript"/>
                <w14:textFill>
                  <w14:solidFill>
                    <w14:schemeClr w14:val="tx1"/>
                  </w14:solidFill>
                </w14:textFill>
              </w:rPr>
              <w:t>3</w:t>
            </w:r>
            <w:r>
              <w:rPr>
                <w:rFonts w:ascii="Times New Roman" w:cs="Times New Roman"/>
                <w:b/>
                <w:bCs/>
                <w:color w:val="000000" w:themeColor="text1"/>
                <w14:textFill>
                  <w14:solidFill>
                    <w14:schemeClr w14:val="tx1"/>
                  </w14:solidFill>
                </w14:textFill>
              </w:rPr>
              <w:t>/d</w:t>
            </w:r>
            <w:r>
              <w:rPr>
                <w:rFonts w:ascii="Times New Roman" w:eastAsia="宋体" w:cs="Times New Roman"/>
                <w:b/>
                <w:color w:val="000000" w:themeColor="text1"/>
                <w14:textFill>
                  <w14:solidFill>
                    <w14:schemeClr w14:val="tx1"/>
                  </w14:solidFill>
                </w14:textFill>
              </w:rPr>
              <w:t>）</w:t>
            </w:r>
          </w:p>
          <w:p w14:paraId="6E96DCB3">
            <w:pPr>
              <w:widowControl/>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项目用水由市政管网供给，总用水量963280m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/a（3210.993</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），新鲜水用量</w:t>
            </w:r>
            <w:r>
              <w:rPr>
                <w:color w:val="000000" w:themeColor="text1"/>
                <w:sz w:val="24"/>
                <w14:textFill>
                  <w14:solidFill>
                    <w14:schemeClr w14:val="tx1"/>
                  </w14:solidFill>
                </w14:textFill>
              </w:rPr>
              <w:t>100208</w:t>
            </w:r>
            <w:r>
              <w:rPr>
                <w:rFonts w:hint="eastAsia"/>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/a（334.027</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），其中损耗17462.1m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/a（62.801</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），576m</w:t>
            </w:r>
            <w:r>
              <w:rPr>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/a（1.9</w:t>
            </w:r>
            <w:r>
              <w:rPr>
                <w:rFonts w:hint="eastAsia"/>
                <w:color w:val="000000" w:themeColor="text1"/>
                <w:sz w:val="24"/>
                <w:lang w:val="en-US" w:eastAsia="zh-CN"/>
                <w14:textFill>
                  <w14:solidFill>
                    <w14:schemeClr w14:val="tx1"/>
                  </w14:solidFill>
                </w14:textFill>
              </w:rPr>
              <w:t>2</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）进入金山工业园污水处理厂，70000m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/a（233.333</w:t>
            </w:r>
            <w:r>
              <w:rPr>
                <w:color w:val="000000" w:themeColor="text1"/>
                <w:sz w:val="24"/>
                <w14:textFill>
                  <w14:solidFill>
                    <w14:schemeClr w14:val="tx1"/>
                  </w14:solidFill>
                </w14:textFill>
              </w:rPr>
              <w:t xml:space="preserve"> 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）进入产品中，其中本项目工艺循环水总用水量为</w:t>
            </w:r>
            <w:r>
              <w:rPr>
                <w:color w:val="000000" w:themeColor="text1"/>
                <w:sz w:val="24"/>
                <w14:textFill>
                  <w14:solidFill>
                    <w14:schemeClr w14:val="tx1"/>
                  </w14:solidFill>
                </w14:textFill>
              </w:rPr>
              <w:t>3208.533</w:t>
            </w:r>
            <w:r>
              <w:rPr>
                <w:rFonts w:hint="eastAsia"/>
                <w:color w:val="000000" w:themeColor="text1"/>
                <w:sz w:val="24"/>
                <w14:textFill>
                  <w14:solidFill>
                    <w14:schemeClr w14:val="tx1"/>
                  </w14:solidFill>
                </w14:textFill>
              </w:rPr>
              <w:t>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/d，新鲜用水量</w:t>
            </w:r>
            <w:r>
              <w:rPr>
                <w:color w:val="000000" w:themeColor="text1"/>
                <w:sz w:val="24"/>
                <w14:textFill>
                  <w14:solidFill>
                    <w14:schemeClr w14:val="tx1"/>
                  </w14:solidFill>
                </w14:textFill>
              </w:rPr>
              <w:t>331.627</w:t>
            </w:r>
            <w:r>
              <w:rPr>
                <w:rFonts w:hint="eastAsia"/>
                <w:color w:val="000000" w:themeColor="text1"/>
                <w:sz w:val="24"/>
                <w14:textFill>
                  <w14:solidFill>
                    <w14:schemeClr w14:val="tx1"/>
                  </w14:solidFill>
                </w14:textFill>
              </w:rPr>
              <w:t>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/d，循环用水量</w:t>
            </w:r>
            <w:r>
              <w:rPr>
                <w:color w:val="000000" w:themeColor="text1"/>
                <w:sz w:val="24"/>
                <w14:textFill>
                  <w14:solidFill>
                    <w14:schemeClr w14:val="tx1"/>
                  </w14:solidFill>
                </w14:textFill>
              </w:rPr>
              <w:t>2775.239m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d，</w:t>
            </w:r>
            <w:r>
              <w:rPr>
                <w:color w:val="000000" w:themeColor="text1"/>
                <w:sz w:val="24"/>
                <w14:textFill>
                  <w14:solidFill>
                    <w14:schemeClr w14:val="tx1"/>
                  </w14:solidFill>
                </w14:textFill>
              </w:rPr>
              <w:t>工艺水循环使用率为</w:t>
            </w:r>
            <w:r>
              <w:rPr>
                <w:rFonts w:hint="eastAsia"/>
                <w:color w:val="000000" w:themeColor="text1"/>
                <w:sz w:val="24"/>
                <w14:textFill>
                  <w14:solidFill>
                    <w14:schemeClr w14:val="tx1"/>
                  </w14:solidFill>
                </w14:textFill>
              </w:rPr>
              <w:t>86.5</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w:t>
            </w:r>
          </w:p>
          <w:p w14:paraId="2C9DB6D7">
            <w:pPr>
              <w:widowControl/>
              <w:adjustRightInd w:val="0"/>
              <w:snapToGrid w:val="0"/>
              <w:spacing w:line="360" w:lineRule="auto"/>
              <w:ind w:firstLine="480" w:firstLineChars="200"/>
              <w:rPr>
                <w:color w:val="000000" w:themeColor="text1"/>
                <w:sz w:val="24"/>
                <w14:textFill>
                  <w14:solidFill>
                    <w14:schemeClr w14:val="tx1"/>
                  </w14:solidFill>
                </w14:textFill>
              </w:rPr>
            </w:pPr>
          </w:p>
          <w:p w14:paraId="397C1AAA">
            <w:pPr>
              <w:widowControl/>
              <w:adjustRightInd w:val="0"/>
              <w:snapToGrid w:val="0"/>
              <w:spacing w:line="360" w:lineRule="auto"/>
              <w:ind w:firstLine="480" w:firstLineChars="200"/>
              <w:rPr>
                <w:color w:val="000000" w:themeColor="text1"/>
                <w:sz w:val="24"/>
                <w14:textFill>
                  <w14:solidFill>
                    <w14:schemeClr w14:val="tx1"/>
                  </w14:solidFill>
                </w14:textFill>
              </w:rPr>
            </w:pPr>
          </w:p>
        </w:tc>
      </w:tr>
      <w:tr w14:paraId="6ABEE2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57" w:type="dxa"/>
            <w:vAlign w:val="center"/>
          </w:tcPr>
          <w:p w14:paraId="512C62EF">
            <w:pPr>
              <w:pStyle w:val="40"/>
              <w:adjustRightInd w:val="0"/>
              <w:snapToGrid w:val="0"/>
              <w:spacing w:before="0" w:beforeAutospacing="0" w:after="0" w:afterAutospacing="0"/>
              <w:jc w:val="center"/>
              <w:rPr>
                <w:rFonts w:ascii="Times New Roman" w:hAnsi="Times New Roman"/>
                <w:b/>
                <w:bCs/>
                <w:color w:val="000000" w:themeColor="text1"/>
                <w:szCs w:val="24"/>
                <w14:textFill>
                  <w14:solidFill>
                    <w14:schemeClr w14:val="tx1"/>
                  </w14:solidFill>
                </w14:textFill>
              </w:rPr>
            </w:pPr>
            <w:r>
              <w:rPr>
                <w:rFonts w:ascii="Times New Roman" w:hAnsi="Times New Roman"/>
                <w:b/>
                <w:bCs/>
                <w:color w:val="000000" w:themeColor="text1"/>
                <w:kern w:val="2"/>
                <w:szCs w:val="24"/>
                <w14:textFill>
                  <w14:solidFill>
                    <w14:schemeClr w14:val="tx1"/>
                  </w14:solidFill>
                </w14:textFill>
              </w:rPr>
              <w:t>与项目有关的原有环境污染问题</w:t>
            </w:r>
          </w:p>
        </w:tc>
        <w:tc>
          <w:tcPr>
            <w:tcW w:w="9283" w:type="dxa"/>
          </w:tcPr>
          <w:p w14:paraId="2EDC41BE">
            <w:pPr>
              <w:autoSpaceDE w:val="0"/>
              <w:autoSpaceDN w:val="0"/>
              <w:adjustRightInd w:val="0"/>
              <w:snapToGrid w:val="0"/>
              <w:spacing w:before="120" w:beforeLines="50" w:line="360" w:lineRule="auto"/>
              <w:ind w:firstLine="482" w:firstLineChars="200"/>
              <w:jc w:val="left"/>
              <w:rPr>
                <w:b/>
                <w:bCs/>
                <w:color w:val="000000" w:themeColor="text1"/>
                <w:sz w:val="24"/>
                <w14:textFill>
                  <w14:solidFill>
                    <w14:schemeClr w14:val="tx1"/>
                  </w14:solidFill>
                </w14:textFill>
              </w:rPr>
            </w:pPr>
            <w:r>
              <w:rPr>
                <w:rFonts w:ascii="宋体" w:hAnsi="宋体"/>
                <w:b/>
                <w:bCs/>
                <w:color w:val="000000" w:themeColor="text1"/>
                <w:sz w:val="24"/>
                <w14:textFill>
                  <w14:solidFill>
                    <w14:schemeClr w14:val="tx1"/>
                  </w14:solidFill>
                </w14:textFill>
              </w:rPr>
              <w:t>一、现有工程概况</w:t>
            </w:r>
            <w:r>
              <w:rPr>
                <w:rFonts w:hint="eastAsia" w:ascii="宋体" w:hAnsi="宋体"/>
                <w:b/>
                <w:bCs/>
                <w:color w:val="000000" w:themeColor="text1"/>
                <w:sz w:val="24"/>
                <w14:textFill>
                  <w14:solidFill>
                    <w14:schemeClr w14:val="tx1"/>
                  </w14:solidFill>
                </w14:textFill>
              </w:rPr>
              <w:t>及环保程序履行情况</w:t>
            </w:r>
          </w:p>
          <w:p w14:paraId="52D2E479">
            <w:pPr>
              <w:adjustRightInd w:val="0"/>
              <w:snapToGrid w:val="0"/>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江西承诚实业有限公司300万件混凝土预制件、90万立方商品混凝土、170万立方柏油沥青、200万吨水泥稳定碎石项目（一期）</w:t>
            </w:r>
          </w:p>
          <w:p w14:paraId="7F93D69C">
            <w:pPr>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现有工程概况</w:t>
            </w:r>
          </w:p>
          <w:p w14:paraId="659D2B03">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江西承诚实业有限公司位于江西省景德镇市乐平市金山工业园金一路CH-1地块</w:t>
            </w:r>
            <w:r>
              <w:rPr>
                <w:color w:val="000000" w:themeColor="text1"/>
                <w:sz w:val="24"/>
                <w14:textFill>
                  <w14:solidFill>
                    <w14:schemeClr w14:val="tx1"/>
                  </w14:solidFill>
                </w14:textFill>
              </w:rPr>
              <w:t>内</w:t>
            </w:r>
            <w:r>
              <w:rPr>
                <w:rFonts w:hint="eastAsia"/>
                <w:color w:val="000000" w:themeColor="text1"/>
                <w:sz w:val="24"/>
                <w14:textFill>
                  <w14:solidFill>
                    <w14:schemeClr w14:val="tx1"/>
                  </w14:solidFill>
                </w14:textFill>
              </w:rPr>
              <w:t>，总占地面积100.5亩（即67006.8m</w:t>
            </w:r>
            <w:r>
              <w:rPr>
                <w:rFonts w:hint="eastAsia"/>
                <w:color w:val="000000" w:themeColor="text1"/>
                <w:sz w:val="24"/>
                <w:vertAlign w:val="superscript"/>
                <w14:textFill>
                  <w14:solidFill>
                    <w14:schemeClr w14:val="tx1"/>
                  </w14:solidFill>
                </w14:textFill>
              </w:rPr>
              <w:t>2</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，主要为水泥制品制造</w:t>
            </w:r>
            <w:r>
              <w:rPr>
                <w:rFonts w:hint="eastAsia"/>
                <w:color w:val="000000" w:themeColor="text1"/>
                <w:sz w:val="24"/>
                <w14:textFill>
                  <w14:solidFill>
                    <w14:schemeClr w14:val="tx1"/>
                  </w14:solidFill>
                </w14:textFill>
              </w:rPr>
              <w:t>及销售</w:t>
            </w:r>
            <w:r>
              <w:rPr>
                <w:color w:val="000000" w:themeColor="text1"/>
                <w:sz w:val="24"/>
                <w14:textFill>
                  <w14:solidFill>
                    <w14:schemeClr w14:val="tx1"/>
                  </w14:solidFill>
                </w14:textFill>
              </w:rPr>
              <w:t>。现有</w:t>
            </w:r>
            <w:r>
              <w:rPr>
                <w:rFonts w:hint="eastAsia"/>
                <w:color w:val="000000" w:themeColor="text1"/>
                <w:sz w:val="24"/>
                <w14:textFill>
                  <w14:solidFill>
                    <w14:schemeClr w14:val="tx1"/>
                  </w14:solidFill>
                </w14:textFill>
              </w:rPr>
              <w:t>一期</w:t>
            </w:r>
            <w:r>
              <w:rPr>
                <w:color w:val="000000" w:themeColor="text1"/>
                <w:sz w:val="24"/>
                <w14:textFill>
                  <w14:solidFill>
                    <w14:schemeClr w14:val="tx1"/>
                  </w14:solidFill>
                </w14:textFill>
              </w:rPr>
              <w:t>工程占地面积</w:t>
            </w:r>
            <w:r>
              <w:rPr>
                <w:rFonts w:hint="eastAsia"/>
                <w:color w:val="000000" w:themeColor="text1"/>
                <w:sz w:val="24"/>
                <w14:textFill>
                  <w14:solidFill>
                    <w14:schemeClr w14:val="tx1"/>
                  </w14:solidFill>
                </w14:textFill>
              </w:rPr>
              <w:t>470006.8</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2</w:t>
            </w:r>
            <w:r>
              <w:rPr>
                <w:rFonts w:hint="eastAsia"/>
                <w:color w:val="000000" w:themeColor="text1"/>
                <w:sz w:val="24"/>
                <w14:textFill>
                  <w14:solidFill>
                    <w14:schemeClr w14:val="tx1"/>
                  </w14:solidFill>
                </w14:textFill>
              </w:rPr>
              <w:t>，建筑面积24452</w:t>
            </w:r>
            <w:r>
              <w:rPr>
                <w:color w:val="000000" w:themeColor="text1"/>
                <w:sz w:val="24"/>
                <w14:textFill>
                  <w14:solidFill>
                    <w14:schemeClr w14:val="tx1"/>
                  </w14:solidFill>
                </w14:textFill>
              </w:rPr>
              <w:t xml:space="preserve"> m</w:t>
            </w:r>
            <w:r>
              <w:rPr>
                <w:color w:val="000000" w:themeColor="text1"/>
                <w:sz w:val="24"/>
                <w:vertAlign w:val="superscript"/>
                <w14:textFill>
                  <w14:solidFill>
                    <w14:schemeClr w14:val="tx1"/>
                  </w14:solidFill>
                </w14:textFill>
              </w:rPr>
              <w:t>2</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主要建设内容为</w:t>
            </w:r>
            <w:r>
              <w:rPr>
                <w:rFonts w:hint="eastAsia"/>
                <w:color w:val="000000" w:themeColor="text1"/>
                <w:sz w:val="24"/>
                <w14:textFill>
                  <w14:solidFill>
                    <w14:schemeClr w14:val="tx1"/>
                  </w14:solidFill>
                </w14:textFill>
              </w:rPr>
              <w:t>混凝土搅拌站料仓、混凝土搅拌站、实验、检修楼以及综合办公楼、生活楼等辅助设施</w:t>
            </w:r>
            <w:r>
              <w:rPr>
                <w:color w:val="000000" w:themeColor="text1"/>
                <w:sz w:val="24"/>
                <w14:textFill>
                  <w14:solidFill>
                    <w14:schemeClr w14:val="tx1"/>
                  </w14:solidFill>
                </w14:textFill>
              </w:rPr>
              <w:t>。</w:t>
            </w:r>
          </w:p>
          <w:p w14:paraId="32BEDBBD">
            <w:pPr>
              <w:jc w:val="center"/>
              <w:rPr>
                <w:b/>
                <w:bCs/>
                <w:color w:val="000000" w:themeColor="text1"/>
                <w:kern w:val="0"/>
                <w:sz w:val="24"/>
                <w14:textFill>
                  <w14:solidFill>
                    <w14:schemeClr w14:val="tx1"/>
                  </w14:solidFill>
                </w14:textFill>
              </w:rPr>
            </w:pPr>
            <w:r>
              <w:rPr>
                <w:b/>
                <w:bCs/>
                <w:color w:val="000000" w:themeColor="text1"/>
                <w:kern w:val="0"/>
                <w:sz w:val="24"/>
                <w14:textFill>
                  <w14:solidFill>
                    <w14:schemeClr w14:val="tx1"/>
                  </w14:solidFill>
                </w14:textFill>
              </w:rPr>
              <w:t>表2-</w:t>
            </w:r>
            <w:r>
              <w:rPr>
                <w:rFonts w:hint="eastAsia"/>
                <w:b/>
                <w:bCs/>
                <w:color w:val="000000" w:themeColor="text1"/>
                <w:kern w:val="0"/>
                <w:sz w:val="24"/>
                <w:lang w:val="en-US" w:eastAsia="zh-CN"/>
                <w14:textFill>
                  <w14:solidFill>
                    <w14:schemeClr w14:val="tx1"/>
                  </w14:solidFill>
                </w14:textFill>
              </w:rPr>
              <w:t>9</w:t>
            </w:r>
            <w:r>
              <w:rPr>
                <w:b/>
                <w:bCs/>
                <w:color w:val="000000" w:themeColor="text1"/>
                <w:kern w:val="0"/>
                <w:sz w:val="24"/>
                <w14:textFill>
                  <w14:solidFill>
                    <w14:schemeClr w14:val="tx1"/>
                  </w14:solidFill>
                </w14:textFill>
              </w:rPr>
              <w:t xml:space="preserve">   </w:t>
            </w:r>
            <w:r>
              <w:rPr>
                <w:rFonts w:hint="eastAsia"/>
                <w:b/>
                <w:bCs/>
                <w:color w:val="000000" w:themeColor="text1"/>
                <w:kern w:val="0"/>
                <w:sz w:val="24"/>
                <w:lang w:val="en-US" w:eastAsia="zh-CN"/>
                <w14:textFill>
                  <w14:solidFill>
                    <w14:schemeClr w14:val="tx1"/>
                  </w14:solidFill>
                </w14:textFill>
              </w:rPr>
              <w:t>现有</w:t>
            </w:r>
            <w:r>
              <w:rPr>
                <w:b/>
                <w:bCs/>
                <w:color w:val="000000" w:themeColor="text1"/>
                <w:kern w:val="0"/>
                <w:sz w:val="24"/>
                <w14:textFill>
                  <w14:solidFill>
                    <w14:schemeClr w14:val="tx1"/>
                  </w14:solidFill>
                </w14:textFill>
              </w:rPr>
              <w:t>项目</w:t>
            </w:r>
            <w:r>
              <w:rPr>
                <w:rFonts w:hint="eastAsia"/>
                <w:b/>
                <w:bCs/>
                <w:color w:val="000000" w:themeColor="text1"/>
                <w:kern w:val="0"/>
                <w:sz w:val="24"/>
                <w14:textFill>
                  <w14:solidFill>
                    <w14:schemeClr w14:val="tx1"/>
                  </w14:solidFill>
                </w14:textFill>
              </w:rPr>
              <w:t>工程</w:t>
            </w:r>
            <w:r>
              <w:rPr>
                <w:b/>
                <w:bCs/>
                <w:color w:val="000000" w:themeColor="text1"/>
                <w:kern w:val="0"/>
                <w:sz w:val="24"/>
                <w14:textFill>
                  <w14:solidFill>
                    <w14:schemeClr w14:val="tx1"/>
                  </w14:solidFill>
                </w14:textFill>
              </w:rPr>
              <w:t>组成一览表</w:t>
            </w:r>
          </w:p>
          <w:tbl>
            <w:tblPr>
              <w:tblStyle w:val="45"/>
              <w:tblW w:w="499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94"/>
              <w:gridCol w:w="1484"/>
              <w:gridCol w:w="1945"/>
              <w:gridCol w:w="1776"/>
              <w:gridCol w:w="3159"/>
            </w:tblGrid>
            <w:tr w14:paraId="67C6ED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3" w:type="pct"/>
                  <w:tcBorders>
                    <w:tl2br w:val="nil"/>
                    <w:tr2bl w:val="nil"/>
                  </w:tcBorders>
                  <w:noWrap w:val="0"/>
                  <w:vAlign w:val="center"/>
                </w:tcPr>
                <w:p w14:paraId="10EB0059">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b/>
                      <w:bCs/>
                      <w:color w:val="000000" w:themeColor="text1"/>
                      <w:sz w:val="21"/>
                      <w:szCs w:val="21"/>
                      <w:shd w:val="clear" w:color="auto" w:fill="auto"/>
                      <w14:textFill>
                        <w14:solidFill>
                          <w14:schemeClr w14:val="tx1"/>
                        </w14:solidFill>
                      </w14:textFill>
                    </w:rPr>
                  </w:pPr>
                  <w:r>
                    <w:rPr>
                      <w:rFonts w:hint="default" w:ascii="Times New Roman" w:hAnsi="Times New Roman" w:eastAsia="宋体" w:cs="Times New Roman"/>
                      <w:b/>
                      <w:bCs/>
                      <w:color w:val="000000" w:themeColor="text1"/>
                      <w:sz w:val="21"/>
                      <w:szCs w:val="21"/>
                      <w:shd w:val="clear" w:color="auto" w:fill="auto"/>
                      <w14:textFill>
                        <w14:solidFill>
                          <w14:schemeClr w14:val="tx1"/>
                        </w14:solidFill>
                      </w14:textFill>
                    </w:rPr>
                    <w:t>序号</w:t>
                  </w:r>
                </w:p>
              </w:tc>
              <w:tc>
                <w:tcPr>
                  <w:tcW w:w="819" w:type="pct"/>
                  <w:tcBorders>
                    <w:tl2br w:val="nil"/>
                    <w:tr2bl w:val="nil"/>
                  </w:tcBorders>
                  <w:noWrap w:val="0"/>
                  <w:vAlign w:val="center"/>
                </w:tcPr>
                <w:p w14:paraId="3CA8CA82">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b/>
                      <w:bCs/>
                      <w:color w:val="000000" w:themeColor="text1"/>
                      <w:sz w:val="21"/>
                      <w:szCs w:val="21"/>
                      <w:shd w:val="clear" w:color="auto" w:fill="auto"/>
                      <w14:textFill>
                        <w14:solidFill>
                          <w14:schemeClr w14:val="tx1"/>
                        </w14:solidFill>
                      </w14:textFill>
                    </w:rPr>
                  </w:pPr>
                  <w:r>
                    <w:rPr>
                      <w:rFonts w:hint="default" w:ascii="Times New Roman" w:hAnsi="Times New Roman" w:eastAsia="宋体" w:cs="Times New Roman"/>
                      <w:b/>
                      <w:bCs/>
                      <w:color w:val="000000" w:themeColor="text1"/>
                      <w:sz w:val="21"/>
                      <w:szCs w:val="21"/>
                      <w:shd w:val="clear" w:color="auto" w:fill="auto"/>
                      <w14:textFill>
                        <w14:solidFill>
                          <w14:schemeClr w14:val="tx1"/>
                        </w14:solidFill>
                      </w14:textFill>
                    </w:rPr>
                    <w:t>项目</w:t>
                  </w:r>
                </w:p>
              </w:tc>
              <w:tc>
                <w:tcPr>
                  <w:tcW w:w="2053" w:type="pct"/>
                  <w:gridSpan w:val="2"/>
                  <w:tcBorders>
                    <w:tl2br w:val="nil"/>
                    <w:tr2bl w:val="nil"/>
                  </w:tcBorders>
                  <w:noWrap w:val="0"/>
                  <w:vAlign w:val="center"/>
                </w:tcPr>
                <w:p w14:paraId="44DF31F6">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b/>
                      <w:bCs/>
                      <w:color w:val="000000" w:themeColor="text1"/>
                      <w:sz w:val="21"/>
                      <w:szCs w:val="21"/>
                      <w:shd w:val="clear" w:color="auto" w:fill="auto"/>
                      <w14:textFill>
                        <w14:solidFill>
                          <w14:schemeClr w14:val="tx1"/>
                        </w14:solidFill>
                      </w14:textFill>
                    </w:rPr>
                  </w:pPr>
                  <w:r>
                    <w:rPr>
                      <w:rFonts w:hint="eastAsia" w:ascii="Times New Roman" w:hAnsi="Times New Roman" w:cs="Times New Roman"/>
                      <w:b/>
                      <w:bCs/>
                      <w:color w:val="000000" w:themeColor="text1"/>
                      <w:sz w:val="21"/>
                      <w:szCs w:val="21"/>
                      <w:lang w:val="en-US" w:eastAsia="zh-CN"/>
                      <w14:textFill>
                        <w14:solidFill>
                          <w14:schemeClr w14:val="tx1"/>
                        </w14:solidFill>
                      </w14:textFill>
                    </w:rPr>
                    <w:t>环评</w:t>
                  </w:r>
                  <w:r>
                    <w:rPr>
                      <w:rFonts w:hint="default" w:ascii="Times New Roman" w:hAnsi="Times New Roman" w:eastAsia="宋体" w:cs="Times New Roman"/>
                      <w:b/>
                      <w:bCs/>
                      <w:color w:val="000000" w:themeColor="text1"/>
                      <w:sz w:val="21"/>
                      <w:szCs w:val="21"/>
                      <w14:textFill>
                        <w14:solidFill>
                          <w14:schemeClr w14:val="tx1"/>
                        </w14:solidFill>
                      </w14:textFill>
                    </w:rPr>
                    <w:t>设计能力和功能</w:t>
                  </w:r>
                </w:p>
              </w:tc>
              <w:tc>
                <w:tcPr>
                  <w:tcW w:w="1743" w:type="pct"/>
                  <w:tcBorders>
                    <w:tl2br w:val="nil"/>
                    <w:tr2bl w:val="nil"/>
                  </w:tcBorders>
                  <w:noWrap w:val="0"/>
                  <w:vAlign w:val="center"/>
                </w:tcPr>
                <w:p w14:paraId="5815E395">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b/>
                      <w:bCs/>
                      <w:color w:val="000000" w:themeColor="text1"/>
                      <w:sz w:val="21"/>
                      <w:szCs w:val="21"/>
                      <w:shd w:val="clear" w:color="auto" w:fill="auto"/>
                      <w:lang w:val="en-US" w:eastAsia="zh-CN"/>
                      <w14:textFill>
                        <w14:solidFill>
                          <w14:schemeClr w14:val="tx1"/>
                        </w14:solidFill>
                      </w14:textFill>
                    </w:rPr>
                  </w:pPr>
                  <w:r>
                    <w:rPr>
                      <w:rFonts w:hint="eastAsia" w:ascii="Times New Roman" w:hAnsi="Times New Roman" w:cs="Times New Roman"/>
                      <w:b/>
                      <w:bCs/>
                      <w:color w:val="000000" w:themeColor="text1"/>
                      <w:sz w:val="21"/>
                      <w:szCs w:val="21"/>
                      <w:shd w:val="clear" w:color="auto" w:fill="auto"/>
                      <w:lang w:val="en-US" w:eastAsia="zh-CN"/>
                      <w14:textFill>
                        <w14:solidFill>
                          <w14:schemeClr w14:val="tx1"/>
                        </w14:solidFill>
                      </w14:textFill>
                    </w:rPr>
                    <w:t>实际验收情况</w:t>
                  </w:r>
                </w:p>
              </w:tc>
            </w:tr>
            <w:tr w14:paraId="21129B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383" w:type="pct"/>
                  <w:tcBorders>
                    <w:tl2br w:val="nil"/>
                    <w:tr2bl w:val="nil"/>
                  </w:tcBorders>
                  <w:noWrap w:val="0"/>
                  <w:vAlign w:val="center"/>
                </w:tcPr>
                <w:p w14:paraId="64D1C57D">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t>主体工程</w:t>
                  </w:r>
                </w:p>
              </w:tc>
              <w:tc>
                <w:tcPr>
                  <w:tcW w:w="819" w:type="pct"/>
                  <w:tcBorders>
                    <w:tl2br w:val="nil"/>
                    <w:tr2bl w:val="nil"/>
                  </w:tcBorders>
                  <w:noWrap w:val="0"/>
                  <w:vAlign w:val="center"/>
                </w:tcPr>
                <w:p w14:paraId="66757159">
                  <w:pPr>
                    <w:keepNext w:val="0"/>
                    <w:keepLines w:val="0"/>
                    <w:pageBreakBefore w:val="0"/>
                    <w:widowControl w:val="0"/>
                    <w:kinsoku/>
                    <w:wordWrap/>
                    <w:overflowPunct/>
                    <w:topLinePunct w:val="0"/>
                    <w:autoSpaceDE/>
                    <w:autoSpaceDN/>
                    <w:bidi w:val="0"/>
                    <w:adjustRightInd/>
                    <w:snapToGrid/>
                    <w:ind w:left="0"/>
                    <w:jc w:val="center"/>
                    <w:textAlignment w:val="auto"/>
                    <w:rPr>
                      <w:rFonts w:hint="eastAsia"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t>生产</w:t>
                  </w:r>
                  <w:r>
                    <w:rPr>
                      <w:rFonts w:hint="eastAsia" w:cs="Times New Roman"/>
                      <w:color w:val="000000" w:themeColor="text1"/>
                      <w:sz w:val="21"/>
                      <w:szCs w:val="21"/>
                      <w:shd w:val="clear" w:color="auto" w:fill="auto"/>
                      <w:lang w:val="en-US" w:eastAsia="zh-CN"/>
                      <w14:textFill>
                        <w14:solidFill>
                          <w14:schemeClr w14:val="tx1"/>
                        </w14:solidFill>
                      </w14:textFill>
                    </w:rPr>
                    <w:t>区</w:t>
                  </w:r>
                </w:p>
              </w:tc>
              <w:tc>
                <w:tcPr>
                  <w:tcW w:w="2053" w:type="pct"/>
                  <w:gridSpan w:val="2"/>
                  <w:tcBorders>
                    <w:tl2br w:val="nil"/>
                    <w:tr2bl w:val="nil"/>
                  </w:tcBorders>
                  <w:noWrap w:val="0"/>
                  <w:vAlign w:val="center"/>
                </w:tcPr>
                <w:p w14:paraId="7D006C42">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建筑面积40872.22m</w:t>
                  </w:r>
                  <w:r>
                    <w:rPr>
                      <w:rFonts w:hint="default" w:ascii="Times New Roman" w:hAnsi="Times New Roman" w:eastAsia="宋体" w:cs="Times New Roman"/>
                      <w:color w:val="000000" w:themeColor="text1"/>
                      <w:sz w:val="21"/>
                      <w:szCs w:val="21"/>
                      <w:shd w:val="clear" w:color="auto" w:fill="auto"/>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，设置商品混凝土生产线和混凝土预制件生产线</w:t>
                  </w:r>
                </w:p>
              </w:tc>
              <w:tc>
                <w:tcPr>
                  <w:tcW w:w="1743" w:type="pct"/>
                  <w:tcBorders>
                    <w:tl2br w:val="nil"/>
                    <w:tr2bl w:val="nil"/>
                  </w:tcBorders>
                  <w:noWrap w:val="0"/>
                  <w:vAlign w:val="center"/>
                </w:tcPr>
                <w:p w14:paraId="010CFA94">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eastAsia" w:ascii="Times New Roman" w:hAnsi="Times New Roman" w:cs="Times New Roman"/>
                      <w:color w:val="000000" w:themeColor="text1"/>
                      <w:sz w:val="21"/>
                      <w:szCs w:val="21"/>
                      <w:shd w:val="clear" w:color="auto" w:fill="auto"/>
                      <w:lang w:val="en-US" w:eastAsia="zh-CN"/>
                      <w14:textFill>
                        <w14:solidFill>
                          <w14:schemeClr w14:val="tx1"/>
                        </w14:solidFill>
                      </w14:textFill>
                    </w:rPr>
                    <w:t>1F，</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建筑面积</w:t>
                  </w:r>
                  <w:r>
                    <w:rPr>
                      <w:rFonts w:hint="eastAsia"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5775</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m</w:t>
                  </w:r>
                  <w:r>
                    <w:rPr>
                      <w:rFonts w:hint="default" w:ascii="Times New Roman" w:hAnsi="Times New Roman" w:eastAsia="宋体" w:cs="Times New Roman"/>
                      <w:color w:val="000000" w:themeColor="text1"/>
                      <w:sz w:val="21"/>
                      <w:szCs w:val="21"/>
                      <w:shd w:val="clear" w:color="auto" w:fill="auto"/>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w:t>
                  </w:r>
                  <w:r>
                    <w:rPr>
                      <w:rFonts w:hint="eastAsia"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主要为</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混凝土搅拌站料仓、混凝土搅拌站</w:t>
                  </w:r>
                </w:p>
              </w:tc>
            </w:tr>
            <w:tr w14:paraId="66EF6F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153" w:hRule="atLeast"/>
                <w:jc w:val="center"/>
              </w:trPr>
              <w:tc>
                <w:tcPr>
                  <w:tcW w:w="383" w:type="pct"/>
                  <w:vMerge w:val="restart"/>
                  <w:tcBorders>
                    <w:tl2br w:val="nil"/>
                    <w:tr2bl w:val="nil"/>
                  </w:tcBorders>
                  <w:noWrap w:val="0"/>
                  <w:vAlign w:val="center"/>
                </w:tcPr>
                <w:p w14:paraId="41C77BBA">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t>辅助工程</w:t>
                  </w:r>
                </w:p>
              </w:tc>
              <w:tc>
                <w:tcPr>
                  <w:tcW w:w="819" w:type="pct"/>
                  <w:tcBorders>
                    <w:tl2br w:val="nil"/>
                    <w:tr2bl w:val="nil"/>
                  </w:tcBorders>
                  <w:noWrap w:val="0"/>
                  <w:vAlign w:val="center"/>
                </w:tcPr>
                <w:p w14:paraId="040E54E5">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办公楼</w:t>
                  </w:r>
                </w:p>
              </w:tc>
              <w:tc>
                <w:tcPr>
                  <w:tcW w:w="2053" w:type="pct"/>
                  <w:gridSpan w:val="2"/>
                  <w:tcBorders>
                    <w:tl2br w:val="nil"/>
                    <w:tr2bl w:val="nil"/>
                  </w:tcBorders>
                  <w:noWrap w:val="0"/>
                  <w:vAlign w:val="center"/>
                </w:tcPr>
                <w:p w14:paraId="72BDF2CE">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办公楼5F，</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建筑面积4645.96m</w:t>
                  </w:r>
                  <w:r>
                    <w:rPr>
                      <w:rFonts w:hint="eastAsia" w:cs="Times New Roman"/>
                      <w:color w:val="000000" w:themeColor="text1"/>
                      <w:sz w:val="21"/>
                      <w:szCs w:val="21"/>
                      <w:shd w:val="clear" w:color="auto" w:fill="auto"/>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，用于职工办公</w:t>
                  </w:r>
                </w:p>
              </w:tc>
              <w:tc>
                <w:tcPr>
                  <w:tcW w:w="1743" w:type="pct"/>
                  <w:tcBorders>
                    <w:tl2br w:val="nil"/>
                    <w:tr2bl w:val="nil"/>
                  </w:tcBorders>
                  <w:noWrap w:val="0"/>
                  <w:vAlign w:val="center"/>
                </w:tcPr>
                <w:p w14:paraId="6986DCD2">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办公楼5F，</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建筑面积4645.96m</w:t>
                  </w:r>
                  <w:r>
                    <w:rPr>
                      <w:rFonts w:hint="eastAsia" w:cs="Times New Roman"/>
                      <w:color w:val="000000" w:themeColor="text1"/>
                      <w:sz w:val="21"/>
                      <w:szCs w:val="21"/>
                      <w:shd w:val="clear" w:color="auto" w:fill="auto"/>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，用于职工办公</w:t>
                  </w:r>
                </w:p>
              </w:tc>
            </w:tr>
            <w:tr w14:paraId="054F61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153" w:hRule="atLeast"/>
                <w:jc w:val="center"/>
              </w:trPr>
              <w:tc>
                <w:tcPr>
                  <w:tcW w:w="383" w:type="pct"/>
                  <w:vMerge w:val="continue"/>
                  <w:tcBorders>
                    <w:tl2br w:val="nil"/>
                    <w:tr2bl w:val="nil"/>
                  </w:tcBorders>
                  <w:noWrap w:val="0"/>
                  <w:vAlign w:val="center"/>
                </w:tcPr>
                <w:p w14:paraId="4D981ADE">
                  <w:pPr>
                    <w:keepNext w:val="0"/>
                    <w:keepLines w:val="0"/>
                    <w:pageBreakBefore w:val="0"/>
                    <w:widowControl w:val="0"/>
                    <w:kinsoku/>
                    <w:wordWrap/>
                    <w:overflowPunct/>
                    <w:topLinePunct w:val="0"/>
                    <w:autoSpaceDE/>
                    <w:autoSpaceDN/>
                    <w:bidi w:val="0"/>
                    <w:adjustRightInd/>
                    <w:snapToGrid/>
                    <w:ind w:left="0"/>
                    <w:jc w:val="center"/>
                    <w:textAlignment w:val="auto"/>
                    <w:rPr>
                      <w:color w:val="000000" w:themeColor="text1"/>
                      <w14:textFill>
                        <w14:solidFill>
                          <w14:schemeClr w14:val="tx1"/>
                        </w14:solidFill>
                      </w14:textFill>
                    </w:rPr>
                  </w:pPr>
                </w:p>
              </w:tc>
              <w:tc>
                <w:tcPr>
                  <w:tcW w:w="819" w:type="pct"/>
                  <w:tcBorders>
                    <w:tl2br w:val="nil"/>
                    <w:tr2bl w:val="nil"/>
                  </w:tcBorders>
                  <w:noWrap w:val="0"/>
                  <w:vAlign w:val="center"/>
                </w:tcPr>
                <w:p w14:paraId="42A73D6C">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宿舍、餐厅</w:t>
                  </w:r>
                </w:p>
              </w:tc>
              <w:tc>
                <w:tcPr>
                  <w:tcW w:w="2053" w:type="pct"/>
                  <w:gridSpan w:val="2"/>
                  <w:tcBorders>
                    <w:tl2br w:val="nil"/>
                    <w:tr2bl w:val="nil"/>
                  </w:tcBorders>
                  <w:noWrap w:val="0"/>
                  <w:vAlign w:val="center"/>
                </w:tcPr>
                <w:p w14:paraId="1E5BB4D2">
                  <w:pPr>
                    <w:keepNext w:val="0"/>
                    <w:keepLines w:val="0"/>
                    <w:pageBreakBefore w:val="0"/>
                    <w:widowControl w:val="0"/>
                    <w:kinsoku/>
                    <w:wordWrap/>
                    <w:overflowPunct/>
                    <w:topLinePunct w:val="0"/>
                    <w:autoSpaceDE/>
                    <w:autoSpaceDN/>
                    <w:bidi w:val="0"/>
                    <w:adjustRightInd/>
                    <w:snapToGrid/>
                    <w:ind w:left="0"/>
                    <w:jc w:val="center"/>
                    <w:textAlignment w:val="auto"/>
                    <w:rPr>
                      <w:rFonts w:hint="eastAsia"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2F，建筑面积2812.64m</w:t>
                  </w:r>
                  <w:r>
                    <w:rPr>
                      <w:rFonts w:hint="eastAsia" w:cs="Times New Roman"/>
                      <w:color w:val="000000" w:themeColor="text1"/>
                      <w:sz w:val="21"/>
                      <w:szCs w:val="21"/>
                      <w:shd w:val="clear" w:color="auto" w:fill="auto"/>
                      <w:vertAlign w:val="superscript"/>
                      <w:lang w:val="en-US" w:eastAsia="zh-CN"/>
                      <w14:textFill>
                        <w14:solidFill>
                          <w14:schemeClr w14:val="tx1"/>
                        </w14:solidFill>
                      </w14:textFill>
                    </w:rPr>
                    <w:t>2</w:t>
                  </w:r>
                  <w:r>
                    <w:rPr>
                      <w:rFonts w:hint="eastAsia" w:cs="Times New Roman"/>
                      <w:color w:val="000000" w:themeColor="text1"/>
                      <w:sz w:val="21"/>
                      <w:szCs w:val="21"/>
                      <w:shd w:val="clear" w:color="auto" w:fill="auto"/>
                      <w:lang w:val="en-US" w:eastAsia="zh-CN"/>
                      <w14:textFill>
                        <w14:solidFill>
                          <w14:schemeClr w14:val="tx1"/>
                        </w14:solidFill>
                      </w14:textFill>
                    </w:rPr>
                    <w:t>，用于职工就餐、住宿</w:t>
                  </w:r>
                </w:p>
              </w:tc>
              <w:tc>
                <w:tcPr>
                  <w:tcW w:w="1743" w:type="pct"/>
                  <w:tcBorders>
                    <w:tl2br w:val="nil"/>
                    <w:tr2bl w:val="nil"/>
                  </w:tcBorders>
                  <w:noWrap w:val="0"/>
                  <w:vAlign w:val="center"/>
                </w:tcPr>
                <w:p w14:paraId="24104DCB">
                  <w:pPr>
                    <w:keepNext w:val="0"/>
                    <w:keepLines w:val="0"/>
                    <w:pageBreakBefore w:val="0"/>
                    <w:widowControl w:val="0"/>
                    <w:kinsoku/>
                    <w:wordWrap/>
                    <w:overflowPunct/>
                    <w:topLinePunct w:val="0"/>
                    <w:autoSpaceDE/>
                    <w:autoSpaceDN/>
                    <w:bidi w:val="0"/>
                    <w:adjustRightInd/>
                    <w:snapToGrid/>
                    <w:ind w:left="0"/>
                    <w:jc w:val="center"/>
                    <w:textAlignment w:val="auto"/>
                    <w:rPr>
                      <w:rFonts w:hint="eastAsia"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2F，建筑面积2812.64m</w:t>
                  </w:r>
                  <w:r>
                    <w:rPr>
                      <w:rFonts w:hint="eastAsia" w:cs="Times New Roman"/>
                      <w:color w:val="000000" w:themeColor="text1"/>
                      <w:sz w:val="21"/>
                      <w:szCs w:val="21"/>
                      <w:shd w:val="clear" w:color="auto" w:fill="auto"/>
                      <w:vertAlign w:val="superscript"/>
                      <w:lang w:val="en-US" w:eastAsia="zh-CN"/>
                      <w14:textFill>
                        <w14:solidFill>
                          <w14:schemeClr w14:val="tx1"/>
                        </w14:solidFill>
                      </w14:textFill>
                    </w:rPr>
                    <w:t>2</w:t>
                  </w:r>
                  <w:r>
                    <w:rPr>
                      <w:rFonts w:hint="eastAsia" w:cs="Times New Roman"/>
                      <w:color w:val="000000" w:themeColor="text1"/>
                      <w:sz w:val="21"/>
                      <w:szCs w:val="21"/>
                      <w:shd w:val="clear" w:color="auto" w:fill="auto"/>
                      <w:lang w:val="en-US" w:eastAsia="zh-CN"/>
                      <w14:textFill>
                        <w14:solidFill>
                          <w14:schemeClr w14:val="tx1"/>
                        </w14:solidFill>
                      </w14:textFill>
                    </w:rPr>
                    <w:t>，用于职工就餐、住宿</w:t>
                  </w:r>
                </w:p>
              </w:tc>
            </w:tr>
            <w:tr w14:paraId="669B90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153" w:hRule="atLeast"/>
                <w:jc w:val="center"/>
              </w:trPr>
              <w:tc>
                <w:tcPr>
                  <w:tcW w:w="383" w:type="pct"/>
                  <w:vMerge w:val="continue"/>
                  <w:tcBorders>
                    <w:tl2br w:val="nil"/>
                    <w:tr2bl w:val="nil"/>
                  </w:tcBorders>
                  <w:noWrap w:val="0"/>
                  <w:vAlign w:val="center"/>
                </w:tcPr>
                <w:p w14:paraId="40288C86">
                  <w:pPr>
                    <w:keepNext w:val="0"/>
                    <w:keepLines w:val="0"/>
                    <w:pageBreakBefore w:val="0"/>
                    <w:widowControl w:val="0"/>
                    <w:kinsoku/>
                    <w:wordWrap/>
                    <w:overflowPunct/>
                    <w:topLinePunct w:val="0"/>
                    <w:autoSpaceDE/>
                    <w:autoSpaceDN/>
                    <w:bidi w:val="0"/>
                    <w:adjustRightInd/>
                    <w:snapToGrid/>
                    <w:ind w:left="0"/>
                    <w:jc w:val="center"/>
                    <w:textAlignment w:val="auto"/>
                    <w:rPr>
                      <w:rFonts w:hint="eastAsia" w:cs="Times New Roman"/>
                      <w:color w:val="000000" w:themeColor="text1"/>
                      <w:sz w:val="21"/>
                      <w:szCs w:val="21"/>
                      <w:shd w:val="clear" w:color="auto" w:fill="auto"/>
                      <w:lang w:val="en-US" w:eastAsia="zh-CN"/>
                      <w14:textFill>
                        <w14:solidFill>
                          <w14:schemeClr w14:val="tx1"/>
                        </w14:solidFill>
                      </w14:textFill>
                    </w:rPr>
                  </w:pPr>
                </w:p>
              </w:tc>
              <w:tc>
                <w:tcPr>
                  <w:tcW w:w="819" w:type="pct"/>
                  <w:tcBorders>
                    <w:tl2br w:val="nil"/>
                    <w:tr2bl w:val="nil"/>
                  </w:tcBorders>
                  <w:noWrap w:val="0"/>
                  <w:vAlign w:val="center"/>
                </w:tcPr>
                <w:p w14:paraId="486D6118">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门卫室</w:t>
                  </w:r>
                </w:p>
              </w:tc>
              <w:tc>
                <w:tcPr>
                  <w:tcW w:w="2053" w:type="pct"/>
                  <w:gridSpan w:val="2"/>
                  <w:tcBorders>
                    <w:tl2br w:val="nil"/>
                    <w:tr2bl w:val="nil"/>
                  </w:tcBorders>
                  <w:noWrap w:val="0"/>
                  <w:vAlign w:val="center"/>
                </w:tcPr>
                <w:p w14:paraId="3420D8BC">
                  <w:pPr>
                    <w:keepNext w:val="0"/>
                    <w:keepLines w:val="0"/>
                    <w:pageBreakBefore w:val="0"/>
                    <w:widowControl w:val="0"/>
                    <w:kinsoku/>
                    <w:wordWrap/>
                    <w:overflowPunct/>
                    <w:topLinePunct w:val="0"/>
                    <w:autoSpaceDE/>
                    <w:autoSpaceDN/>
                    <w:bidi w:val="0"/>
                    <w:adjustRightInd/>
                    <w:snapToGrid/>
                    <w:ind w:left="0"/>
                    <w:jc w:val="center"/>
                    <w:textAlignment w:val="auto"/>
                    <w:rPr>
                      <w:rFonts w:hint="eastAsia"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1F，建筑面积164.29m</w:t>
                  </w:r>
                  <w:r>
                    <w:rPr>
                      <w:rFonts w:hint="eastAsia" w:cs="Times New Roman"/>
                      <w:color w:val="000000" w:themeColor="text1"/>
                      <w:sz w:val="21"/>
                      <w:szCs w:val="21"/>
                      <w:shd w:val="clear" w:color="auto" w:fill="auto"/>
                      <w:vertAlign w:val="superscript"/>
                      <w:lang w:val="en-US" w:eastAsia="zh-CN"/>
                      <w14:textFill>
                        <w14:solidFill>
                          <w14:schemeClr w14:val="tx1"/>
                        </w14:solidFill>
                      </w14:textFill>
                    </w:rPr>
                    <w:t>2</w:t>
                  </w:r>
                  <w:r>
                    <w:rPr>
                      <w:rFonts w:hint="eastAsia" w:cs="Times New Roman"/>
                      <w:color w:val="000000" w:themeColor="text1"/>
                      <w:sz w:val="21"/>
                      <w:szCs w:val="21"/>
                      <w:shd w:val="clear" w:color="auto" w:fill="auto"/>
                      <w:lang w:val="en-US" w:eastAsia="zh-CN"/>
                      <w14:textFill>
                        <w14:solidFill>
                          <w14:schemeClr w14:val="tx1"/>
                        </w14:solidFill>
                      </w14:textFill>
                    </w:rPr>
                    <w:t>，用于值班</w:t>
                  </w:r>
                </w:p>
              </w:tc>
              <w:tc>
                <w:tcPr>
                  <w:tcW w:w="1743" w:type="pct"/>
                  <w:tcBorders>
                    <w:tl2br w:val="nil"/>
                    <w:tr2bl w:val="nil"/>
                  </w:tcBorders>
                  <w:noWrap w:val="0"/>
                  <w:vAlign w:val="center"/>
                </w:tcPr>
                <w:p w14:paraId="671089AA">
                  <w:pPr>
                    <w:keepNext w:val="0"/>
                    <w:keepLines w:val="0"/>
                    <w:pageBreakBefore w:val="0"/>
                    <w:widowControl w:val="0"/>
                    <w:kinsoku/>
                    <w:wordWrap/>
                    <w:overflowPunct/>
                    <w:topLinePunct w:val="0"/>
                    <w:autoSpaceDE/>
                    <w:autoSpaceDN/>
                    <w:bidi w:val="0"/>
                    <w:adjustRightInd/>
                    <w:snapToGrid/>
                    <w:ind w:left="0"/>
                    <w:jc w:val="center"/>
                    <w:textAlignment w:val="auto"/>
                    <w:rPr>
                      <w:rFonts w:hint="eastAsia"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1F，建筑面积164.29m</w:t>
                  </w:r>
                  <w:r>
                    <w:rPr>
                      <w:rFonts w:hint="eastAsia" w:cs="Times New Roman"/>
                      <w:color w:val="000000" w:themeColor="text1"/>
                      <w:sz w:val="21"/>
                      <w:szCs w:val="21"/>
                      <w:shd w:val="clear" w:color="auto" w:fill="auto"/>
                      <w:vertAlign w:val="superscript"/>
                      <w:lang w:val="en-US" w:eastAsia="zh-CN"/>
                      <w14:textFill>
                        <w14:solidFill>
                          <w14:schemeClr w14:val="tx1"/>
                        </w14:solidFill>
                      </w14:textFill>
                    </w:rPr>
                    <w:t>2</w:t>
                  </w:r>
                  <w:r>
                    <w:rPr>
                      <w:rFonts w:hint="eastAsia" w:cs="Times New Roman"/>
                      <w:color w:val="000000" w:themeColor="text1"/>
                      <w:sz w:val="21"/>
                      <w:szCs w:val="21"/>
                      <w:shd w:val="clear" w:color="auto" w:fill="auto"/>
                      <w:lang w:val="en-US" w:eastAsia="zh-CN"/>
                      <w14:textFill>
                        <w14:solidFill>
                          <w14:schemeClr w14:val="tx1"/>
                        </w14:solidFill>
                      </w14:textFill>
                    </w:rPr>
                    <w:t>，用于值班</w:t>
                  </w:r>
                </w:p>
              </w:tc>
            </w:tr>
            <w:tr w14:paraId="4076D0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153" w:hRule="atLeast"/>
                <w:jc w:val="center"/>
              </w:trPr>
              <w:tc>
                <w:tcPr>
                  <w:tcW w:w="383" w:type="pct"/>
                  <w:vMerge w:val="continue"/>
                  <w:tcBorders>
                    <w:tl2br w:val="nil"/>
                    <w:tr2bl w:val="nil"/>
                  </w:tcBorders>
                  <w:noWrap w:val="0"/>
                  <w:vAlign w:val="center"/>
                </w:tcPr>
                <w:p w14:paraId="520211F9">
                  <w:pPr>
                    <w:keepNext w:val="0"/>
                    <w:keepLines w:val="0"/>
                    <w:pageBreakBefore w:val="0"/>
                    <w:widowControl w:val="0"/>
                    <w:kinsoku/>
                    <w:wordWrap/>
                    <w:overflowPunct/>
                    <w:topLinePunct w:val="0"/>
                    <w:autoSpaceDE/>
                    <w:autoSpaceDN/>
                    <w:bidi w:val="0"/>
                    <w:adjustRightInd/>
                    <w:snapToGrid/>
                    <w:ind w:left="0"/>
                    <w:jc w:val="center"/>
                    <w:textAlignment w:val="auto"/>
                    <w:rPr>
                      <w:rFonts w:hint="eastAsia" w:cs="Times New Roman"/>
                      <w:color w:val="000000" w:themeColor="text1"/>
                      <w:sz w:val="21"/>
                      <w:szCs w:val="21"/>
                      <w:shd w:val="clear" w:color="auto" w:fill="auto"/>
                      <w:lang w:val="en-US" w:eastAsia="zh-CN"/>
                      <w14:textFill>
                        <w14:solidFill>
                          <w14:schemeClr w14:val="tx1"/>
                        </w14:solidFill>
                      </w14:textFill>
                    </w:rPr>
                  </w:pPr>
                </w:p>
              </w:tc>
              <w:tc>
                <w:tcPr>
                  <w:tcW w:w="819" w:type="pct"/>
                  <w:tcBorders>
                    <w:tl2br w:val="nil"/>
                    <w:tr2bl w:val="nil"/>
                  </w:tcBorders>
                  <w:noWrap w:val="0"/>
                  <w:vAlign w:val="center"/>
                </w:tcPr>
                <w:p w14:paraId="23E0F393">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实验、检修楼</w:t>
                  </w:r>
                </w:p>
              </w:tc>
              <w:tc>
                <w:tcPr>
                  <w:tcW w:w="2053" w:type="pct"/>
                  <w:gridSpan w:val="2"/>
                  <w:tcBorders>
                    <w:tl2br w:val="nil"/>
                    <w:tr2bl w:val="nil"/>
                  </w:tcBorders>
                  <w:noWrap w:val="0"/>
                  <w:vAlign w:val="center"/>
                </w:tcPr>
                <w:p w14:paraId="63A669A1">
                  <w:pPr>
                    <w:keepNext w:val="0"/>
                    <w:keepLines w:val="0"/>
                    <w:pageBreakBefore w:val="0"/>
                    <w:widowControl w:val="0"/>
                    <w:kinsoku/>
                    <w:wordWrap/>
                    <w:overflowPunct/>
                    <w:topLinePunct w:val="0"/>
                    <w:autoSpaceDE/>
                    <w:autoSpaceDN/>
                    <w:bidi w:val="0"/>
                    <w:adjustRightInd/>
                    <w:snapToGrid/>
                    <w:ind w:left="0"/>
                    <w:jc w:val="center"/>
                    <w:textAlignment w:val="auto"/>
                    <w:rPr>
                      <w:rFonts w:hint="eastAsia"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1F，建筑面积767.44m</w:t>
                  </w:r>
                  <w:r>
                    <w:rPr>
                      <w:rFonts w:hint="eastAsia" w:cs="Times New Roman"/>
                      <w:color w:val="000000" w:themeColor="text1"/>
                      <w:sz w:val="21"/>
                      <w:szCs w:val="21"/>
                      <w:shd w:val="clear" w:color="auto" w:fill="auto"/>
                      <w:vertAlign w:val="superscript"/>
                      <w:lang w:val="en-US" w:eastAsia="zh-CN"/>
                      <w14:textFill>
                        <w14:solidFill>
                          <w14:schemeClr w14:val="tx1"/>
                        </w14:solidFill>
                      </w14:textFill>
                    </w:rPr>
                    <w:t>2</w:t>
                  </w:r>
                  <w:r>
                    <w:rPr>
                      <w:rFonts w:hint="eastAsia" w:cs="Times New Roman"/>
                      <w:color w:val="000000" w:themeColor="text1"/>
                      <w:sz w:val="21"/>
                      <w:szCs w:val="21"/>
                      <w:shd w:val="clear" w:color="auto" w:fill="auto"/>
                      <w:lang w:val="en-US" w:eastAsia="zh-CN"/>
                      <w14:textFill>
                        <w14:solidFill>
                          <w14:schemeClr w14:val="tx1"/>
                        </w14:solidFill>
                      </w14:textFill>
                    </w:rPr>
                    <w:t>，用于产品质量检验</w:t>
                  </w:r>
                </w:p>
              </w:tc>
              <w:tc>
                <w:tcPr>
                  <w:tcW w:w="1743" w:type="pct"/>
                  <w:tcBorders>
                    <w:tl2br w:val="nil"/>
                    <w:tr2bl w:val="nil"/>
                  </w:tcBorders>
                  <w:noWrap w:val="0"/>
                  <w:vAlign w:val="center"/>
                </w:tcPr>
                <w:p w14:paraId="6376697F">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1F，建筑面积767.44m</w:t>
                  </w:r>
                  <w:r>
                    <w:rPr>
                      <w:rFonts w:hint="eastAsia" w:cs="Times New Roman"/>
                      <w:color w:val="000000" w:themeColor="text1"/>
                      <w:sz w:val="21"/>
                      <w:szCs w:val="21"/>
                      <w:shd w:val="clear" w:color="auto" w:fill="auto"/>
                      <w:vertAlign w:val="superscript"/>
                      <w:lang w:val="en-US" w:eastAsia="zh-CN"/>
                      <w14:textFill>
                        <w14:solidFill>
                          <w14:schemeClr w14:val="tx1"/>
                        </w14:solidFill>
                      </w14:textFill>
                    </w:rPr>
                    <w:t>2</w:t>
                  </w:r>
                  <w:r>
                    <w:rPr>
                      <w:rFonts w:hint="eastAsia" w:cs="Times New Roman"/>
                      <w:color w:val="000000" w:themeColor="text1"/>
                      <w:sz w:val="21"/>
                      <w:szCs w:val="21"/>
                      <w:shd w:val="clear" w:color="auto" w:fill="auto"/>
                      <w:lang w:val="en-US" w:eastAsia="zh-CN"/>
                      <w14:textFill>
                        <w14:solidFill>
                          <w14:schemeClr w14:val="tx1"/>
                        </w14:solidFill>
                      </w14:textFill>
                    </w:rPr>
                    <w:t>，用于产品质量检验</w:t>
                  </w:r>
                </w:p>
              </w:tc>
            </w:tr>
            <w:tr w14:paraId="45664B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383" w:type="pct"/>
                  <w:tcBorders>
                    <w:tl2br w:val="nil"/>
                    <w:tr2bl w:val="nil"/>
                  </w:tcBorders>
                  <w:noWrap w:val="0"/>
                  <w:vAlign w:val="center"/>
                </w:tcPr>
                <w:p w14:paraId="4FA292F6">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储运</w:t>
                  </w:r>
                  <w:r>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t>工程</w:t>
                  </w:r>
                </w:p>
              </w:tc>
              <w:tc>
                <w:tcPr>
                  <w:tcW w:w="819" w:type="pct"/>
                  <w:tcBorders>
                    <w:tl2br w:val="nil"/>
                    <w:tr2bl w:val="nil"/>
                  </w:tcBorders>
                  <w:noWrap w:val="0"/>
                  <w:vAlign w:val="center"/>
                </w:tcPr>
                <w:p w14:paraId="1772BABC">
                  <w:pPr>
                    <w:keepNext w:val="0"/>
                    <w:keepLines w:val="0"/>
                    <w:pageBreakBefore w:val="0"/>
                    <w:widowControl w:val="0"/>
                    <w:kinsoku/>
                    <w:wordWrap/>
                    <w:overflowPunct/>
                    <w:topLinePunct w:val="0"/>
                    <w:autoSpaceDE/>
                    <w:autoSpaceDN/>
                    <w:bidi w:val="0"/>
                    <w:adjustRightInd/>
                    <w:snapToGrid/>
                    <w:ind w:left="0"/>
                    <w:jc w:val="center"/>
                    <w:textAlignment w:val="auto"/>
                    <w:rPr>
                      <w:rFonts w:hint="eastAsia"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t>原料</w:t>
                  </w:r>
                  <w:r>
                    <w:rPr>
                      <w:rFonts w:hint="eastAsia" w:cs="Times New Roman"/>
                      <w:color w:val="000000" w:themeColor="text1"/>
                      <w:sz w:val="21"/>
                      <w:szCs w:val="21"/>
                      <w:shd w:val="clear" w:color="auto" w:fill="auto"/>
                      <w:lang w:val="en-US" w:eastAsia="zh-CN"/>
                      <w14:textFill>
                        <w14:solidFill>
                          <w14:schemeClr w14:val="tx1"/>
                        </w14:solidFill>
                      </w14:textFill>
                    </w:rPr>
                    <w:t>储仓</w:t>
                  </w:r>
                </w:p>
              </w:tc>
              <w:tc>
                <w:tcPr>
                  <w:tcW w:w="2053" w:type="pct"/>
                  <w:gridSpan w:val="2"/>
                  <w:tcBorders>
                    <w:tl2br w:val="nil"/>
                    <w:tr2bl w:val="nil"/>
                  </w:tcBorders>
                  <w:noWrap w:val="0"/>
                  <w:vAlign w:val="center"/>
                </w:tcPr>
                <w:p w14:paraId="6DB0C4C6">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t>设置在各自生产区内，均为室内封闭结构，主要用于各类原料的堆放和预制件成品的堆放</w:t>
                  </w:r>
                </w:p>
              </w:tc>
              <w:tc>
                <w:tcPr>
                  <w:tcW w:w="1743" w:type="pct"/>
                  <w:tcBorders>
                    <w:tl2br w:val="nil"/>
                    <w:tr2bl w:val="nil"/>
                  </w:tcBorders>
                  <w:noWrap w:val="0"/>
                  <w:vAlign w:val="center"/>
                </w:tcPr>
                <w:p w14:paraId="2F18EEF5">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val="en-US"/>
                      <w14:textFill>
                        <w14:solidFill>
                          <w14:schemeClr w14:val="tx1"/>
                        </w14:solidFill>
                      </w14:textFill>
                    </w:rPr>
                  </w:pPr>
                  <w:r>
                    <w:rPr>
                      <w:rFonts w:hint="eastAsia"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主要为</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混凝土搅拌站</w:t>
                  </w:r>
                  <w:r>
                    <w:rPr>
                      <w:rFonts w:hint="eastAsia"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，建筑面积615</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m</w:t>
                  </w:r>
                  <w:r>
                    <w:rPr>
                      <w:rFonts w:hint="default" w:ascii="Times New Roman" w:hAnsi="Times New Roman" w:eastAsia="宋体" w:cs="Times New Roman"/>
                      <w:color w:val="000000" w:themeColor="text1"/>
                      <w:sz w:val="21"/>
                      <w:szCs w:val="21"/>
                      <w:shd w:val="clear" w:color="auto" w:fill="auto"/>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w:t>
                  </w:r>
                  <w:r>
                    <w:rPr>
                      <w:rFonts w:hint="eastAsia"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位于厂区中部</w:t>
                  </w:r>
                </w:p>
              </w:tc>
            </w:tr>
            <w:tr w14:paraId="40DDB0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383" w:type="pct"/>
                  <w:vMerge w:val="restart"/>
                  <w:tcBorders>
                    <w:tl2br w:val="nil"/>
                    <w:tr2bl w:val="nil"/>
                  </w:tcBorders>
                  <w:noWrap w:val="0"/>
                  <w:vAlign w:val="center"/>
                </w:tcPr>
                <w:p w14:paraId="611485E7">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t>公用工程</w:t>
                  </w:r>
                </w:p>
              </w:tc>
              <w:tc>
                <w:tcPr>
                  <w:tcW w:w="819" w:type="pct"/>
                  <w:tcBorders>
                    <w:tl2br w:val="nil"/>
                    <w:tr2bl w:val="nil"/>
                  </w:tcBorders>
                  <w:noWrap w:val="0"/>
                  <w:vAlign w:val="center"/>
                </w:tcPr>
                <w:p w14:paraId="3C0C8F70">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t>供水</w:t>
                  </w:r>
                </w:p>
              </w:tc>
              <w:tc>
                <w:tcPr>
                  <w:tcW w:w="2053" w:type="pct"/>
                  <w:gridSpan w:val="2"/>
                  <w:tcBorders>
                    <w:tl2br w:val="nil"/>
                    <w:tr2bl w:val="nil"/>
                  </w:tcBorders>
                  <w:noWrap w:val="0"/>
                  <w:vAlign w:val="center"/>
                </w:tcPr>
                <w:p w14:paraId="21F84CC8">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t>园区自来水管网</w:t>
                  </w:r>
                </w:p>
              </w:tc>
              <w:tc>
                <w:tcPr>
                  <w:tcW w:w="1743" w:type="pct"/>
                  <w:tcBorders>
                    <w:tl2br w:val="nil"/>
                    <w:tr2bl w:val="nil"/>
                  </w:tcBorders>
                  <w:noWrap w:val="0"/>
                  <w:vAlign w:val="center"/>
                </w:tcPr>
                <w:p w14:paraId="21300767">
                  <w:pPr>
                    <w:keepNext w:val="0"/>
                    <w:keepLines w:val="0"/>
                    <w:pageBreakBefore w:val="0"/>
                    <w:widowControl w:val="0"/>
                    <w:kinsoku/>
                    <w:wordWrap/>
                    <w:overflowPunct/>
                    <w:topLinePunct w:val="0"/>
                    <w:autoSpaceDE/>
                    <w:autoSpaceDN/>
                    <w:bidi w:val="0"/>
                    <w:adjustRightInd/>
                    <w:snapToGrid/>
                    <w:ind w:left="0" w:leftChars="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t>园区自来水管网</w:t>
                  </w:r>
                </w:p>
              </w:tc>
            </w:tr>
            <w:tr w14:paraId="3936F7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383" w:type="pct"/>
                  <w:vMerge w:val="continue"/>
                  <w:tcBorders>
                    <w:tl2br w:val="nil"/>
                    <w:tr2bl w:val="nil"/>
                  </w:tcBorders>
                  <w:noWrap w:val="0"/>
                  <w:vAlign w:val="center"/>
                </w:tcPr>
                <w:p w14:paraId="28630BDE">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p>
              </w:tc>
              <w:tc>
                <w:tcPr>
                  <w:tcW w:w="819" w:type="pct"/>
                  <w:tcBorders>
                    <w:tl2br w:val="nil"/>
                    <w:tr2bl w:val="nil"/>
                  </w:tcBorders>
                  <w:noWrap w:val="0"/>
                  <w:vAlign w:val="center"/>
                </w:tcPr>
                <w:p w14:paraId="4A5E04D2">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t>供电</w:t>
                  </w:r>
                </w:p>
              </w:tc>
              <w:tc>
                <w:tcPr>
                  <w:tcW w:w="2053" w:type="pct"/>
                  <w:gridSpan w:val="2"/>
                  <w:tcBorders>
                    <w:tl2br w:val="nil"/>
                    <w:tr2bl w:val="nil"/>
                  </w:tcBorders>
                  <w:noWrap w:val="0"/>
                  <w:vAlign w:val="center"/>
                </w:tcPr>
                <w:p w14:paraId="7C6AAA46">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t>园区电网</w:t>
                  </w:r>
                </w:p>
              </w:tc>
              <w:tc>
                <w:tcPr>
                  <w:tcW w:w="1743" w:type="pct"/>
                  <w:tcBorders>
                    <w:tl2br w:val="nil"/>
                    <w:tr2bl w:val="nil"/>
                  </w:tcBorders>
                  <w:noWrap w:val="0"/>
                  <w:vAlign w:val="center"/>
                </w:tcPr>
                <w:p w14:paraId="0D2E82A7">
                  <w:pPr>
                    <w:keepNext w:val="0"/>
                    <w:keepLines w:val="0"/>
                    <w:pageBreakBefore w:val="0"/>
                    <w:widowControl w:val="0"/>
                    <w:kinsoku/>
                    <w:wordWrap/>
                    <w:overflowPunct/>
                    <w:topLinePunct w:val="0"/>
                    <w:autoSpaceDE/>
                    <w:autoSpaceDN/>
                    <w:bidi w:val="0"/>
                    <w:adjustRightInd/>
                    <w:snapToGrid/>
                    <w:ind w:left="0" w:leftChars="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t>园区电网</w:t>
                  </w:r>
                </w:p>
              </w:tc>
            </w:tr>
            <w:tr w14:paraId="73A826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74" w:hRule="atLeast"/>
                <w:jc w:val="center"/>
              </w:trPr>
              <w:tc>
                <w:tcPr>
                  <w:tcW w:w="383" w:type="pct"/>
                  <w:vMerge w:val="continue"/>
                  <w:tcBorders>
                    <w:tl2br w:val="nil"/>
                    <w:tr2bl w:val="nil"/>
                  </w:tcBorders>
                  <w:noWrap w:val="0"/>
                  <w:vAlign w:val="center"/>
                </w:tcPr>
                <w:p w14:paraId="23D5EDCD">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p>
              </w:tc>
              <w:tc>
                <w:tcPr>
                  <w:tcW w:w="819" w:type="pct"/>
                  <w:tcBorders>
                    <w:tl2br w:val="nil"/>
                    <w:tr2bl w:val="nil"/>
                  </w:tcBorders>
                  <w:noWrap w:val="0"/>
                  <w:vAlign w:val="center"/>
                </w:tcPr>
                <w:p w14:paraId="57AF9BD6">
                  <w:pPr>
                    <w:keepNext w:val="0"/>
                    <w:keepLines w:val="0"/>
                    <w:pageBreakBefore w:val="0"/>
                    <w:widowControl w:val="0"/>
                    <w:kinsoku/>
                    <w:wordWrap/>
                    <w:overflowPunct/>
                    <w:topLinePunct w:val="0"/>
                    <w:autoSpaceDE/>
                    <w:autoSpaceDN/>
                    <w:bidi w:val="0"/>
                    <w:adjustRightInd/>
                    <w:snapToGrid/>
                    <w:ind w:left="0"/>
                    <w:jc w:val="center"/>
                    <w:textAlignment w:val="auto"/>
                    <w:rPr>
                      <w:rFonts w:hint="eastAsia"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排水</w:t>
                  </w:r>
                </w:p>
              </w:tc>
              <w:tc>
                <w:tcPr>
                  <w:tcW w:w="2053" w:type="pct"/>
                  <w:gridSpan w:val="2"/>
                  <w:tcBorders>
                    <w:tl2br w:val="nil"/>
                    <w:tr2bl w:val="nil"/>
                  </w:tcBorders>
                  <w:noWrap w:val="0"/>
                  <w:vAlign w:val="center"/>
                </w:tcPr>
                <w:p w14:paraId="7EBE5981">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园区污水管网</w:t>
                  </w:r>
                </w:p>
              </w:tc>
              <w:tc>
                <w:tcPr>
                  <w:tcW w:w="1743" w:type="pct"/>
                  <w:tcBorders>
                    <w:tl2br w:val="nil"/>
                    <w:tr2bl w:val="nil"/>
                  </w:tcBorders>
                  <w:noWrap w:val="0"/>
                  <w:vAlign w:val="center"/>
                </w:tcPr>
                <w:p w14:paraId="4C2E5AAE">
                  <w:pPr>
                    <w:keepNext w:val="0"/>
                    <w:keepLines w:val="0"/>
                    <w:pageBreakBefore w:val="0"/>
                    <w:widowControl w:val="0"/>
                    <w:kinsoku/>
                    <w:wordWrap/>
                    <w:overflowPunct/>
                    <w:topLinePunct w:val="0"/>
                    <w:autoSpaceDE/>
                    <w:autoSpaceDN/>
                    <w:bidi w:val="0"/>
                    <w:adjustRightInd/>
                    <w:snapToGrid/>
                    <w:ind w:left="0" w:leftChars="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园区污水管网</w:t>
                  </w:r>
                </w:p>
              </w:tc>
            </w:tr>
            <w:tr w14:paraId="68ECA6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151" w:hRule="atLeast"/>
                <w:jc w:val="center"/>
              </w:trPr>
              <w:tc>
                <w:tcPr>
                  <w:tcW w:w="383" w:type="pct"/>
                  <w:vMerge w:val="restart"/>
                  <w:tcBorders>
                    <w:tl2br w:val="nil"/>
                    <w:tr2bl w:val="nil"/>
                  </w:tcBorders>
                  <w:noWrap w:val="0"/>
                  <w:vAlign w:val="center"/>
                </w:tcPr>
                <w:p w14:paraId="2A034477">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highlight w:val="yellow"/>
                      <w:shd w:val="clear" w:color="auto" w:fill="auto"/>
                      <w:lang w:val="en-US" w:eastAsia="zh-CN"/>
                      <w14:textFill>
                        <w14:solidFill>
                          <w14:schemeClr w14:val="tx1"/>
                        </w14:solidFill>
                      </w14:textFill>
                    </w:rPr>
                  </w:pPr>
                  <w:r>
                    <w:rPr>
                      <w:rFonts w:hint="eastAsia" w:cs="Times New Roman"/>
                      <w:color w:val="000000" w:themeColor="text1"/>
                      <w:sz w:val="21"/>
                      <w:szCs w:val="21"/>
                      <w:highlight w:val="none"/>
                      <w:shd w:val="clear" w:color="auto"/>
                      <w:lang w:val="en-US" w:eastAsia="zh-CN"/>
                      <w14:textFill>
                        <w14:solidFill>
                          <w14:schemeClr w14:val="tx1"/>
                        </w14:solidFill>
                      </w14:textFill>
                    </w:rPr>
                    <w:t>环保工程</w:t>
                  </w:r>
                </w:p>
              </w:tc>
              <w:tc>
                <w:tcPr>
                  <w:tcW w:w="819" w:type="pct"/>
                  <w:vMerge w:val="restart"/>
                  <w:tcBorders>
                    <w:tl2br w:val="nil"/>
                    <w:tr2bl w:val="nil"/>
                  </w:tcBorders>
                  <w:noWrap w:val="0"/>
                  <w:vAlign w:val="center"/>
                </w:tcPr>
                <w:p w14:paraId="472A44B9">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废水处理</w:t>
                  </w:r>
                </w:p>
              </w:tc>
              <w:tc>
                <w:tcPr>
                  <w:tcW w:w="2053" w:type="pct"/>
                  <w:gridSpan w:val="2"/>
                  <w:tcBorders>
                    <w:tl2br w:val="nil"/>
                    <w:tr2bl w:val="nil"/>
                  </w:tcBorders>
                  <w:noWrap w:val="0"/>
                  <w:vAlign w:val="center"/>
                </w:tcPr>
                <w:p w14:paraId="2E523E7B">
                  <w:pPr>
                    <w:pStyle w:val="22"/>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t>生活污水</w:t>
                  </w:r>
                  <w:r>
                    <w:rPr>
                      <w:rFonts w:hint="eastAsia" w:ascii="Times New Roman" w:hAnsi="Times New Roman" w:cs="Times New Roman"/>
                      <w:color w:val="000000" w:themeColor="text1"/>
                      <w:sz w:val="21"/>
                      <w:szCs w:val="21"/>
                      <w:shd w:val="clear" w:color="auto" w:fill="auto"/>
                      <w:lang w:val="en-US" w:eastAsia="zh-CN"/>
                      <w14:textFill>
                        <w14:solidFill>
                          <w14:schemeClr w14:val="tx1"/>
                        </w14:solidFill>
                      </w14:textFill>
                    </w:rPr>
                    <w:t>经</w:t>
                  </w:r>
                  <w:r>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t>隔油池+地埋式-</w:t>
                  </w:r>
                  <w:r>
                    <w:rPr>
                      <w:rFonts w:hint="eastAsia" w:ascii="Times New Roman" w:hAnsi="Times New Roman" w:cs="Times New Roman"/>
                      <w:color w:val="000000" w:themeColor="text1"/>
                      <w:sz w:val="21"/>
                      <w:szCs w:val="21"/>
                      <w:shd w:val="clear" w:color="auto" w:fill="auto"/>
                      <w:lang w:val="en-US" w:eastAsia="zh-CN"/>
                      <w14:textFill>
                        <w14:solidFill>
                          <w14:schemeClr w14:val="tx1"/>
                        </w14:solidFill>
                      </w14:textFill>
                    </w:rPr>
                    <w:t>一</w:t>
                  </w:r>
                  <w:r>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t>体化污水处理设施</w:t>
                  </w:r>
                  <w:r>
                    <w:rPr>
                      <w:rFonts w:hint="eastAsia" w:ascii="Times New Roman" w:hAnsi="Times New Roman" w:cs="Times New Roman"/>
                      <w:color w:val="000000" w:themeColor="text1"/>
                      <w:sz w:val="21"/>
                      <w:szCs w:val="21"/>
                      <w:shd w:val="clear" w:color="auto" w:fill="auto"/>
                      <w:lang w:val="en-US" w:eastAsia="zh-CN"/>
                      <w14:textFill>
                        <w14:solidFill>
                          <w14:schemeClr w14:val="tx1"/>
                        </w14:solidFill>
                      </w14:textFill>
                    </w:rPr>
                    <w:t>处理后外排至</w:t>
                  </w:r>
                  <w:r>
                    <w:rPr>
                      <w:rFonts w:hint="eastAsia" w:cs="Times New Roman"/>
                      <w:color w:val="000000" w:themeColor="text1"/>
                      <w:sz w:val="21"/>
                      <w:szCs w:val="21"/>
                      <w:shd w:val="clear" w:color="auto" w:fill="auto"/>
                      <w:lang w:val="en-US" w:eastAsia="zh-CN"/>
                      <w14:textFill>
                        <w14:solidFill>
                          <w14:schemeClr w14:val="tx1"/>
                        </w14:solidFill>
                      </w14:textFill>
                    </w:rPr>
                    <w:t>园区管网</w:t>
                  </w:r>
                </w:p>
              </w:tc>
              <w:tc>
                <w:tcPr>
                  <w:tcW w:w="1743" w:type="pct"/>
                  <w:tcBorders>
                    <w:tl2br w:val="nil"/>
                    <w:tr2bl w:val="nil"/>
                  </w:tcBorders>
                  <w:noWrap w:val="0"/>
                  <w:vAlign w:val="center"/>
                </w:tcPr>
                <w:p w14:paraId="3C34AAB2">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生活污水沉淀池处理后</w:t>
                  </w:r>
                  <w:r>
                    <w:rPr>
                      <w:rFonts w:hint="eastAsia" w:ascii="Times New Roman" w:hAnsi="Times New Roman" w:cs="Times New Roman"/>
                      <w:color w:val="000000" w:themeColor="text1"/>
                      <w:sz w:val="21"/>
                      <w:szCs w:val="21"/>
                      <w:shd w:val="clear" w:color="auto" w:fill="auto"/>
                      <w:lang w:val="en-US" w:eastAsia="zh-CN"/>
                      <w14:textFill>
                        <w14:solidFill>
                          <w14:schemeClr w14:val="tx1"/>
                        </w14:solidFill>
                      </w14:textFill>
                    </w:rPr>
                    <w:t>外排至</w:t>
                  </w:r>
                  <w:r>
                    <w:rPr>
                      <w:rFonts w:hint="eastAsia" w:cs="Times New Roman"/>
                      <w:color w:val="000000" w:themeColor="text1"/>
                      <w:sz w:val="21"/>
                      <w:szCs w:val="21"/>
                      <w:shd w:val="clear" w:color="auto" w:fill="auto"/>
                      <w:lang w:val="en-US" w:eastAsia="zh-CN"/>
                      <w14:textFill>
                        <w14:solidFill>
                          <w14:schemeClr w14:val="tx1"/>
                        </w14:solidFill>
                      </w14:textFill>
                    </w:rPr>
                    <w:t>园区管网</w:t>
                  </w:r>
                </w:p>
              </w:tc>
            </w:tr>
            <w:tr w14:paraId="21A4DB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151" w:hRule="atLeast"/>
                <w:jc w:val="center"/>
              </w:trPr>
              <w:tc>
                <w:tcPr>
                  <w:tcW w:w="383" w:type="pct"/>
                  <w:vMerge w:val="continue"/>
                  <w:tcBorders>
                    <w:tl2br w:val="nil"/>
                    <w:tr2bl w:val="nil"/>
                  </w:tcBorders>
                  <w:noWrap w:val="0"/>
                  <w:vAlign w:val="center"/>
                </w:tcPr>
                <w:p w14:paraId="039658E1">
                  <w:pPr>
                    <w:keepNext w:val="0"/>
                    <w:keepLines w:val="0"/>
                    <w:pageBreakBefore w:val="0"/>
                    <w:widowControl w:val="0"/>
                    <w:kinsoku/>
                    <w:wordWrap/>
                    <w:overflowPunct/>
                    <w:topLinePunct w:val="0"/>
                    <w:autoSpaceDE/>
                    <w:autoSpaceDN/>
                    <w:bidi w:val="0"/>
                    <w:adjustRightInd/>
                    <w:snapToGrid/>
                    <w:ind w:left="0"/>
                    <w:jc w:val="center"/>
                    <w:textAlignment w:val="auto"/>
                    <w:rPr>
                      <w:color w:val="000000" w:themeColor="text1"/>
                      <w14:textFill>
                        <w14:solidFill>
                          <w14:schemeClr w14:val="tx1"/>
                        </w14:solidFill>
                      </w14:textFill>
                    </w:rPr>
                  </w:pPr>
                </w:p>
              </w:tc>
              <w:tc>
                <w:tcPr>
                  <w:tcW w:w="819" w:type="pct"/>
                  <w:vMerge w:val="continue"/>
                  <w:tcBorders>
                    <w:tl2br w:val="nil"/>
                    <w:tr2bl w:val="nil"/>
                  </w:tcBorders>
                  <w:noWrap w:val="0"/>
                  <w:vAlign w:val="center"/>
                </w:tcPr>
                <w:p w14:paraId="55A4FB3C">
                  <w:pPr>
                    <w:keepNext w:val="0"/>
                    <w:keepLines w:val="0"/>
                    <w:pageBreakBefore w:val="0"/>
                    <w:widowControl w:val="0"/>
                    <w:kinsoku/>
                    <w:wordWrap/>
                    <w:overflowPunct/>
                    <w:topLinePunct w:val="0"/>
                    <w:autoSpaceDE/>
                    <w:autoSpaceDN/>
                    <w:bidi w:val="0"/>
                    <w:adjustRightInd/>
                    <w:snapToGrid/>
                    <w:ind w:left="0"/>
                    <w:jc w:val="center"/>
                    <w:textAlignment w:val="auto"/>
                    <w:rPr>
                      <w:color w:val="000000" w:themeColor="text1"/>
                      <w14:textFill>
                        <w14:solidFill>
                          <w14:schemeClr w14:val="tx1"/>
                        </w14:solidFill>
                      </w14:textFill>
                    </w:rPr>
                  </w:pPr>
                </w:p>
              </w:tc>
              <w:tc>
                <w:tcPr>
                  <w:tcW w:w="2053" w:type="pct"/>
                  <w:gridSpan w:val="2"/>
                  <w:tcBorders>
                    <w:tl2br w:val="nil"/>
                    <w:tr2bl w:val="nil"/>
                  </w:tcBorders>
                  <w:noWrap w:val="0"/>
                  <w:vAlign w:val="center"/>
                </w:tcPr>
                <w:p w14:paraId="23BA8EAE">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t>生产废水沉淀后循环使用不外排</w:t>
                  </w:r>
                </w:p>
              </w:tc>
              <w:tc>
                <w:tcPr>
                  <w:tcW w:w="1743" w:type="pct"/>
                  <w:tcBorders>
                    <w:tl2br w:val="nil"/>
                    <w:tr2bl w:val="nil"/>
                  </w:tcBorders>
                  <w:noWrap w:val="0"/>
                  <w:vAlign w:val="center"/>
                </w:tcPr>
                <w:p w14:paraId="22FA257A">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t>生产废水沉淀后循环使用不外排</w:t>
                  </w:r>
                </w:p>
              </w:tc>
            </w:tr>
            <w:tr w14:paraId="3B0B81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383" w:type="pct"/>
                  <w:vMerge w:val="continue"/>
                  <w:tcBorders>
                    <w:tl2br w:val="nil"/>
                    <w:tr2bl w:val="nil"/>
                  </w:tcBorders>
                  <w:noWrap w:val="0"/>
                  <w:vAlign w:val="center"/>
                </w:tcPr>
                <w:p w14:paraId="450892B5">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highlight w:val="yellow"/>
                      <w:shd w:val="clear" w:color="auto" w:fill="auto"/>
                      <w14:textFill>
                        <w14:solidFill>
                          <w14:schemeClr w14:val="tx1"/>
                        </w14:solidFill>
                      </w14:textFill>
                    </w:rPr>
                  </w:pPr>
                </w:p>
              </w:tc>
              <w:tc>
                <w:tcPr>
                  <w:tcW w:w="819" w:type="pct"/>
                  <w:vMerge w:val="restart"/>
                  <w:tcBorders>
                    <w:tl2br w:val="nil"/>
                    <w:tr2bl w:val="nil"/>
                  </w:tcBorders>
                  <w:noWrap w:val="0"/>
                  <w:vAlign w:val="center"/>
                </w:tcPr>
                <w:p w14:paraId="2B2DE34B">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废气处理</w:t>
                  </w:r>
                </w:p>
              </w:tc>
              <w:tc>
                <w:tcPr>
                  <w:tcW w:w="2053" w:type="pct"/>
                  <w:gridSpan w:val="2"/>
                  <w:tcBorders>
                    <w:tl2br w:val="nil"/>
                    <w:tr2bl w:val="nil"/>
                  </w:tcBorders>
                  <w:noWrap w:val="0"/>
                  <w:vAlign w:val="center"/>
                </w:tcPr>
                <w:p w14:paraId="4157AC57">
                  <w:pPr>
                    <w:pStyle w:val="22"/>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粉料</w:t>
                  </w:r>
                  <w:r>
                    <w:rPr>
                      <w:rFonts w:hint="eastAsia" w:ascii="Times New Roman" w:hAnsi="Times New Roman" w:cs="Times New Roman"/>
                      <w:color w:val="000000" w:themeColor="text1"/>
                      <w:sz w:val="21"/>
                      <w:szCs w:val="21"/>
                      <w:shd w:val="clear" w:color="auto" w:fill="auto"/>
                      <w:lang w:val="en-US" w:eastAsia="zh-CN"/>
                      <w14:textFill>
                        <w14:solidFill>
                          <w14:schemeClr w14:val="tx1"/>
                        </w14:solidFill>
                      </w14:textFill>
                    </w:rPr>
                    <w:t>筒</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仓粉尘利用筒仓自带的呼吸孔布袋除尘器处理处理，排气</w:t>
                  </w:r>
                  <w:r>
                    <w:rPr>
                      <w:rFonts w:hint="eastAsia" w:ascii="Times New Roman" w:hAnsi="Times New Roman" w:cs="Times New Roman"/>
                      <w:color w:val="000000" w:themeColor="text1"/>
                      <w:sz w:val="21"/>
                      <w:szCs w:val="21"/>
                      <w:shd w:val="clear" w:color="auto" w:fill="auto"/>
                      <w:lang w:val="en-US" w:eastAsia="zh-CN"/>
                      <w14:textFill>
                        <w14:solidFill>
                          <w14:schemeClr w14:val="tx1"/>
                        </w14:solidFill>
                      </w14:textFill>
                    </w:rPr>
                    <w:t>筒</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设置于</w:t>
                  </w:r>
                  <w:r>
                    <w:rPr>
                      <w:rFonts w:hint="eastAsia" w:ascii="Times New Roman" w:hAnsi="Times New Roman" w:cs="Times New Roman"/>
                      <w:color w:val="000000" w:themeColor="text1"/>
                      <w:sz w:val="21"/>
                      <w:szCs w:val="21"/>
                      <w:shd w:val="clear" w:color="auto" w:fill="auto"/>
                      <w:lang w:val="en-US" w:eastAsia="zh-CN"/>
                      <w14:textFill>
                        <w14:solidFill>
                          <w14:schemeClr w14:val="tx1"/>
                        </w14:solidFill>
                      </w14:textFill>
                    </w:rPr>
                    <w:t>筒</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仓顶部</w:t>
                  </w:r>
                </w:p>
              </w:tc>
              <w:tc>
                <w:tcPr>
                  <w:tcW w:w="1743" w:type="pct"/>
                  <w:tcBorders>
                    <w:tl2br w:val="nil"/>
                    <w:tr2bl w:val="nil"/>
                  </w:tcBorders>
                  <w:noWrap w:val="0"/>
                  <w:vAlign w:val="center"/>
                </w:tcPr>
                <w:p w14:paraId="6A9D2EF9">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粉料</w:t>
                  </w:r>
                  <w:r>
                    <w:rPr>
                      <w:rFonts w:hint="eastAsia" w:ascii="Times New Roman" w:hAnsi="Times New Roman" w:cs="Times New Roman"/>
                      <w:color w:val="000000" w:themeColor="text1"/>
                      <w:sz w:val="21"/>
                      <w:szCs w:val="21"/>
                      <w:shd w:val="clear" w:color="auto" w:fill="auto"/>
                      <w:lang w:val="en-US" w:eastAsia="zh-CN"/>
                      <w14:textFill>
                        <w14:solidFill>
                          <w14:schemeClr w14:val="tx1"/>
                        </w14:solidFill>
                      </w14:textFill>
                    </w:rPr>
                    <w:t>筒</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仓粉尘利用筒仓自带的呼吸孔布袋除尘器处理处理，排气</w:t>
                  </w:r>
                  <w:r>
                    <w:rPr>
                      <w:rFonts w:hint="eastAsia" w:ascii="Times New Roman" w:hAnsi="Times New Roman" w:cs="Times New Roman"/>
                      <w:color w:val="000000" w:themeColor="text1"/>
                      <w:sz w:val="21"/>
                      <w:szCs w:val="21"/>
                      <w:shd w:val="clear" w:color="auto" w:fill="auto"/>
                      <w:lang w:val="en-US" w:eastAsia="zh-CN"/>
                      <w14:textFill>
                        <w14:solidFill>
                          <w14:schemeClr w14:val="tx1"/>
                        </w14:solidFill>
                      </w14:textFill>
                    </w:rPr>
                    <w:t>筒</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设置于</w:t>
                  </w:r>
                  <w:r>
                    <w:rPr>
                      <w:rFonts w:hint="eastAsia" w:ascii="Times New Roman" w:hAnsi="Times New Roman" w:cs="Times New Roman"/>
                      <w:color w:val="000000" w:themeColor="text1"/>
                      <w:sz w:val="21"/>
                      <w:szCs w:val="21"/>
                      <w:shd w:val="clear" w:color="auto" w:fill="auto"/>
                      <w:lang w:val="en-US" w:eastAsia="zh-CN"/>
                      <w14:textFill>
                        <w14:solidFill>
                          <w14:schemeClr w14:val="tx1"/>
                        </w14:solidFill>
                      </w14:textFill>
                    </w:rPr>
                    <w:t>筒</w:t>
                  </w:r>
                  <w:r>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仓顶部</w:t>
                  </w:r>
                </w:p>
              </w:tc>
            </w:tr>
            <w:tr w14:paraId="6ECA9F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383" w:type="pct"/>
                  <w:vMerge w:val="continue"/>
                  <w:tcBorders>
                    <w:tl2br w:val="nil"/>
                    <w:tr2bl w:val="nil"/>
                  </w:tcBorders>
                  <w:noWrap w:val="0"/>
                  <w:vAlign w:val="center"/>
                </w:tcPr>
                <w:p w14:paraId="7921C67B">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highlight w:val="yellow"/>
                      <w:shd w:val="clear" w:color="auto" w:fill="auto"/>
                      <w14:textFill>
                        <w14:solidFill>
                          <w14:schemeClr w14:val="tx1"/>
                        </w14:solidFill>
                      </w14:textFill>
                    </w:rPr>
                  </w:pPr>
                </w:p>
              </w:tc>
              <w:tc>
                <w:tcPr>
                  <w:tcW w:w="819" w:type="pct"/>
                  <w:vMerge w:val="continue"/>
                  <w:tcBorders>
                    <w:tl2br w:val="nil"/>
                    <w:tr2bl w:val="nil"/>
                  </w:tcBorders>
                  <w:noWrap w:val="0"/>
                  <w:vAlign w:val="center"/>
                </w:tcPr>
                <w:p w14:paraId="2072A3B3">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p>
              </w:tc>
              <w:tc>
                <w:tcPr>
                  <w:tcW w:w="2053" w:type="pct"/>
                  <w:gridSpan w:val="2"/>
                  <w:tcBorders>
                    <w:tl2br w:val="nil"/>
                    <w:tr2bl w:val="nil"/>
                  </w:tcBorders>
                  <w:noWrap w:val="0"/>
                  <w:vAlign w:val="center"/>
                </w:tcPr>
                <w:p w14:paraId="3B9FDE77">
                  <w:pPr>
                    <w:pStyle w:val="22"/>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t>各搅拌装置的粉尘分别利用脉冲式布袋除尘处理后设置不低于15m的排气</w:t>
                  </w:r>
                  <w:r>
                    <w:rPr>
                      <w:rFonts w:hint="eastAsia" w:ascii="Times New Roman" w:hAnsi="Times New Roman" w:cs="Times New Roman"/>
                      <w:color w:val="000000" w:themeColor="text1"/>
                      <w:sz w:val="21"/>
                      <w:szCs w:val="21"/>
                      <w:shd w:val="clear" w:color="auto" w:fill="auto"/>
                      <w:lang w:val="en-US" w:eastAsia="zh-CN"/>
                      <w14:textFill>
                        <w14:solidFill>
                          <w14:schemeClr w14:val="tx1"/>
                        </w14:solidFill>
                      </w14:textFill>
                    </w:rPr>
                    <w:t>筒</w:t>
                  </w:r>
                  <w:r>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t>排放</w:t>
                  </w:r>
                </w:p>
              </w:tc>
              <w:tc>
                <w:tcPr>
                  <w:tcW w:w="1743" w:type="pct"/>
                  <w:tcBorders>
                    <w:tl2br w:val="nil"/>
                    <w:tr2bl w:val="nil"/>
                  </w:tcBorders>
                  <w:noWrap w:val="0"/>
                  <w:vAlign w:val="center"/>
                </w:tcPr>
                <w:p w14:paraId="347CB72A">
                  <w:pPr>
                    <w:keepNext w:val="0"/>
                    <w:keepLines w:val="0"/>
                    <w:pageBreakBefore w:val="0"/>
                    <w:widowControl w:val="0"/>
                    <w:kinsoku/>
                    <w:wordWrap/>
                    <w:overflowPunct/>
                    <w:topLinePunct w:val="0"/>
                    <w:autoSpaceDE/>
                    <w:autoSpaceDN/>
                    <w:bidi w:val="0"/>
                    <w:adjustRightInd/>
                    <w:snapToGrid/>
                    <w:ind w:left="0"/>
                    <w:jc w:val="center"/>
                    <w:textAlignment w:val="auto"/>
                    <w:rPr>
                      <w:rFonts w:hint="eastAsia"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t>各搅拌装置的粉尘</w:t>
                  </w:r>
                  <w:r>
                    <w:rPr>
                      <w:rFonts w:hint="eastAsia"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t>经密闭处理后</w:t>
                  </w:r>
                  <w:r>
                    <w:rPr>
                      <w:rFonts w:hint="eastAsia" w:cs="Times New Roman"/>
                      <w:color w:val="000000" w:themeColor="text1"/>
                      <w:sz w:val="21"/>
                      <w:szCs w:val="21"/>
                      <w:shd w:val="clear" w:color="auto" w:fill="auto"/>
                      <w:lang w:val="en-US" w:eastAsia="zh-CN"/>
                      <w14:textFill>
                        <w14:solidFill>
                          <w14:schemeClr w14:val="tx1"/>
                        </w14:solidFill>
                      </w14:textFill>
                    </w:rPr>
                    <w:t>无组织排放</w:t>
                  </w:r>
                </w:p>
              </w:tc>
            </w:tr>
            <w:tr w14:paraId="682167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383" w:type="pct"/>
                  <w:vMerge w:val="continue"/>
                  <w:tcBorders>
                    <w:tl2br w:val="nil"/>
                    <w:tr2bl w:val="nil"/>
                  </w:tcBorders>
                  <w:noWrap w:val="0"/>
                  <w:vAlign w:val="center"/>
                </w:tcPr>
                <w:p w14:paraId="1C6B0E4B">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highlight w:val="yellow"/>
                      <w:shd w:val="clear" w:color="auto" w:fill="auto"/>
                      <w14:textFill>
                        <w14:solidFill>
                          <w14:schemeClr w14:val="tx1"/>
                        </w14:solidFill>
                      </w14:textFill>
                    </w:rPr>
                  </w:pPr>
                </w:p>
              </w:tc>
              <w:tc>
                <w:tcPr>
                  <w:tcW w:w="819" w:type="pct"/>
                  <w:vMerge w:val="continue"/>
                  <w:tcBorders>
                    <w:tl2br w:val="nil"/>
                    <w:tr2bl w:val="nil"/>
                  </w:tcBorders>
                  <w:noWrap w:val="0"/>
                  <w:vAlign w:val="center"/>
                </w:tcPr>
                <w:p w14:paraId="2E87C3C0">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p>
              </w:tc>
              <w:tc>
                <w:tcPr>
                  <w:tcW w:w="2053" w:type="pct"/>
                  <w:gridSpan w:val="2"/>
                  <w:tcBorders>
                    <w:tl2br w:val="nil"/>
                    <w:tr2bl w:val="nil"/>
                  </w:tcBorders>
                  <w:noWrap w:val="0"/>
                  <w:vAlign w:val="center"/>
                </w:tcPr>
                <w:p w14:paraId="3114BD5C">
                  <w:pPr>
                    <w:pStyle w:val="22"/>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t>原料全部入室内储仓堆放并设置喷淋系统，场地及出入道路全部硬化处理，并采取喷淋洒水和定点雾炮车喷雾等措施减少无组织粉尘排放</w:t>
                  </w:r>
                </w:p>
              </w:tc>
              <w:tc>
                <w:tcPr>
                  <w:tcW w:w="1743" w:type="pct"/>
                  <w:tcBorders>
                    <w:tl2br w:val="nil"/>
                    <w:tr2bl w:val="nil"/>
                  </w:tcBorders>
                  <w:noWrap w:val="0"/>
                  <w:vAlign w:val="center"/>
                </w:tcPr>
                <w:p w14:paraId="56DF8730">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t>原料全部入室内储仓堆放并设置喷淋系统，场地及出入道路全部硬化处理，并采取喷淋洒水和定点雾炮车喷雾等措施减少无组织粉尘排放</w:t>
                  </w:r>
                </w:p>
              </w:tc>
            </w:tr>
            <w:tr w14:paraId="033760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383" w:type="pct"/>
                  <w:vMerge w:val="continue"/>
                  <w:tcBorders>
                    <w:tl2br w:val="nil"/>
                    <w:tr2bl w:val="nil"/>
                  </w:tcBorders>
                  <w:noWrap w:val="0"/>
                  <w:vAlign w:val="center"/>
                </w:tcPr>
                <w:p w14:paraId="3B589038">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highlight w:val="yellow"/>
                      <w:shd w:val="clear" w:color="auto" w:fill="auto"/>
                      <w14:textFill>
                        <w14:solidFill>
                          <w14:schemeClr w14:val="tx1"/>
                        </w14:solidFill>
                      </w14:textFill>
                    </w:rPr>
                  </w:pPr>
                </w:p>
              </w:tc>
              <w:tc>
                <w:tcPr>
                  <w:tcW w:w="819" w:type="pct"/>
                  <w:tcBorders>
                    <w:tl2br w:val="nil"/>
                    <w:tr2bl w:val="nil"/>
                  </w:tcBorders>
                  <w:noWrap w:val="0"/>
                  <w:vAlign w:val="center"/>
                </w:tcPr>
                <w:p w14:paraId="54580E3C">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eastAsia" w:cs="Times New Roman"/>
                      <w:color w:val="000000" w:themeColor="text1"/>
                      <w:sz w:val="21"/>
                      <w:szCs w:val="21"/>
                      <w:shd w:val="clear" w:color="auto" w:fill="auto"/>
                      <w:lang w:val="en-US" w:eastAsia="zh-CN"/>
                      <w14:textFill>
                        <w14:solidFill>
                          <w14:schemeClr w14:val="tx1"/>
                        </w14:solidFill>
                      </w14:textFill>
                    </w:rPr>
                    <w:t>噪声处理</w:t>
                  </w:r>
                </w:p>
              </w:tc>
              <w:tc>
                <w:tcPr>
                  <w:tcW w:w="2053" w:type="pct"/>
                  <w:gridSpan w:val="2"/>
                  <w:tcBorders>
                    <w:tl2br w:val="nil"/>
                    <w:tr2bl w:val="nil"/>
                  </w:tcBorders>
                  <w:noWrap w:val="0"/>
                  <w:vAlign w:val="center"/>
                </w:tcPr>
                <w:p w14:paraId="68FD5746">
                  <w:pPr>
                    <w:pStyle w:val="22"/>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lang w:eastAsia="zh-CN"/>
                      <w14:textFill>
                        <w14:solidFill>
                          <w14:schemeClr w14:val="tx1"/>
                        </w14:solidFill>
                      </w14:textFill>
                    </w:rPr>
                    <w:t>隔音、减震等措施</w:t>
                  </w:r>
                </w:p>
              </w:tc>
              <w:tc>
                <w:tcPr>
                  <w:tcW w:w="1743" w:type="pct"/>
                  <w:tcBorders>
                    <w:tl2br w:val="nil"/>
                    <w:tr2bl w:val="nil"/>
                  </w:tcBorders>
                  <w:noWrap w:val="0"/>
                  <w:vAlign w:val="center"/>
                </w:tcPr>
                <w:p w14:paraId="271B6763">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t>隔音、减震等措施</w:t>
                  </w:r>
                </w:p>
              </w:tc>
            </w:tr>
            <w:tr w14:paraId="53E76B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383" w:type="pct"/>
                  <w:vMerge w:val="continue"/>
                  <w:tcBorders>
                    <w:tl2br w:val="nil"/>
                    <w:tr2bl w:val="nil"/>
                  </w:tcBorders>
                  <w:noWrap w:val="0"/>
                  <w:vAlign w:val="center"/>
                </w:tcPr>
                <w:p w14:paraId="444201D9">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highlight w:val="yellow"/>
                      <w:shd w:val="clear" w:color="auto" w:fill="auto"/>
                      <w14:textFill>
                        <w14:solidFill>
                          <w14:schemeClr w14:val="tx1"/>
                        </w14:solidFill>
                      </w14:textFill>
                    </w:rPr>
                  </w:pPr>
                </w:p>
              </w:tc>
              <w:tc>
                <w:tcPr>
                  <w:tcW w:w="819" w:type="pct"/>
                  <w:vMerge w:val="restart"/>
                  <w:tcBorders>
                    <w:tl2br w:val="nil"/>
                    <w:tr2bl w:val="nil"/>
                  </w:tcBorders>
                  <w:noWrap w:val="0"/>
                  <w:vAlign w:val="center"/>
                </w:tcPr>
                <w:p w14:paraId="1CFC213E">
                  <w:pPr>
                    <w:keepNext w:val="0"/>
                    <w:keepLines w:val="0"/>
                    <w:pageBreakBefore w:val="0"/>
                    <w:widowControl w:val="0"/>
                    <w:kinsoku/>
                    <w:wordWrap/>
                    <w:overflowPunct/>
                    <w:topLinePunct w:val="0"/>
                    <w:autoSpaceDE/>
                    <w:autoSpaceDN/>
                    <w:bidi w:val="0"/>
                    <w:adjustRightInd/>
                    <w:snapToGrid/>
                    <w:ind w:left="0"/>
                    <w:jc w:val="center"/>
                    <w:textAlignment w:val="auto"/>
                    <w:rPr>
                      <w:rFonts w:hint="eastAsia" w:ascii="Times New Roman" w:hAnsi="Times New Roman" w:eastAsia="宋体" w:cs="Times New Roman"/>
                      <w:color w:val="000000" w:themeColor="text1"/>
                      <w:sz w:val="21"/>
                      <w:szCs w:val="21"/>
                      <w:shd w:val="clear" w:color="auto" w:fill="auto"/>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t>固废</w:t>
                  </w:r>
                  <w:r>
                    <w:rPr>
                      <w:rFonts w:hint="eastAsia" w:cs="Times New Roman"/>
                      <w:color w:val="000000" w:themeColor="text1"/>
                      <w:sz w:val="21"/>
                      <w:szCs w:val="21"/>
                      <w:shd w:val="clear" w:color="auto" w:fill="auto"/>
                      <w:lang w:val="en-US" w:eastAsia="zh-CN"/>
                      <w14:textFill>
                        <w14:solidFill>
                          <w14:schemeClr w14:val="tx1"/>
                        </w14:solidFill>
                      </w14:textFill>
                    </w:rPr>
                    <w:t>处理</w:t>
                  </w:r>
                </w:p>
              </w:tc>
              <w:tc>
                <w:tcPr>
                  <w:tcW w:w="1073" w:type="pct"/>
                  <w:tcBorders>
                    <w:tl2br w:val="nil"/>
                    <w:tr2bl w:val="nil"/>
                  </w:tcBorders>
                  <w:noWrap w:val="0"/>
                  <w:vAlign w:val="center"/>
                </w:tcPr>
                <w:p w14:paraId="4B86C09E">
                  <w:pPr>
                    <w:pStyle w:val="22"/>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t>生产废水沉淀处理沉淀物</w:t>
                  </w:r>
                </w:p>
              </w:tc>
              <w:tc>
                <w:tcPr>
                  <w:tcW w:w="980" w:type="pct"/>
                  <w:vMerge w:val="restart"/>
                  <w:tcBorders>
                    <w:tl2br w:val="nil"/>
                    <w:tr2bl w:val="nil"/>
                  </w:tcBorders>
                  <w:noWrap w:val="0"/>
                  <w:vAlign w:val="center"/>
                </w:tcPr>
                <w:p w14:paraId="4C08C4F8">
                  <w:pPr>
                    <w:pStyle w:val="22"/>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t>收集后回用于生产</w:t>
                  </w:r>
                </w:p>
              </w:tc>
              <w:tc>
                <w:tcPr>
                  <w:tcW w:w="1743" w:type="pct"/>
                  <w:vMerge w:val="restart"/>
                  <w:tcBorders>
                    <w:tl2br w:val="nil"/>
                    <w:tr2bl w:val="nil"/>
                  </w:tcBorders>
                  <w:noWrap w:val="0"/>
                  <w:vAlign w:val="center"/>
                </w:tcPr>
                <w:p w14:paraId="4C7A88BA">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r>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t>收集后回用于生产</w:t>
                  </w:r>
                </w:p>
              </w:tc>
            </w:tr>
            <w:tr w14:paraId="34EF4E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383" w:type="pct"/>
                  <w:vMerge w:val="continue"/>
                  <w:tcBorders>
                    <w:tl2br w:val="nil"/>
                    <w:tr2bl w:val="nil"/>
                  </w:tcBorders>
                  <w:noWrap w:val="0"/>
                  <w:vAlign w:val="center"/>
                </w:tcPr>
                <w:p w14:paraId="6C4FC770">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highlight w:val="yellow"/>
                      <w:shd w:val="clear" w:color="auto" w:fill="auto"/>
                      <w14:textFill>
                        <w14:solidFill>
                          <w14:schemeClr w14:val="tx1"/>
                        </w14:solidFill>
                      </w14:textFill>
                    </w:rPr>
                  </w:pPr>
                </w:p>
              </w:tc>
              <w:tc>
                <w:tcPr>
                  <w:tcW w:w="819" w:type="pct"/>
                  <w:vMerge w:val="continue"/>
                  <w:tcBorders>
                    <w:tl2br w:val="nil"/>
                    <w:tr2bl w:val="nil"/>
                  </w:tcBorders>
                  <w:noWrap w:val="0"/>
                  <w:vAlign w:val="center"/>
                </w:tcPr>
                <w:p w14:paraId="74EA8E40">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p>
              </w:tc>
              <w:tc>
                <w:tcPr>
                  <w:tcW w:w="1073" w:type="pct"/>
                  <w:tcBorders>
                    <w:tl2br w:val="nil"/>
                    <w:tr2bl w:val="nil"/>
                  </w:tcBorders>
                  <w:noWrap w:val="0"/>
                  <w:vAlign w:val="center"/>
                </w:tcPr>
                <w:p w14:paraId="4F19575F">
                  <w:pPr>
                    <w:pStyle w:val="22"/>
                    <w:keepNext w:val="0"/>
                    <w:keepLines w:val="0"/>
                    <w:pageBreakBefore w:val="0"/>
                    <w:widowControl w:val="0"/>
                    <w:kinsoku/>
                    <w:wordWrap/>
                    <w:overflowPunct/>
                    <w:topLinePunct w:val="0"/>
                    <w:autoSpaceDE/>
                    <w:autoSpaceDN/>
                    <w:bidi w:val="0"/>
                    <w:adjustRightInd/>
                    <w:snapToGrid/>
                    <w:ind w:left="0"/>
                    <w:jc w:val="center"/>
                    <w:textAlignment w:val="auto"/>
                    <w:rPr>
                      <w:rFonts w:hint="eastAsia" w:ascii="Times New Roman" w:hAnsi="Times New Roman" w:eastAsia="宋体" w:cs="Times New Roman"/>
                      <w:color w:val="000000" w:themeColor="text1"/>
                      <w:sz w:val="21"/>
                      <w:szCs w:val="21"/>
                      <w:shd w:val="clear" w:color="auto" w:fill="auto"/>
                      <w:lang w:eastAsia="zh-CN"/>
                      <w14:textFill>
                        <w14:solidFill>
                          <w14:schemeClr w14:val="tx1"/>
                        </w14:solidFill>
                      </w14:textFill>
                    </w:rPr>
                  </w:pPr>
                  <w:r>
                    <w:rPr>
                      <w:rFonts w:hint="eastAsia" w:ascii="Times New Roman" w:hAnsi="Times New Roman" w:eastAsia="宋体" w:cs="Times New Roman"/>
                      <w:color w:val="000000" w:themeColor="text1"/>
                      <w:sz w:val="21"/>
                      <w:szCs w:val="21"/>
                      <w:shd w:val="clear" w:color="auto" w:fill="auto"/>
                      <w:lang w:eastAsia="zh-CN"/>
                      <w14:textFill>
                        <w14:solidFill>
                          <w14:schemeClr w14:val="tx1"/>
                        </w14:solidFill>
                      </w14:textFill>
                    </w:rPr>
                    <w:t>除尘器收集的粉尘</w:t>
                  </w:r>
                </w:p>
              </w:tc>
              <w:tc>
                <w:tcPr>
                  <w:tcW w:w="980" w:type="pct"/>
                  <w:vMerge w:val="continue"/>
                  <w:tcBorders>
                    <w:tl2br w:val="nil"/>
                    <w:tr2bl w:val="nil"/>
                  </w:tcBorders>
                  <w:noWrap w:val="0"/>
                  <w:vAlign w:val="center"/>
                </w:tcPr>
                <w:p w14:paraId="741C39BC">
                  <w:pPr>
                    <w:pStyle w:val="22"/>
                    <w:keepNext w:val="0"/>
                    <w:keepLines w:val="0"/>
                    <w:pageBreakBefore w:val="0"/>
                    <w:widowControl w:val="0"/>
                    <w:kinsoku/>
                    <w:wordWrap/>
                    <w:overflowPunct/>
                    <w:topLinePunct w:val="0"/>
                    <w:autoSpaceDE/>
                    <w:autoSpaceDN/>
                    <w:bidi w:val="0"/>
                    <w:adjustRightInd/>
                    <w:snapToGrid/>
                    <w:ind w:left="0"/>
                    <w:jc w:val="center"/>
                    <w:textAlignment w:val="auto"/>
                    <w:rPr>
                      <w:rFonts w:hint="eastAsia" w:ascii="Times New Roman" w:hAnsi="Times New Roman" w:eastAsia="宋体" w:cs="Times New Roman"/>
                      <w:color w:val="000000" w:themeColor="text1"/>
                      <w:sz w:val="21"/>
                      <w:szCs w:val="21"/>
                      <w:shd w:val="clear" w:color="auto" w:fill="auto"/>
                      <w:lang w:eastAsia="zh-CN"/>
                      <w14:textFill>
                        <w14:solidFill>
                          <w14:schemeClr w14:val="tx1"/>
                        </w14:solidFill>
                      </w14:textFill>
                    </w:rPr>
                  </w:pPr>
                </w:p>
              </w:tc>
              <w:tc>
                <w:tcPr>
                  <w:tcW w:w="1743" w:type="pct"/>
                  <w:vMerge w:val="continue"/>
                  <w:tcBorders>
                    <w:tl2br w:val="nil"/>
                    <w:tr2bl w:val="nil"/>
                  </w:tcBorders>
                  <w:noWrap w:val="0"/>
                  <w:vAlign w:val="center"/>
                </w:tcPr>
                <w:p w14:paraId="69B1BB74">
                  <w:pPr>
                    <w:keepNext w:val="0"/>
                    <w:keepLines w:val="0"/>
                    <w:pageBreakBefore w:val="0"/>
                    <w:widowControl w:val="0"/>
                    <w:kinsoku/>
                    <w:wordWrap/>
                    <w:overflowPunct/>
                    <w:topLinePunct w:val="0"/>
                    <w:autoSpaceDE/>
                    <w:autoSpaceDN/>
                    <w:bidi w:val="0"/>
                    <w:adjustRightInd/>
                    <w:snapToGrid/>
                    <w:ind w:left="0"/>
                    <w:jc w:val="center"/>
                    <w:textAlignment w:val="auto"/>
                    <w:rPr>
                      <w:rFonts w:hint="eastAsia" w:ascii="Times New Roman" w:hAnsi="Times New Roman" w:eastAsia="宋体" w:cs="Times New Roman"/>
                      <w:color w:val="000000" w:themeColor="text1"/>
                      <w:sz w:val="21"/>
                      <w:szCs w:val="21"/>
                      <w:shd w:val="clear" w:color="auto" w:fill="auto"/>
                      <w:lang w:eastAsia="zh-CN"/>
                      <w14:textFill>
                        <w14:solidFill>
                          <w14:schemeClr w14:val="tx1"/>
                        </w14:solidFill>
                      </w14:textFill>
                    </w:rPr>
                  </w:pPr>
                </w:p>
              </w:tc>
            </w:tr>
            <w:tr w14:paraId="5A33C9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383" w:type="pct"/>
                  <w:vMerge w:val="continue"/>
                  <w:tcBorders>
                    <w:tl2br w:val="nil"/>
                    <w:tr2bl w:val="nil"/>
                  </w:tcBorders>
                  <w:noWrap w:val="0"/>
                  <w:vAlign w:val="center"/>
                </w:tcPr>
                <w:p w14:paraId="26578459">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highlight w:val="yellow"/>
                      <w:shd w:val="clear" w:color="auto" w:fill="auto"/>
                      <w14:textFill>
                        <w14:solidFill>
                          <w14:schemeClr w14:val="tx1"/>
                        </w14:solidFill>
                      </w14:textFill>
                    </w:rPr>
                  </w:pPr>
                </w:p>
              </w:tc>
              <w:tc>
                <w:tcPr>
                  <w:tcW w:w="819" w:type="pct"/>
                  <w:vMerge w:val="continue"/>
                  <w:tcBorders>
                    <w:tl2br w:val="nil"/>
                    <w:tr2bl w:val="nil"/>
                  </w:tcBorders>
                  <w:noWrap w:val="0"/>
                  <w:vAlign w:val="center"/>
                </w:tcPr>
                <w:p w14:paraId="20AC77AF">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p>
              </w:tc>
              <w:tc>
                <w:tcPr>
                  <w:tcW w:w="1073" w:type="pct"/>
                  <w:tcBorders>
                    <w:tl2br w:val="nil"/>
                    <w:tr2bl w:val="nil"/>
                  </w:tcBorders>
                  <w:noWrap w:val="0"/>
                  <w:vAlign w:val="center"/>
                </w:tcPr>
                <w:p w14:paraId="7FF7DC51">
                  <w:pPr>
                    <w:pStyle w:val="22"/>
                    <w:keepNext w:val="0"/>
                    <w:keepLines w:val="0"/>
                    <w:pageBreakBefore w:val="0"/>
                    <w:widowControl w:val="0"/>
                    <w:kinsoku/>
                    <w:wordWrap/>
                    <w:overflowPunct/>
                    <w:topLinePunct w:val="0"/>
                    <w:autoSpaceDE/>
                    <w:autoSpaceDN/>
                    <w:bidi w:val="0"/>
                    <w:adjustRightInd/>
                    <w:snapToGrid/>
                    <w:ind w:left="0"/>
                    <w:jc w:val="center"/>
                    <w:textAlignment w:val="auto"/>
                    <w:rPr>
                      <w:rFonts w:hint="eastAsia" w:ascii="Times New Roman" w:hAnsi="Times New Roman" w:eastAsia="宋体" w:cs="Times New Roman"/>
                      <w:color w:val="000000" w:themeColor="text1"/>
                      <w:sz w:val="21"/>
                      <w:szCs w:val="21"/>
                      <w:shd w:val="clear" w:color="auto" w:fill="auto"/>
                      <w:lang w:eastAsia="zh-CN"/>
                      <w14:textFill>
                        <w14:solidFill>
                          <w14:schemeClr w14:val="tx1"/>
                        </w14:solidFill>
                      </w14:textFill>
                    </w:rPr>
                  </w:pPr>
                  <w:r>
                    <w:rPr>
                      <w:rFonts w:hint="eastAsia" w:ascii="Times New Roman" w:hAnsi="Times New Roman" w:eastAsia="宋体" w:cs="Times New Roman"/>
                      <w:color w:val="000000" w:themeColor="text1"/>
                      <w:sz w:val="21"/>
                      <w:szCs w:val="21"/>
                      <w:shd w:val="clear" w:color="auto" w:fill="auto"/>
                      <w:lang w:eastAsia="zh-CN"/>
                      <w14:textFill>
                        <w14:solidFill>
                          <w14:schemeClr w14:val="tx1"/>
                        </w14:solidFill>
                      </w14:textFill>
                    </w:rPr>
                    <w:t>不合格产品</w:t>
                  </w:r>
                </w:p>
              </w:tc>
              <w:tc>
                <w:tcPr>
                  <w:tcW w:w="980" w:type="pct"/>
                  <w:vMerge w:val="continue"/>
                  <w:tcBorders>
                    <w:tl2br w:val="nil"/>
                    <w:tr2bl w:val="nil"/>
                  </w:tcBorders>
                  <w:noWrap w:val="0"/>
                  <w:vAlign w:val="center"/>
                </w:tcPr>
                <w:p w14:paraId="4A5D2D43">
                  <w:pPr>
                    <w:pStyle w:val="22"/>
                    <w:keepNext w:val="0"/>
                    <w:keepLines w:val="0"/>
                    <w:pageBreakBefore w:val="0"/>
                    <w:widowControl w:val="0"/>
                    <w:kinsoku/>
                    <w:wordWrap/>
                    <w:overflowPunct/>
                    <w:topLinePunct w:val="0"/>
                    <w:autoSpaceDE/>
                    <w:autoSpaceDN/>
                    <w:bidi w:val="0"/>
                    <w:adjustRightInd/>
                    <w:snapToGrid/>
                    <w:ind w:left="0"/>
                    <w:jc w:val="center"/>
                    <w:textAlignment w:val="auto"/>
                    <w:rPr>
                      <w:rFonts w:hint="eastAsia" w:ascii="Times New Roman" w:hAnsi="Times New Roman" w:eastAsia="宋体" w:cs="Times New Roman"/>
                      <w:color w:val="000000" w:themeColor="text1"/>
                      <w:sz w:val="21"/>
                      <w:szCs w:val="21"/>
                      <w:shd w:val="clear" w:color="auto" w:fill="auto"/>
                      <w:lang w:eastAsia="zh-CN"/>
                      <w14:textFill>
                        <w14:solidFill>
                          <w14:schemeClr w14:val="tx1"/>
                        </w14:solidFill>
                      </w14:textFill>
                    </w:rPr>
                  </w:pPr>
                </w:p>
              </w:tc>
              <w:tc>
                <w:tcPr>
                  <w:tcW w:w="1743" w:type="pct"/>
                  <w:vMerge w:val="continue"/>
                  <w:tcBorders>
                    <w:tl2br w:val="nil"/>
                    <w:tr2bl w:val="nil"/>
                  </w:tcBorders>
                  <w:noWrap w:val="0"/>
                  <w:vAlign w:val="center"/>
                </w:tcPr>
                <w:p w14:paraId="7382D2A0">
                  <w:pPr>
                    <w:keepNext w:val="0"/>
                    <w:keepLines w:val="0"/>
                    <w:pageBreakBefore w:val="0"/>
                    <w:widowControl w:val="0"/>
                    <w:kinsoku/>
                    <w:wordWrap/>
                    <w:overflowPunct/>
                    <w:topLinePunct w:val="0"/>
                    <w:autoSpaceDE/>
                    <w:autoSpaceDN/>
                    <w:bidi w:val="0"/>
                    <w:adjustRightInd/>
                    <w:snapToGrid/>
                    <w:ind w:left="0"/>
                    <w:jc w:val="center"/>
                    <w:textAlignment w:val="auto"/>
                    <w:rPr>
                      <w:rFonts w:hint="eastAsia" w:ascii="Times New Roman" w:hAnsi="Times New Roman" w:eastAsia="宋体" w:cs="Times New Roman"/>
                      <w:color w:val="000000" w:themeColor="text1"/>
                      <w:sz w:val="21"/>
                      <w:szCs w:val="21"/>
                      <w:shd w:val="clear" w:color="auto" w:fill="auto"/>
                      <w:lang w:eastAsia="zh-CN"/>
                      <w14:textFill>
                        <w14:solidFill>
                          <w14:schemeClr w14:val="tx1"/>
                        </w14:solidFill>
                      </w14:textFill>
                    </w:rPr>
                  </w:pPr>
                </w:p>
              </w:tc>
            </w:tr>
            <w:tr w14:paraId="3EBD7A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383" w:type="pct"/>
                  <w:vMerge w:val="continue"/>
                  <w:tcBorders>
                    <w:tl2br w:val="nil"/>
                    <w:tr2bl w:val="nil"/>
                  </w:tcBorders>
                  <w:noWrap w:val="0"/>
                  <w:vAlign w:val="center"/>
                </w:tcPr>
                <w:p w14:paraId="3CB552D2">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highlight w:val="yellow"/>
                      <w:shd w:val="clear" w:color="auto" w:fill="auto"/>
                      <w14:textFill>
                        <w14:solidFill>
                          <w14:schemeClr w14:val="tx1"/>
                        </w14:solidFill>
                      </w14:textFill>
                    </w:rPr>
                  </w:pPr>
                </w:p>
              </w:tc>
              <w:tc>
                <w:tcPr>
                  <w:tcW w:w="819" w:type="pct"/>
                  <w:vMerge w:val="continue"/>
                  <w:tcBorders>
                    <w:tl2br w:val="nil"/>
                    <w:tr2bl w:val="nil"/>
                  </w:tcBorders>
                  <w:noWrap w:val="0"/>
                  <w:vAlign w:val="center"/>
                </w:tcPr>
                <w:p w14:paraId="181EB448">
                  <w:pPr>
                    <w:keepNext w:val="0"/>
                    <w:keepLines w:val="0"/>
                    <w:pageBreakBefore w:val="0"/>
                    <w:widowControl w:val="0"/>
                    <w:kinsoku/>
                    <w:wordWrap/>
                    <w:overflowPunct/>
                    <w:topLinePunct w:val="0"/>
                    <w:autoSpaceDE/>
                    <w:autoSpaceDN/>
                    <w:bidi w:val="0"/>
                    <w:adjustRightInd/>
                    <w:snapToGrid/>
                    <w:ind w:left="0"/>
                    <w:jc w:val="center"/>
                    <w:textAlignment w:val="auto"/>
                    <w:rPr>
                      <w:rFonts w:hint="default" w:ascii="Times New Roman" w:hAnsi="Times New Roman" w:eastAsia="宋体" w:cs="Times New Roman"/>
                      <w:color w:val="000000" w:themeColor="text1"/>
                      <w:sz w:val="21"/>
                      <w:szCs w:val="21"/>
                      <w:shd w:val="clear" w:color="auto" w:fill="auto"/>
                      <w14:textFill>
                        <w14:solidFill>
                          <w14:schemeClr w14:val="tx1"/>
                        </w14:solidFill>
                      </w14:textFill>
                    </w:rPr>
                  </w:pPr>
                </w:p>
              </w:tc>
              <w:tc>
                <w:tcPr>
                  <w:tcW w:w="1073" w:type="pct"/>
                  <w:tcBorders>
                    <w:tl2br w:val="nil"/>
                    <w:tr2bl w:val="nil"/>
                  </w:tcBorders>
                  <w:noWrap w:val="0"/>
                  <w:vAlign w:val="center"/>
                </w:tcPr>
                <w:p w14:paraId="6C8A3EC0">
                  <w:pPr>
                    <w:pStyle w:val="22"/>
                    <w:keepNext w:val="0"/>
                    <w:keepLines w:val="0"/>
                    <w:pageBreakBefore w:val="0"/>
                    <w:widowControl w:val="0"/>
                    <w:kinsoku/>
                    <w:wordWrap/>
                    <w:overflowPunct/>
                    <w:topLinePunct w:val="0"/>
                    <w:autoSpaceDE/>
                    <w:autoSpaceDN/>
                    <w:bidi w:val="0"/>
                    <w:adjustRightInd/>
                    <w:snapToGrid/>
                    <w:ind w:left="0"/>
                    <w:jc w:val="center"/>
                    <w:textAlignment w:val="auto"/>
                    <w:rPr>
                      <w:rFonts w:hint="eastAsia" w:ascii="Times New Roman" w:hAnsi="Times New Roman" w:eastAsia="宋体" w:cs="Times New Roman"/>
                      <w:color w:val="000000" w:themeColor="text1"/>
                      <w:sz w:val="21"/>
                      <w:szCs w:val="21"/>
                      <w:shd w:val="clear" w:color="auto" w:fill="auto"/>
                      <w:lang w:eastAsia="zh-CN"/>
                      <w14:textFill>
                        <w14:solidFill>
                          <w14:schemeClr w14:val="tx1"/>
                        </w14:solidFill>
                      </w14:textFill>
                    </w:rPr>
                  </w:pPr>
                  <w:r>
                    <w:rPr>
                      <w:rFonts w:hint="eastAsia" w:ascii="Times New Roman" w:hAnsi="Times New Roman" w:eastAsia="宋体" w:cs="Times New Roman"/>
                      <w:color w:val="000000" w:themeColor="text1"/>
                      <w:sz w:val="21"/>
                      <w:szCs w:val="21"/>
                      <w:shd w:val="clear" w:color="auto" w:fill="auto"/>
                      <w:lang w:eastAsia="zh-CN"/>
                      <w14:textFill>
                        <w14:solidFill>
                          <w14:schemeClr w14:val="tx1"/>
                        </w14:solidFill>
                      </w14:textFill>
                    </w:rPr>
                    <w:t>生活垃圾</w:t>
                  </w:r>
                </w:p>
              </w:tc>
              <w:tc>
                <w:tcPr>
                  <w:tcW w:w="980" w:type="pct"/>
                  <w:tcBorders>
                    <w:tl2br w:val="nil"/>
                    <w:tr2bl w:val="nil"/>
                  </w:tcBorders>
                  <w:noWrap w:val="0"/>
                  <w:vAlign w:val="center"/>
                </w:tcPr>
                <w:p w14:paraId="3BC53C2E">
                  <w:pPr>
                    <w:pStyle w:val="22"/>
                    <w:keepNext w:val="0"/>
                    <w:keepLines w:val="0"/>
                    <w:pageBreakBefore w:val="0"/>
                    <w:widowControl w:val="0"/>
                    <w:kinsoku/>
                    <w:wordWrap/>
                    <w:overflowPunct/>
                    <w:topLinePunct w:val="0"/>
                    <w:autoSpaceDE/>
                    <w:autoSpaceDN/>
                    <w:bidi w:val="0"/>
                    <w:adjustRightInd/>
                    <w:snapToGrid/>
                    <w:ind w:left="0"/>
                    <w:jc w:val="center"/>
                    <w:textAlignment w:val="auto"/>
                    <w:rPr>
                      <w:rFonts w:hint="eastAsia" w:ascii="Times New Roman" w:hAnsi="Times New Roman" w:eastAsia="宋体" w:cs="Times New Roman"/>
                      <w:color w:val="000000" w:themeColor="text1"/>
                      <w:sz w:val="21"/>
                      <w:szCs w:val="21"/>
                      <w:shd w:val="clear" w:color="auto" w:fill="auto"/>
                      <w:lang w:eastAsia="zh-CN"/>
                      <w14:textFill>
                        <w14:solidFill>
                          <w14:schemeClr w14:val="tx1"/>
                        </w14:solidFill>
                      </w14:textFill>
                    </w:rPr>
                  </w:pPr>
                  <w:r>
                    <w:rPr>
                      <w:rFonts w:hint="eastAsia" w:ascii="Times New Roman" w:hAnsi="Times New Roman" w:eastAsia="宋体" w:cs="Times New Roman"/>
                      <w:color w:val="000000" w:themeColor="text1"/>
                      <w:sz w:val="21"/>
                      <w:szCs w:val="21"/>
                      <w:shd w:val="clear" w:color="auto" w:fill="auto"/>
                      <w:lang w:eastAsia="zh-CN"/>
                      <w14:textFill>
                        <w14:solidFill>
                          <w14:schemeClr w14:val="tx1"/>
                        </w14:solidFill>
                      </w14:textFill>
                    </w:rPr>
                    <w:t>交由环卫部门处理</w:t>
                  </w:r>
                </w:p>
              </w:tc>
              <w:tc>
                <w:tcPr>
                  <w:tcW w:w="1743" w:type="pct"/>
                  <w:tcBorders>
                    <w:tl2br w:val="nil"/>
                    <w:tr2bl w:val="nil"/>
                  </w:tcBorders>
                  <w:noWrap w:val="0"/>
                  <w:vAlign w:val="center"/>
                </w:tcPr>
                <w:p w14:paraId="382320BD">
                  <w:pPr>
                    <w:keepNext w:val="0"/>
                    <w:keepLines w:val="0"/>
                    <w:pageBreakBefore w:val="0"/>
                    <w:widowControl w:val="0"/>
                    <w:kinsoku/>
                    <w:wordWrap/>
                    <w:overflowPunct/>
                    <w:topLinePunct w:val="0"/>
                    <w:autoSpaceDE/>
                    <w:autoSpaceDN/>
                    <w:bidi w:val="0"/>
                    <w:adjustRightInd/>
                    <w:snapToGrid/>
                    <w:ind w:left="0"/>
                    <w:jc w:val="center"/>
                    <w:textAlignment w:val="auto"/>
                    <w:rPr>
                      <w:rFonts w:hint="eastAsia" w:ascii="Times New Roman" w:hAnsi="Times New Roman" w:eastAsia="宋体" w:cs="Times New Roman"/>
                      <w:color w:val="000000" w:themeColor="text1"/>
                      <w:sz w:val="21"/>
                      <w:szCs w:val="21"/>
                      <w:shd w:val="clear" w:color="auto" w:fill="auto"/>
                      <w:lang w:eastAsia="zh-CN"/>
                      <w14:textFill>
                        <w14:solidFill>
                          <w14:schemeClr w14:val="tx1"/>
                        </w14:solidFill>
                      </w14:textFill>
                    </w:rPr>
                  </w:pPr>
                  <w:r>
                    <w:rPr>
                      <w:rFonts w:hint="eastAsia" w:ascii="Times New Roman" w:hAnsi="Times New Roman" w:eastAsia="宋体" w:cs="Times New Roman"/>
                      <w:color w:val="000000" w:themeColor="text1"/>
                      <w:sz w:val="21"/>
                      <w:szCs w:val="21"/>
                      <w:shd w:val="clear" w:color="auto" w:fill="auto"/>
                      <w:lang w:eastAsia="zh-CN"/>
                      <w14:textFill>
                        <w14:solidFill>
                          <w14:schemeClr w14:val="tx1"/>
                        </w14:solidFill>
                      </w14:textFill>
                    </w:rPr>
                    <w:t>交由环卫部门处理</w:t>
                  </w:r>
                </w:p>
              </w:tc>
            </w:tr>
          </w:tbl>
          <w:p w14:paraId="5987F42B">
            <w:pPr>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（2）现有项目主要生产设备</w:t>
            </w:r>
          </w:p>
          <w:p w14:paraId="4FAF0CE8">
            <w:pPr>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表2-</w:t>
            </w:r>
            <w:r>
              <w:rPr>
                <w:rFonts w:hint="eastAsia"/>
                <w:b/>
                <w:bCs/>
                <w:color w:val="000000" w:themeColor="text1"/>
                <w:sz w:val="24"/>
                <w:lang w:val="en-US" w:eastAsia="zh-CN"/>
                <w14:textFill>
                  <w14:solidFill>
                    <w14:schemeClr w14:val="tx1"/>
                  </w14:solidFill>
                </w14:textFill>
              </w:rPr>
              <w:t>10</w:t>
            </w:r>
            <w:r>
              <w:rPr>
                <w:b/>
                <w:bCs/>
                <w:color w:val="000000" w:themeColor="text1"/>
                <w:sz w:val="24"/>
                <w14:textFill>
                  <w14:solidFill>
                    <w14:schemeClr w14:val="tx1"/>
                  </w14:solidFill>
                </w14:textFill>
              </w:rPr>
              <w:t xml:space="preserve">   </w:t>
            </w:r>
            <w:r>
              <w:rPr>
                <w:rFonts w:hint="eastAsia"/>
                <w:b/>
                <w:bCs/>
                <w:color w:val="000000" w:themeColor="text1"/>
                <w:sz w:val="24"/>
                <w14:textFill>
                  <w14:solidFill>
                    <w14:schemeClr w14:val="tx1"/>
                  </w14:solidFill>
                </w14:textFill>
              </w:rPr>
              <w:t>现有</w:t>
            </w:r>
            <w:r>
              <w:rPr>
                <w:b/>
                <w:bCs/>
                <w:color w:val="000000" w:themeColor="text1"/>
                <w:sz w:val="24"/>
                <w14:textFill>
                  <w14:solidFill>
                    <w14:schemeClr w14:val="tx1"/>
                  </w14:solidFill>
                </w14:textFill>
              </w:rPr>
              <w:t>项目主要生产设备</w:t>
            </w:r>
          </w:p>
          <w:tbl>
            <w:tblPr>
              <w:tblStyle w:val="45"/>
              <w:tblW w:w="5000"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108" w:type="dxa"/>
                <w:bottom w:w="0" w:type="dxa"/>
                <w:right w:w="108" w:type="dxa"/>
              </w:tblCellMar>
            </w:tblPr>
            <w:tblGrid>
              <w:gridCol w:w="1990"/>
              <w:gridCol w:w="3173"/>
              <w:gridCol w:w="1786"/>
              <w:gridCol w:w="2088"/>
            </w:tblGrid>
            <w:tr w14:paraId="775B037A">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27" w:hRule="atLeast"/>
                <w:jc w:val="center"/>
              </w:trPr>
              <w:tc>
                <w:tcPr>
                  <w:tcW w:w="1101" w:type="pct"/>
                  <w:vAlign w:val="center"/>
                </w:tcPr>
                <w:p w14:paraId="098F00B8">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序号</w:t>
                  </w:r>
                </w:p>
              </w:tc>
              <w:tc>
                <w:tcPr>
                  <w:tcW w:w="1755" w:type="pct"/>
                  <w:vAlign w:val="center"/>
                </w:tcPr>
                <w:p w14:paraId="4E1B3D8D">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设备名称</w:t>
                  </w:r>
                </w:p>
              </w:tc>
              <w:tc>
                <w:tcPr>
                  <w:tcW w:w="988" w:type="pct"/>
                  <w:vAlign w:val="center"/>
                </w:tcPr>
                <w:p w14:paraId="06153899">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环评规格型号</w:t>
                  </w:r>
                </w:p>
              </w:tc>
              <w:tc>
                <w:tcPr>
                  <w:tcW w:w="1155" w:type="pct"/>
                  <w:vAlign w:val="center"/>
                </w:tcPr>
                <w:p w14:paraId="7728E80C">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环评设计数量</w:t>
                  </w:r>
                </w:p>
              </w:tc>
            </w:tr>
            <w:tr w14:paraId="46C7B91C">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27" w:hRule="atLeast"/>
                <w:jc w:val="center"/>
              </w:trPr>
              <w:tc>
                <w:tcPr>
                  <w:tcW w:w="1101" w:type="pct"/>
                  <w:vAlign w:val="center"/>
                </w:tcPr>
                <w:p w14:paraId="79A1478B">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w:t>
                  </w:r>
                </w:p>
              </w:tc>
              <w:tc>
                <w:tcPr>
                  <w:tcW w:w="1755" w:type="pct"/>
                  <w:vAlign w:val="bottom"/>
                </w:tcPr>
                <w:p w14:paraId="3B4292D0">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HS180商品混凝土生产线</w:t>
                  </w:r>
                </w:p>
              </w:tc>
              <w:tc>
                <w:tcPr>
                  <w:tcW w:w="988" w:type="pct"/>
                  <w:vAlign w:val="bottom"/>
                </w:tcPr>
                <w:p w14:paraId="0406FE06">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100m</w:t>
                  </w:r>
                  <w:r>
                    <w:rPr>
                      <w:rFonts w:hint="eastAsia"/>
                      <w:color w:val="000000" w:themeColor="text1"/>
                      <w:kern w:val="0"/>
                      <w:sz w:val="18"/>
                      <w:szCs w:val="18"/>
                      <w:vertAlign w:val="superscript"/>
                      <w14:textFill>
                        <w14:solidFill>
                          <w14:schemeClr w14:val="tx1"/>
                        </w14:solidFill>
                      </w14:textFill>
                    </w:rPr>
                    <w:t>3</w:t>
                  </w:r>
                  <w:r>
                    <w:rPr>
                      <w:color w:val="000000" w:themeColor="text1"/>
                      <w:kern w:val="0"/>
                      <w:sz w:val="18"/>
                      <w:szCs w:val="18"/>
                      <w14:textFill>
                        <w14:solidFill>
                          <w14:schemeClr w14:val="tx1"/>
                        </w14:solidFill>
                      </w14:textFill>
                    </w:rPr>
                    <w:t>/h</w:t>
                  </w:r>
                </w:p>
              </w:tc>
              <w:tc>
                <w:tcPr>
                  <w:tcW w:w="1155" w:type="pct"/>
                  <w:vAlign w:val="bottom"/>
                </w:tcPr>
                <w:p w14:paraId="1B4BD219">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2条</w:t>
                  </w:r>
                </w:p>
              </w:tc>
            </w:tr>
            <w:tr w14:paraId="76D6ED95">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27" w:hRule="atLeast"/>
                <w:jc w:val="center"/>
              </w:trPr>
              <w:tc>
                <w:tcPr>
                  <w:tcW w:w="1101" w:type="pct"/>
                  <w:vAlign w:val="center"/>
                </w:tcPr>
                <w:p w14:paraId="77155191">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2</w:t>
                  </w:r>
                </w:p>
              </w:tc>
              <w:tc>
                <w:tcPr>
                  <w:tcW w:w="1755" w:type="pct"/>
                  <w:vAlign w:val="bottom"/>
                </w:tcPr>
                <w:p w14:paraId="07E7252F">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配套筒料仓</w:t>
                  </w:r>
                </w:p>
              </w:tc>
              <w:tc>
                <w:tcPr>
                  <w:tcW w:w="988" w:type="pct"/>
                  <w:vAlign w:val="bottom"/>
                </w:tcPr>
                <w:p w14:paraId="498A3924">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200m</w:t>
                  </w:r>
                  <w:r>
                    <w:rPr>
                      <w:rFonts w:hint="eastAsia"/>
                      <w:color w:val="000000" w:themeColor="text1"/>
                      <w:kern w:val="0"/>
                      <w:sz w:val="18"/>
                      <w:szCs w:val="18"/>
                      <w:vertAlign w:val="superscript"/>
                      <w14:textFill>
                        <w14:solidFill>
                          <w14:schemeClr w14:val="tx1"/>
                        </w14:solidFill>
                      </w14:textFill>
                    </w:rPr>
                    <w:t>3</w:t>
                  </w:r>
                </w:p>
              </w:tc>
              <w:tc>
                <w:tcPr>
                  <w:tcW w:w="1155" w:type="pct"/>
                  <w:vAlign w:val="bottom"/>
                </w:tcPr>
                <w:p w14:paraId="56BEF557">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10个</w:t>
                  </w:r>
                </w:p>
              </w:tc>
            </w:tr>
            <w:tr w14:paraId="6A490D21">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27" w:hRule="atLeast"/>
                <w:jc w:val="center"/>
              </w:trPr>
              <w:tc>
                <w:tcPr>
                  <w:tcW w:w="1101" w:type="pct"/>
                  <w:vAlign w:val="center"/>
                </w:tcPr>
                <w:p w14:paraId="2E656B4F">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3</w:t>
                  </w:r>
                </w:p>
              </w:tc>
              <w:tc>
                <w:tcPr>
                  <w:tcW w:w="1755" w:type="pct"/>
                  <w:vAlign w:val="bottom"/>
                </w:tcPr>
                <w:p w14:paraId="03D28B0C">
                  <w:pPr>
                    <w:widowControl/>
                    <w:tabs>
                      <w:tab w:val="center" w:pos="1095"/>
                      <w:tab w:val="right" w:pos="2071"/>
                    </w:tabs>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混凝土预制件生产线</w:t>
                  </w:r>
                </w:p>
              </w:tc>
              <w:tc>
                <w:tcPr>
                  <w:tcW w:w="988" w:type="pct"/>
                  <w:vAlign w:val="bottom"/>
                </w:tcPr>
                <w:p w14:paraId="3F2CFA91">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w:t>
                  </w:r>
                </w:p>
              </w:tc>
              <w:tc>
                <w:tcPr>
                  <w:tcW w:w="1155" w:type="pct"/>
                  <w:vAlign w:val="bottom"/>
                </w:tcPr>
                <w:p w14:paraId="3B9550C9">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3条</w:t>
                  </w:r>
                </w:p>
              </w:tc>
            </w:tr>
            <w:tr w14:paraId="65C79E57">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27" w:hRule="atLeast"/>
                <w:jc w:val="center"/>
              </w:trPr>
              <w:tc>
                <w:tcPr>
                  <w:tcW w:w="1101" w:type="pct"/>
                  <w:vAlign w:val="center"/>
                </w:tcPr>
                <w:p w14:paraId="0F898A3A">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4</w:t>
                  </w:r>
                </w:p>
              </w:tc>
              <w:tc>
                <w:tcPr>
                  <w:tcW w:w="1755" w:type="pct"/>
                  <w:vAlign w:val="bottom"/>
                </w:tcPr>
                <w:p w14:paraId="2A888161">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泵车</w:t>
                  </w:r>
                </w:p>
              </w:tc>
              <w:tc>
                <w:tcPr>
                  <w:tcW w:w="988" w:type="pct"/>
                  <w:vAlign w:val="bottom"/>
                </w:tcPr>
                <w:p w14:paraId="51D82374">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49m</w:t>
                  </w:r>
                </w:p>
              </w:tc>
              <w:tc>
                <w:tcPr>
                  <w:tcW w:w="1155" w:type="pct"/>
                  <w:vAlign w:val="bottom"/>
                </w:tcPr>
                <w:p w14:paraId="6BD50256">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2台</w:t>
                  </w:r>
                </w:p>
              </w:tc>
            </w:tr>
            <w:tr w14:paraId="0FB349BD">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27" w:hRule="atLeast"/>
                <w:jc w:val="center"/>
              </w:trPr>
              <w:tc>
                <w:tcPr>
                  <w:tcW w:w="1101" w:type="pct"/>
                  <w:vAlign w:val="center"/>
                </w:tcPr>
                <w:p w14:paraId="36126E9C">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5</w:t>
                  </w:r>
                </w:p>
              </w:tc>
              <w:tc>
                <w:tcPr>
                  <w:tcW w:w="1755" w:type="pct"/>
                  <w:vAlign w:val="bottom"/>
                </w:tcPr>
                <w:p w14:paraId="7C2A2BF0">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车载泵</w:t>
                  </w:r>
                </w:p>
              </w:tc>
              <w:tc>
                <w:tcPr>
                  <w:tcW w:w="988" w:type="pct"/>
                  <w:vAlign w:val="bottom"/>
                </w:tcPr>
                <w:p w14:paraId="78E48B26">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w:t>
                  </w:r>
                </w:p>
              </w:tc>
              <w:tc>
                <w:tcPr>
                  <w:tcW w:w="1155" w:type="pct"/>
                  <w:vAlign w:val="bottom"/>
                </w:tcPr>
                <w:p w14:paraId="72BB1F79">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1台</w:t>
                  </w:r>
                </w:p>
              </w:tc>
            </w:tr>
            <w:tr w14:paraId="5405E793">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27" w:hRule="atLeast"/>
                <w:jc w:val="center"/>
              </w:trPr>
              <w:tc>
                <w:tcPr>
                  <w:tcW w:w="1101" w:type="pct"/>
                  <w:vAlign w:val="center"/>
                </w:tcPr>
                <w:p w14:paraId="6C2096F9">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6</w:t>
                  </w:r>
                </w:p>
              </w:tc>
              <w:tc>
                <w:tcPr>
                  <w:tcW w:w="1755" w:type="pct"/>
                  <w:vAlign w:val="bottom"/>
                </w:tcPr>
                <w:p w14:paraId="394CBAF4">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混凝土罐车</w:t>
                  </w:r>
                </w:p>
              </w:tc>
              <w:tc>
                <w:tcPr>
                  <w:tcW w:w="988" w:type="pct"/>
                  <w:vAlign w:val="bottom"/>
                </w:tcPr>
                <w:p w14:paraId="4FACFD14">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12m</w:t>
                  </w:r>
                  <w:r>
                    <w:rPr>
                      <w:rFonts w:hint="eastAsia"/>
                      <w:color w:val="000000" w:themeColor="text1"/>
                      <w:kern w:val="0"/>
                      <w:sz w:val="18"/>
                      <w:szCs w:val="18"/>
                      <w:vertAlign w:val="superscript"/>
                      <w14:textFill>
                        <w14:solidFill>
                          <w14:schemeClr w14:val="tx1"/>
                        </w14:solidFill>
                      </w14:textFill>
                    </w:rPr>
                    <w:t>3</w:t>
                  </w:r>
                </w:p>
              </w:tc>
              <w:tc>
                <w:tcPr>
                  <w:tcW w:w="1155" w:type="pct"/>
                  <w:vAlign w:val="bottom"/>
                </w:tcPr>
                <w:p w14:paraId="3A75CB52">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14台</w:t>
                  </w:r>
                </w:p>
              </w:tc>
            </w:tr>
            <w:tr w14:paraId="0FC00C19">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27" w:hRule="atLeast"/>
                <w:jc w:val="center"/>
              </w:trPr>
              <w:tc>
                <w:tcPr>
                  <w:tcW w:w="1101" w:type="pct"/>
                  <w:vAlign w:val="center"/>
                </w:tcPr>
                <w:p w14:paraId="0191C3A1">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7</w:t>
                  </w:r>
                </w:p>
              </w:tc>
              <w:tc>
                <w:tcPr>
                  <w:tcW w:w="1755" w:type="pct"/>
                  <w:vAlign w:val="bottom"/>
                </w:tcPr>
                <w:p w14:paraId="500AA711">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装载机</w:t>
                  </w:r>
                </w:p>
              </w:tc>
              <w:tc>
                <w:tcPr>
                  <w:tcW w:w="988" w:type="pct"/>
                  <w:vAlign w:val="bottom"/>
                </w:tcPr>
                <w:p w14:paraId="43B81E21">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w:t>
                  </w:r>
                </w:p>
              </w:tc>
              <w:tc>
                <w:tcPr>
                  <w:tcW w:w="1155" w:type="pct"/>
                  <w:vAlign w:val="bottom"/>
                </w:tcPr>
                <w:p w14:paraId="0968ACF6">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5台</w:t>
                  </w:r>
                </w:p>
              </w:tc>
            </w:tr>
            <w:tr w14:paraId="3A6D9BA7">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27" w:hRule="atLeast"/>
                <w:jc w:val="center"/>
              </w:trPr>
              <w:tc>
                <w:tcPr>
                  <w:tcW w:w="1101" w:type="pct"/>
                  <w:vAlign w:val="center"/>
                </w:tcPr>
                <w:p w14:paraId="559CCD6F">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8</w:t>
                  </w:r>
                </w:p>
              </w:tc>
              <w:tc>
                <w:tcPr>
                  <w:tcW w:w="1755" w:type="pct"/>
                  <w:vAlign w:val="bottom"/>
                </w:tcPr>
                <w:p w14:paraId="7B81F78F">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洒水车</w:t>
                  </w:r>
                </w:p>
              </w:tc>
              <w:tc>
                <w:tcPr>
                  <w:tcW w:w="988" w:type="pct"/>
                  <w:vAlign w:val="bottom"/>
                </w:tcPr>
                <w:p w14:paraId="440319CB">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5t</w:t>
                  </w:r>
                </w:p>
              </w:tc>
              <w:tc>
                <w:tcPr>
                  <w:tcW w:w="1155" w:type="pct"/>
                  <w:vAlign w:val="bottom"/>
                </w:tcPr>
                <w:p w14:paraId="46014980">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1台</w:t>
                  </w:r>
                </w:p>
              </w:tc>
            </w:tr>
          </w:tbl>
          <w:p w14:paraId="19F91B94">
            <w:pPr>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（3）现有项目原辅材料</w:t>
            </w:r>
          </w:p>
          <w:p w14:paraId="04A3C24E">
            <w:pPr>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表2-1</w:t>
            </w:r>
            <w:r>
              <w:rPr>
                <w:rFonts w:hint="eastAsia"/>
                <w:b/>
                <w:bCs/>
                <w:color w:val="000000" w:themeColor="text1"/>
                <w:sz w:val="24"/>
                <w:lang w:val="en-US" w:eastAsia="zh-CN"/>
                <w14:textFill>
                  <w14:solidFill>
                    <w14:schemeClr w14:val="tx1"/>
                  </w14:solidFill>
                </w14:textFill>
              </w:rPr>
              <w:t>1</w:t>
            </w:r>
            <w:r>
              <w:rPr>
                <w:b/>
                <w:bCs/>
                <w:color w:val="000000" w:themeColor="text1"/>
                <w:sz w:val="24"/>
                <w14:textFill>
                  <w14:solidFill>
                    <w14:schemeClr w14:val="tx1"/>
                  </w14:solidFill>
                </w14:textFill>
              </w:rPr>
              <w:t xml:space="preserve">    </w:t>
            </w:r>
            <w:r>
              <w:rPr>
                <w:rFonts w:hint="eastAsia"/>
                <w:b/>
                <w:bCs/>
                <w:color w:val="000000" w:themeColor="text1"/>
                <w:sz w:val="24"/>
                <w14:textFill>
                  <w14:solidFill>
                    <w14:schemeClr w14:val="tx1"/>
                  </w14:solidFill>
                </w14:textFill>
              </w:rPr>
              <w:t>现有项目</w:t>
            </w:r>
            <w:r>
              <w:rPr>
                <w:b/>
                <w:bCs/>
                <w:color w:val="000000" w:themeColor="text1"/>
                <w:sz w:val="24"/>
                <w14:textFill>
                  <w14:solidFill>
                    <w14:schemeClr w14:val="tx1"/>
                  </w14:solidFill>
                </w14:textFill>
              </w:rPr>
              <w:t>主要原辅材料</w:t>
            </w:r>
            <w:r>
              <w:rPr>
                <w:rFonts w:hint="eastAsia"/>
                <w:b/>
                <w:bCs/>
                <w:color w:val="000000" w:themeColor="text1"/>
                <w:sz w:val="24"/>
                <w14:textFill>
                  <w14:solidFill>
                    <w14:schemeClr w14:val="tx1"/>
                  </w14:solidFill>
                </w14:textFill>
              </w:rPr>
              <w:t>及能源消耗</w:t>
            </w:r>
            <w:r>
              <w:rPr>
                <w:b/>
                <w:bCs/>
                <w:color w:val="000000" w:themeColor="text1"/>
                <w:sz w:val="24"/>
                <w14:textFill>
                  <w14:solidFill>
                    <w14:schemeClr w14:val="tx1"/>
                  </w14:solidFill>
                </w14:textFill>
              </w:rPr>
              <w:t>一览表</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992"/>
              <w:gridCol w:w="1404"/>
              <w:gridCol w:w="1390"/>
              <w:gridCol w:w="1527"/>
              <w:gridCol w:w="1390"/>
              <w:gridCol w:w="1525"/>
              <w:gridCol w:w="809"/>
            </w:tblGrid>
            <w:tr w14:paraId="1AF9AAB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49" w:type="pct"/>
                </w:tcPr>
                <w:p w14:paraId="1961CD08">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序号</w:t>
                  </w:r>
                </w:p>
              </w:tc>
              <w:tc>
                <w:tcPr>
                  <w:tcW w:w="777" w:type="pct"/>
                  <w:vAlign w:val="center"/>
                </w:tcPr>
                <w:p w14:paraId="58036334">
                  <w:pPr>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名称</w:t>
                  </w:r>
                </w:p>
              </w:tc>
              <w:tc>
                <w:tcPr>
                  <w:tcW w:w="769" w:type="pct"/>
                  <w:vAlign w:val="center"/>
                </w:tcPr>
                <w:p w14:paraId="15019DAE">
                  <w:pPr>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年用量</w:t>
                  </w:r>
                </w:p>
              </w:tc>
              <w:tc>
                <w:tcPr>
                  <w:tcW w:w="845" w:type="pct"/>
                  <w:vAlign w:val="center"/>
                </w:tcPr>
                <w:p w14:paraId="7A0AE33D">
                  <w:pPr>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日常最大储存量</w:t>
                  </w:r>
                </w:p>
              </w:tc>
              <w:tc>
                <w:tcPr>
                  <w:tcW w:w="769" w:type="pct"/>
                  <w:vAlign w:val="center"/>
                </w:tcPr>
                <w:p w14:paraId="0EBCA2DC">
                  <w:pPr>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年周转次数</w:t>
                  </w:r>
                </w:p>
              </w:tc>
              <w:tc>
                <w:tcPr>
                  <w:tcW w:w="844" w:type="pct"/>
                  <w:vAlign w:val="center"/>
                </w:tcPr>
                <w:p w14:paraId="75C08399">
                  <w:pPr>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来源</w:t>
                  </w:r>
                </w:p>
              </w:tc>
              <w:tc>
                <w:tcPr>
                  <w:tcW w:w="447" w:type="pct"/>
                  <w:vAlign w:val="center"/>
                </w:tcPr>
                <w:p w14:paraId="75856ED4">
                  <w:pPr>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备注</w:t>
                  </w:r>
                </w:p>
              </w:tc>
            </w:tr>
            <w:tr w14:paraId="6C281A4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49" w:type="pct"/>
                </w:tcPr>
                <w:p w14:paraId="7717C18A">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w:t>
                  </w:r>
                </w:p>
              </w:tc>
              <w:tc>
                <w:tcPr>
                  <w:tcW w:w="777" w:type="pct"/>
                  <w:vAlign w:val="bottom"/>
                </w:tcPr>
                <w:p w14:paraId="6568C3C4">
                  <w:pPr>
                    <w:jc w:val="center"/>
                    <w:rPr>
                      <w:rFonts w:eastAsia="新宋体"/>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水泥</w:t>
                  </w:r>
                </w:p>
              </w:tc>
              <w:tc>
                <w:tcPr>
                  <w:tcW w:w="769" w:type="pct"/>
                  <w:vAlign w:val="bottom"/>
                </w:tcPr>
                <w:p w14:paraId="7F2B211F">
                  <w:pPr>
                    <w:jc w:val="center"/>
                    <w:rPr>
                      <w:rFonts w:eastAsia="新宋体"/>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63.36</w:t>
                  </w:r>
                  <w:r>
                    <w:rPr>
                      <w:rFonts w:hint="eastAsia"/>
                      <w:color w:val="000000" w:themeColor="text1"/>
                      <w:sz w:val="18"/>
                      <w:szCs w:val="18"/>
                      <w14:textFill>
                        <w14:solidFill>
                          <w14:schemeClr w14:val="tx1"/>
                        </w14:solidFill>
                      </w14:textFill>
                    </w:rPr>
                    <w:t>万吨/a</w:t>
                  </w:r>
                </w:p>
              </w:tc>
              <w:tc>
                <w:tcPr>
                  <w:tcW w:w="845" w:type="pct"/>
                  <w:vAlign w:val="bottom"/>
                </w:tcPr>
                <w:p w14:paraId="34A2AA2F">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6.363万吨/a</w:t>
                  </w:r>
                </w:p>
              </w:tc>
              <w:tc>
                <w:tcPr>
                  <w:tcW w:w="769" w:type="pct"/>
                  <w:vAlign w:val="center"/>
                </w:tcPr>
                <w:p w14:paraId="5F6793BB">
                  <w:pPr>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1</w:t>
                  </w:r>
                  <w:r>
                    <w:rPr>
                      <w:rFonts w:hint="eastAsia" w:eastAsia="新宋体"/>
                      <w:color w:val="000000" w:themeColor="text1"/>
                      <w:sz w:val="18"/>
                      <w:szCs w:val="18"/>
                      <w14:textFill>
                        <w14:solidFill>
                          <w14:schemeClr w14:val="tx1"/>
                        </w14:solidFill>
                      </w14:textFill>
                    </w:rPr>
                    <w:t>0</w:t>
                  </w:r>
                </w:p>
              </w:tc>
              <w:tc>
                <w:tcPr>
                  <w:tcW w:w="844" w:type="pct"/>
                  <w:vAlign w:val="center"/>
                </w:tcPr>
                <w:p w14:paraId="239B51CA">
                  <w:pPr>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外购</w:t>
                  </w:r>
                </w:p>
              </w:tc>
              <w:tc>
                <w:tcPr>
                  <w:tcW w:w="447" w:type="pct"/>
                  <w:vAlign w:val="center"/>
                </w:tcPr>
                <w:p w14:paraId="189D7898">
                  <w:pPr>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w:t>
                  </w:r>
                </w:p>
              </w:tc>
            </w:tr>
            <w:tr w14:paraId="68A2204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49" w:type="pct"/>
                </w:tcPr>
                <w:p w14:paraId="59845B46">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w:t>
                  </w:r>
                </w:p>
              </w:tc>
              <w:tc>
                <w:tcPr>
                  <w:tcW w:w="777" w:type="pct"/>
                  <w:vAlign w:val="center"/>
                </w:tcPr>
                <w:p w14:paraId="45AE6BAA">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砂子</w:t>
                  </w:r>
                </w:p>
              </w:tc>
              <w:tc>
                <w:tcPr>
                  <w:tcW w:w="769" w:type="pct"/>
                  <w:vAlign w:val="center"/>
                </w:tcPr>
                <w:p w14:paraId="4F652D6D">
                  <w:pPr>
                    <w:jc w:val="center"/>
                    <w:rPr>
                      <w:rFonts w:eastAsia="新宋体"/>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52.56</w:t>
                  </w:r>
                  <w:r>
                    <w:rPr>
                      <w:rFonts w:hint="eastAsia"/>
                      <w:color w:val="000000" w:themeColor="text1"/>
                      <w:sz w:val="18"/>
                      <w:szCs w:val="18"/>
                      <w14:textFill>
                        <w14:solidFill>
                          <w14:schemeClr w14:val="tx1"/>
                        </w14:solidFill>
                      </w14:textFill>
                    </w:rPr>
                    <w:t>万吨/a</w:t>
                  </w:r>
                </w:p>
              </w:tc>
              <w:tc>
                <w:tcPr>
                  <w:tcW w:w="845" w:type="pct"/>
                  <w:vAlign w:val="center"/>
                </w:tcPr>
                <w:p w14:paraId="778C922D">
                  <w:pPr>
                    <w:jc w:val="center"/>
                    <w:rPr>
                      <w:rFonts w:eastAsia="新宋体"/>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5.256</w:t>
                  </w:r>
                  <w:r>
                    <w:rPr>
                      <w:rFonts w:hint="eastAsia"/>
                      <w:color w:val="000000" w:themeColor="text1"/>
                      <w:sz w:val="18"/>
                      <w:szCs w:val="18"/>
                      <w14:textFill>
                        <w14:solidFill>
                          <w14:schemeClr w14:val="tx1"/>
                        </w14:solidFill>
                      </w14:textFill>
                    </w:rPr>
                    <w:t>万吨/a</w:t>
                  </w:r>
                </w:p>
              </w:tc>
              <w:tc>
                <w:tcPr>
                  <w:tcW w:w="769" w:type="pct"/>
                </w:tcPr>
                <w:p w14:paraId="66D0B18C">
                  <w:pPr>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1</w:t>
                  </w:r>
                  <w:r>
                    <w:rPr>
                      <w:rFonts w:hint="eastAsia" w:eastAsia="新宋体"/>
                      <w:color w:val="000000" w:themeColor="text1"/>
                      <w:sz w:val="18"/>
                      <w:szCs w:val="18"/>
                      <w14:textFill>
                        <w14:solidFill>
                          <w14:schemeClr w14:val="tx1"/>
                        </w14:solidFill>
                      </w14:textFill>
                    </w:rPr>
                    <w:t>0</w:t>
                  </w:r>
                </w:p>
              </w:tc>
              <w:tc>
                <w:tcPr>
                  <w:tcW w:w="844" w:type="pct"/>
                  <w:vAlign w:val="center"/>
                </w:tcPr>
                <w:p w14:paraId="6F382298">
                  <w:pPr>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外购</w:t>
                  </w:r>
                </w:p>
              </w:tc>
              <w:tc>
                <w:tcPr>
                  <w:tcW w:w="447" w:type="pct"/>
                </w:tcPr>
                <w:p w14:paraId="57942025">
                  <w:pPr>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w:t>
                  </w:r>
                </w:p>
              </w:tc>
            </w:tr>
            <w:tr w14:paraId="410FFDE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49" w:type="pct"/>
                </w:tcPr>
                <w:p w14:paraId="2EBC3E46">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w:t>
                  </w:r>
                </w:p>
              </w:tc>
              <w:tc>
                <w:tcPr>
                  <w:tcW w:w="777" w:type="pct"/>
                  <w:vAlign w:val="center"/>
                </w:tcPr>
                <w:p w14:paraId="06ADC30C">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石子</w:t>
                  </w:r>
                </w:p>
              </w:tc>
              <w:tc>
                <w:tcPr>
                  <w:tcW w:w="769" w:type="pct"/>
                  <w:vAlign w:val="center"/>
                </w:tcPr>
                <w:p w14:paraId="53205F00">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122.34万吨/a</w:t>
                  </w:r>
                </w:p>
              </w:tc>
              <w:tc>
                <w:tcPr>
                  <w:tcW w:w="845" w:type="pct"/>
                  <w:vAlign w:val="center"/>
                </w:tcPr>
                <w:p w14:paraId="1BE97352">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12.234万吨/a</w:t>
                  </w:r>
                </w:p>
              </w:tc>
              <w:tc>
                <w:tcPr>
                  <w:tcW w:w="769" w:type="pct"/>
                </w:tcPr>
                <w:p w14:paraId="65F9CEFA">
                  <w:pPr>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1</w:t>
                  </w:r>
                  <w:r>
                    <w:rPr>
                      <w:rFonts w:hint="eastAsia" w:eastAsia="新宋体"/>
                      <w:color w:val="000000" w:themeColor="text1"/>
                      <w:sz w:val="18"/>
                      <w:szCs w:val="18"/>
                      <w14:textFill>
                        <w14:solidFill>
                          <w14:schemeClr w14:val="tx1"/>
                        </w14:solidFill>
                      </w14:textFill>
                    </w:rPr>
                    <w:t>0</w:t>
                  </w:r>
                </w:p>
              </w:tc>
              <w:tc>
                <w:tcPr>
                  <w:tcW w:w="844" w:type="pct"/>
                  <w:vAlign w:val="center"/>
                </w:tcPr>
                <w:p w14:paraId="3B8643E2">
                  <w:pPr>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外购</w:t>
                  </w:r>
                </w:p>
              </w:tc>
              <w:tc>
                <w:tcPr>
                  <w:tcW w:w="447" w:type="pct"/>
                </w:tcPr>
                <w:p w14:paraId="28E700A2">
                  <w:pPr>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w:t>
                  </w:r>
                </w:p>
              </w:tc>
            </w:tr>
            <w:tr w14:paraId="1C3979C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49" w:type="pct"/>
                </w:tcPr>
                <w:p w14:paraId="1D8D33FB">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4</w:t>
                  </w:r>
                </w:p>
              </w:tc>
              <w:tc>
                <w:tcPr>
                  <w:tcW w:w="777" w:type="pct"/>
                  <w:vAlign w:val="center"/>
                </w:tcPr>
                <w:p w14:paraId="4D0FF794">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粉煤灰</w:t>
                  </w:r>
                </w:p>
              </w:tc>
              <w:tc>
                <w:tcPr>
                  <w:tcW w:w="769" w:type="pct"/>
                  <w:vAlign w:val="center"/>
                </w:tcPr>
                <w:p w14:paraId="7899C8F8">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3.06万吨/a</w:t>
                  </w:r>
                </w:p>
              </w:tc>
              <w:tc>
                <w:tcPr>
                  <w:tcW w:w="845" w:type="pct"/>
                  <w:vAlign w:val="center"/>
                </w:tcPr>
                <w:p w14:paraId="3EBFDAFD">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0.306万吨/a</w:t>
                  </w:r>
                </w:p>
              </w:tc>
              <w:tc>
                <w:tcPr>
                  <w:tcW w:w="769" w:type="pct"/>
                </w:tcPr>
                <w:p w14:paraId="6140F05A">
                  <w:pPr>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1</w:t>
                  </w:r>
                  <w:r>
                    <w:rPr>
                      <w:rFonts w:hint="eastAsia" w:eastAsia="新宋体"/>
                      <w:color w:val="000000" w:themeColor="text1"/>
                      <w:sz w:val="18"/>
                      <w:szCs w:val="18"/>
                      <w14:textFill>
                        <w14:solidFill>
                          <w14:schemeClr w14:val="tx1"/>
                        </w14:solidFill>
                      </w14:textFill>
                    </w:rPr>
                    <w:t>0</w:t>
                  </w:r>
                </w:p>
              </w:tc>
              <w:tc>
                <w:tcPr>
                  <w:tcW w:w="844" w:type="pct"/>
                  <w:vAlign w:val="center"/>
                </w:tcPr>
                <w:p w14:paraId="1351A1BD">
                  <w:pPr>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外购</w:t>
                  </w:r>
                </w:p>
              </w:tc>
              <w:tc>
                <w:tcPr>
                  <w:tcW w:w="447" w:type="pct"/>
                </w:tcPr>
                <w:p w14:paraId="3DB6787F">
                  <w:pPr>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w:t>
                  </w:r>
                </w:p>
              </w:tc>
            </w:tr>
            <w:tr w14:paraId="505FB5B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49" w:type="pct"/>
                </w:tcPr>
                <w:p w14:paraId="64009DE1">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w:t>
                  </w:r>
                </w:p>
              </w:tc>
              <w:tc>
                <w:tcPr>
                  <w:tcW w:w="777" w:type="pct"/>
                  <w:vAlign w:val="center"/>
                </w:tcPr>
                <w:p w14:paraId="06B5A67F">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减水剂</w:t>
                  </w:r>
                </w:p>
              </w:tc>
              <w:tc>
                <w:tcPr>
                  <w:tcW w:w="769" w:type="pct"/>
                  <w:vAlign w:val="center"/>
                </w:tcPr>
                <w:p w14:paraId="01C0FCE1">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0.9万吨/a</w:t>
                  </w:r>
                </w:p>
              </w:tc>
              <w:tc>
                <w:tcPr>
                  <w:tcW w:w="845" w:type="pct"/>
                  <w:vAlign w:val="center"/>
                </w:tcPr>
                <w:p w14:paraId="63B1F3B1">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0.09万吨/a</w:t>
                  </w:r>
                </w:p>
              </w:tc>
              <w:tc>
                <w:tcPr>
                  <w:tcW w:w="769" w:type="pct"/>
                </w:tcPr>
                <w:p w14:paraId="3CDEB0BC">
                  <w:pPr>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1</w:t>
                  </w:r>
                  <w:r>
                    <w:rPr>
                      <w:rFonts w:hint="eastAsia" w:eastAsia="新宋体"/>
                      <w:color w:val="000000" w:themeColor="text1"/>
                      <w:sz w:val="18"/>
                      <w:szCs w:val="18"/>
                      <w14:textFill>
                        <w14:solidFill>
                          <w14:schemeClr w14:val="tx1"/>
                        </w14:solidFill>
                      </w14:textFill>
                    </w:rPr>
                    <w:t>0</w:t>
                  </w:r>
                </w:p>
              </w:tc>
              <w:tc>
                <w:tcPr>
                  <w:tcW w:w="844" w:type="pct"/>
                  <w:vAlign w:val="center"/>
                </w:tcPr>
                <w:p w14:paraId="462EE833">
                  <w:pPr>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外购</w:t>
                  </w:r>
                </w:p>
              </w:tc>
              <w:tc>
                <w:tcPr>
                  <w:tcW w:w="447" w:type="pct"/>
                </w:tcPr>
                <w:p w14:paraId="108EC672">
                  <w:pPr>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w:t>
                  </w:r>
                </w:p>
              </w:tc>
            </w:tr>
            <w:tr w14:paraId="0580FBF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49" w:type="pct"/>
                </w:tcPr>
                <w:p w14:paraId="02CA1C93">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6</w:t>
                  </w:r>
                </w:p>
              </w:tc>
              <w:tc>
                <w:tcPr>
                  <w:tcW w:w="777" w:type="pct"/>
                  <w:vAlign w:val="center"/>
                </w:tcPr>
                <w:p w14:paraId="1EB6DBA4">
                  <w:pPr>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电</w:t>
                  </w:r>
                </w:p>
              </w:tc>
              <w:tc>
                <w:tcPr>
                  <w:tcW w:w="3674" w:type="pct"/>
                  <w:gridSpan w:val="5"/>
                  <w:vAlign w:val="center"/>
                </w:tcPr>
                <w:p w14:paraId="6814EACF">
                  <w:pPr>
                    <w:widowControl/>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60</w:t>
                  </w:r>
                  <w:r>
                    <w:rPr>
                      <w:rFonts w:eastAsia="新宋体"/>
                      <w:color w:val="000000" w:themeColor="text1"/>
                      <w:kern w:val="0"/>
                      <w:sz w:val="18"/>
                      <w:szCs w:val="18"/>
                      <w14:textFill>
                        <w14:solidFill>
                          <w14:schemeClr w14:val="tx1"/>
                        </w14:solidFill>
                      </w14:textFill>
                    </w:rPr>
                    <w:t>万kw·h/a</w:t>
                  </w:r>
                </w:p>
              </w:tc>
            </w:tr>
            <w:tr w14:paraId="5AE5135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49" w:type="pct"/>
                </w:tcPr>
                <w:p w14:paraId="404DFFE1">
                  <w:pPr>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7</w:t>
                  </w:r>
                </w:p>
              </w:tc>
              <w:tc>
                <w:tcPr>
                  <w:tcW w:w="777" w:type="pct"/>
                  <w:vAlign w:val="center"/>
                </w:tcPr>
                <w:p w14:paraId="0B5E1E7A">
                  <w:pPr>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水</w:t>
                  </w:r>
                </w:p>
              </w:tc>
              <w:tc>
                <w:tcPr>
                  <w:tcW w:w="3674" w:type="pct"/>
                  <w:gridSpan w:val="5"/>
                  <w:vAlign w:val="center"/>
                </w:tcPr>
                <w:p w14:paraId="34C3E997">
                  <w:pPr>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50000</w:t>
                  </w:r>
                  <w:r>
                    <w:rPr>
                      <w:rFonts w:eastAsia="新宋体"/>
                      <w:color w:val="000000" w:themeColor="text1"/>
                      <w:sz w:val="18"/>
                      <w:szCs w:val="18"/>
                      <w14:textFill>
                        <w14:solidFill>
                          <w14:schemeClr w14:val="tx1"/>
                        </w14:solidFill>
                      </w14:textFill>
                    </w:rPr>
                    <w:t>m</w:t>
                  </w:r>
                  <w:r>
                    <w:rPr>
                      <w:rFonts w:eastAsia="新宋体"/>
                      <w:color w:val="000000" w:themeColor="text1"/>
                      <w:sz w:val="18"/>
                      <w:szCs w:val="18"/>
                      <w:vertAlign w:val="superscript"/>
                      <w14:textFill>
                        <w14:solidFill>
                          <w14:schemeClr w14:val="tx1"/>
                        </w14:solidFill>
                      </w14:textFill>
                    </w:rPr>
                    <w:t>3</w:t>
                  </w:r>
                  <w:r>
                    <w:rPr>
                      <w:rFonts w:eastAsia="新宋体"/>
                      <w:color w:val="000000" w:themeColor="text1"/>
                      <w:sz w:val="18"/>
                      <w:szCs w:val="18"/>
                      <w14:textFill>
                        <w14:solidFill>
                          <w14:schemeClr w14:val="tx1"/>
                        </w14:solidFill>
                      </w14:textFill>
                    </w:rPr>
                    <w:t>/a</w:t>
                  </w:r>
                </w:p>
              </w:tc>
            </w:tr>
          </w:tbl>
          <w:p w14:paraId="212376AD">
            <w:pPr>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（4）现有项目生产工艺</w:t>
            </w:r>
          </w:p>
          <w:p w14:paraId="688C99AC">
            <w:pPr>
              <w:adjustRightInd w:val="0"/>
              <w:snapToGrid w:val="0"/>
              <w:spacing w:line="360" w:lineRule="auto"/>
              <w:ind w:firstLine="480" w:firstLineChars="200"/>
              <w:rPr>
                <w:color w:val="000000" w:themeColor="text1"/>
                <w:kern w:val="0"/>
                <w:sz w:val="24"/>
                <w:szCs w:val="20"/>
                <w14:textFill>
                  <w14:solidFill>
                    <w14:schemeClr w14:val="tx1"/>
                  </w14:solidFill>
                </w14:textFill>
              </w:rPr>
            </w:pPr>
            <w:r>
              <w:rPr>
                <w:rFonts w:hint="eastAsia"/>
                <w:color w:val="000000" w:themeColor="text1"/>
                <w:kern w:val="0"/>
                <w:sz w:val="24"/>
                <w:szCs w:val="20"/>
                <w14:textFill>
                  <w14:solidFill>
                    <w14:schemeClr w14:val="tx1"/>
                  </w14:solidFill>
                </w14:textFill>
              </w:rPr>
              <w:t>工艺说明：</w:t>
            </w:r>
          </w:p>
          <w:p w14:paraId="74F0389E">
            <w:pPr>
              <w:autoSpaceDE w:val="0"/>
              <w:autoSpaceDN w:val="0"/>
              <w:adjustRightInd w:val="0"/>
              <w:spacing w:line="360" w:lineRule="auto"/>
              <w:ind w:firstLine="480" w:firstLineChars="200"/>
              <w:rPr>
                <w:rFonts w:hint="eastAsia"/>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购进的砂、石等原料通过公路运输至项目原料料仓内堆存，生产时经传送系统传送带运至搅拌机;购进的水泥、粉煤灰用专用水泥罐车运至厂区，用传输泵输送至水泥筒仓、粉煤灰筒仓内;添加剂购进后贮入搅拌楼内的添加剂桶中，所有原料按照一定的比例计量后加入搅拌机中加一定比例的水进行搅拌。搅拌后的混凝土经检测合格后一部分混凝土罐车运出厂直接运至建筑工地，一部分送项目混凝土预制件生产线使用，生产混凝土预制件。混凝土预制件工艺较为筒单，利用搅拌好的混凝土注入外购定制的模具中，并在其中加入钢材作为骨架支撑，静止凝固脱模后即为成品，室内存放后外售。</w:t>
            </w:r>
          </w:p>
          <w:p w14:paraId="7D49DB82">
            <w:pPr>
              <w:pStyle w:val="2"/>
              <w:rPr>
                <w:rFonts w:hint="eastAsia"/>
                <w:color w:val="000000" w:themeColor="text1"/>
                <w:sz w:val="24"/>
                <w14:textFill>
                  <w14:solidFill>
                    <w14:schemeClr w14:val="tx1"/>
                  </w14:solidFill>
                </w14:textFill>
              </w:rPr>
            </w:pPr>
          </w:p>
          <w:p w14:paraId="651AC742">
            <w:pPr>
              <w:pStyle w:val="2"/>
              <w:rPr>
                <w:rFonts w:hint="eastAsia"/>
                <w:color w:val="000000" w:themeColor="text1"/>
                <w:sz w:val="24"/>
                <w14:textFill>
                  <w14:solidFill>
                    <w14:schemeClr w14:val="tx1"/>
                  </w14:solidFill>
                </w14:textFill>
              </w:rPr>
            </w:pPr>
          </w:p>
          <w:p w14:paraId="12541384">
            <w:pPr>
              <w:pStyle w:val="2"/>
              <w:rPr>
                <w:rFonts w:hint="eastAsia"/>
                <w:color w:val="000000" w:themeColor="text1"/>
                <w:sz w:val="24"/>
                <w14:textFill>
                  <w14:solidFill>
                    <w14:schemeClr w14:val="tx1"/>
                  </w14:solidFill>
                </w14:textFill>
              </w:rPr>
            </w:pPr>
          </w:p>
          <w:p w14:paraId="66DFF815">
            <w:pPr>
              <w:pStyle w:val="2"/>
              <w:rPr>
                <w:rFonts w:hint="eastAsia"/>
                <w:color w:val="000000" w:themeColor="text1"/>
                <w:sz w:val="24"/>
                <w14:textFill>
                  <w14:solidFill>
                    <w14:schemeClr w14:val="tx1"/>
                  </w14:solidFill>
                </w14:textFill>
              </w:rPr>
            </w:pPr>
          </w:p>
          <w:p w14:paraId="3896F477">
            <w:pPr>
              <w:pStyle w:val="2"/>
              <w:rPr>
                <w:rFonts w:hint="eastAsia"/>
                <w:color w:val="000000" w:themeColor="text1"/>
                <w:sz w:val="24"/>
                <w14:textFill>
                  <w14:solidFill>
                    <w14:schemeClr w14:val="tx1"/>
                  </w14:solidFill>
                </w14:textFill>
              </w:rPr>
            </w:pPr>
          </w:p>
          <w:p w14:paraId="31AEE6E6">
            <w:pPr>
              <w:pStyle w:val="2"/>
              <w:rPr>
                <w:rFonts w:hint="eastAsia"/>
                <w:color w:val="000000" w:themeColor="text1"/>
                <w:sz w:val="24"/>
                <w14:textFill>
                  <w14:solidFill>
                    <w14:schemeClr w14:val="tx1"/>
                  </w14:solidFill>
                </w14:textFill>
              </w:rPr>
            </w:pPr>
          </w:p>
          <w:p w14:paraId="19432E21">
            <w:pPr>
              <w:pStyle w:val="2"/>
              <w:rPr>
                <w:rFonts w:hint="eastAsia"/>
                <w:color w:val="000000" w:themeColor="text1"/>
                <w:sz w:val="24"/>
                <w14:textFill>
                  <w14:solidFill>
                    <w14:schemeClr w14:val="tx1"/>
                  </w14:solidFill>
                </w14:textFill>
              </w:rPr>
            </w:pPr>
          </w:p>
          <w:p w14:paraId="3EB8FD22">
            <w:pPr>
              <w:autoSpaceDE w:val="0"/>
              <w:autoSpaceDN w:val="0"/>
              <w:adjustRightInd w:val="0"/>
              <w:spacing w:line="360" w:lineRule="auto"/>
              <w:jc w:val="center"/>
              <w:rPr>
                <w:rFonts w:hint="eastAsia" w:ascii="宋体" w:hAnsi="新宋体" w:eastAsia="仿宋_GB2312" w:cs="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114300" distR="114300">
                  <wp:extent cx="4762500" cy="45910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rcRect t="2033"/>
                          <a:stretch>
                            <a:fillRect/>
                          </a:stretch>
                        </pic:blipFill>
                        <pic:spPr>
                          <a:xfrm>
                            <a:off x="0" y="0"/>
                            <a:ext cx="4762500" cy="4591050"/>
                          </a:xfrm>
                          <a:prstGeom prst="rect">
                            <a:avLst/>
                          </a:prstGeom>
                          <a:noFill/>
                          <a:ln>
                            <a:noFill/>
                          </a:ln>
                        </pic:spPr>
                      </pic:pic>
                    </a:graphicData>
                  </a:graphic>
                </wp:inline>
              </w:drawing>
            </w:r>
          </w:p>
          <w:p w14:paraId="59D3E561">
            <w:pPr>
              <w:widowControl/>
              <w:jc w:val="center"/>
              <w:rPr>
                <w:b/>
                <w:color w:val="000000" w:themeColor="text1"/>
                <w:kern w:val="0"/>
                <w:sz w:val="24"/>
                <w14:textFill>
                  <w14:solidFill>
                    <w14:schemeClr w14:val="tx1"/>
                  </w14:solidFill>
                </w14:textFill>
              </w:rPr>
            </w:pPr>
            <w:r>
              <w:rPr>
                <w:b/>
                <w:color w:val="000000" w:themeColor="text1"/>
                <w:kern w:val="0"/>
                <w:sz w:val="24"/>
                <w14:textFill>
                  <w14:solidFill>
                    <w14:schemeClr w14:val="tx1"/>
                  </w14:solidFill>
                </w14:textFill>
              </w:rPr>
              <w:t>图</w:t>
            </w:r>
            <w:r>
              <w:rPr>
                <w:rFonts w:hint="eastAsia"/>
                <w:b/>
                <w:color w:val="000000" w:themeColor="text1"/>
                <w:kern w:val="0"/>
                <w:sz w:val="24"/>
                <w14:textFill>
                  <w14:solidFill>
                    <w14:schemeClr w14:val="tx1"/>
                  </w14:solidFill>
                </w14:textFill>
              </w:rPr>
              <w:t>2-6</w:t>
            </w:r>
            <w:r>
              <w:rPr>
                <w:b/>
                <w:color w:val="000000" w:themeColor="text1"/>
                <w:kern w:val="0"/>
                <w:sz w:val="24"/>
                <w14:textFill>
                  <w14:solidFill>
                    <w14:schemeClr w14:val="tx1"/>
                  </w14:solidFill>
                </w14:textFill>
              </w:rPr>
              <w:t xml:space="preserve">  </w:t>
            </w:r>
            <w:r>
              <w:rPr>
                <w:rFonts w:hint="eastAsia"/>
                <w:b/>
                <w:color w:val="000000" w:themeColor="text1"/>
                <w:kern w:val="0"/>
                <w:sz w:val="24"/>
                <w:lang w:val="en-US" w:eastAsia="zh-CN"/>
                <w14:textFill>
                  <w14:solidFill>
                    <w14:schemeClr w14:val="tx1"/>
                  </w14:solidFill>
                </w14:textFill>
              </w:rPr>
              <w:t>现有项目生产</w:t>
            </w:r>
            <w:r>
              <w:rPr>
                <w:rFonts w:hint="eastAsia"/>
                <w:b/>
                <w:color w:val="000000" w:themeColor="text1"/>
                <w:kern w:val="0"/>
                <w:sz w:val="24"/>
                <w14:textFill>
                  <w14:solidFill>
                    <w14:schemeClr w14:val="tx1"/>
                  </w14:solidFill>
                </w14:textFill>
              </w:rPr>
              <w:t>工艺及产污流程图</w:t>
            </w:r>
          </w:p>
          <w:p w14:paraId="3113A6E3">
            <w:pPr>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（5）</w:t>
            </w:r>
            <w:r>
              <w:rPr>
                <w:color w:val="000000" w:themeColor="text1"/>
                <w:sz w:val="24"/>
                <w14:textFill>
                  <w14:solidFill>
                    <w14:schemeClr w14:val="tx1"/>
                  </w14:solidFill>
                </w14:textFill>
              </w:rPr>
              <w:t>现有工程环保程序履行情况</w:t>
            </w:r>
          </w:p>
          <w:p w14:paraId="59F6147A">
            <w:pPr>
              <w:adjustRightInd w:val="0"/>
              <w:snapToGrid w:val="0"/>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20</w:t>
            </w:r>
            <w:r>
              <w:rPr>
                <w:rFonts w:hint="eastAsia"/>
                <w:color w:val="000000" w:themeColor="text1"/>
                <w:sz w:val="24"/>
                <w14:textFill>
                  <w14:solidFill>
                    <w14:schemeClr w14:val="tx1"/>
                  </w14:solidFill>
                </w14:textFill>
              </w:rPr>
              <w:t>20</w:t>
            </w:r>
            <w:r>
              <w:rPr>
                <w:color w:val="000000" w:themeColor="text1"/>
                <w:sz w:val="24"/>
                <w14:textFill>
                  <w14:solidFill>
                    <w14:schemeClr w14:val="tx1"/>
                  </w14:solidFill>
                </w14:textFill>
              </w:rPr>
              <w:t>年</w:t>
            </w:r>
            <w:r>
              <w:rPr>
                <w:rFonts w:hint="eastAsia"/>
                <w:color w:val="000000" w:themeColor="text1"/>
                <w:sz w:val="24"/>
                <w14:textFill>
                  <w14:solidFill>
                    <w14:schemeClr w14:val="tx1"/>
                  </w14:solidFill>
                </w14:textFill>
              </w:rPr>
              <w:t>3</w:t>
            </w:r>
            <w:r>
              <w:rPr>
                <w:color w:val="000000" w:themeColor="text1"/>
                <w:sz w:val="24"/>
                <w14:textFill>
                  <w14:solidFill>
                    <w14:schemeClr w14:val="tx1"/>
                  </w14:solidFill>
                </w14:textFill>
              </w:rPr>
              <w:t>月2</w:t>
            </w:r>
            <w:r>
              <w:rPr>
                <w:rFonts w:hint="eastAsia"/>
                <w:color w:val="000000" w:themeColor="text1"/>
                <w:sz w:val="24"/>
                <w14:textFill>
                  <w14:solidFill>
                    <w14:schemeClr w14:val="tx1"/>
                  </w14:solidFill>
                </w14:textFill>
              </w:rPr>
              <w:t>3</w:t>
            </w:r>
            <w:r>
              <w:rPr>
                <w:color w:val="000000" w:themeColor="text1"/>
                <w:sz w:val="24"/>
                <w14:textFill>
                  <w14:solidFill>
                    <w14:schemeClr w14:val="tx1"/>
                  </w14:solidFill>
                </w14:textFill>
              </w:rPr>
              <w:t>日，</w:t>
            </w:r>
            <w:bookmarkStart w:id="43" w:name="OLE_LINK17"/>
            <w:r>
              <w:rPr>
                <w:rFonts w:hint="eastAsia"/>
                <w:color w:val="000000" w:themeColor="text1"/>
                <w:sz w:val="24"/>
                <w14:textFill>
                  <w14:solidFill>
                    <w14:schemeClr w14:val="tx1"/>
                  </w14:solidFill>
                </w14:textFill>
              </w:rPr>
              <w:t>江西承诚实业有限公司</w:t>
            </w:r>
            <w:bookmarkEnd w:id="43"/>
            <w:r>
              <w:rPr>
                <w:color w:val="000000" w:themeColor="text1"/>
                <w:sz w:val="24"/>
                <w14:textFill>
                  <w14:solidFill>
                    <w14:schemeClr w14:val="tx1"/>
                  </w14:solidFill>
                </w14:textFill>
              </w:rPr>
              <w:t>获《关于</w:t>
            </w:r>
            <w:r>
              <w:rPr>
                <w:rFonts w:hint="eastAsia"/>
                <w:color w:val="000000" w:themeColor="text1"/>
                <w:sz w:val="24"/>
                <w14:textFill>
                  <w14:solidFill>
                    <w14:schemeClr w14:val="tx1"/>
                  </w14:solidFill>
                </w14:textFill>
              </w:rPr>
              <w:t>江西承诚实业有限公司300万件混凝土预制件、90万立方商品混凝土、170万立方柏油沥青、200万吨水泥稳定碎石（首期）项目</w:t>
            </w:r>
            <w:r>
              <w:rPr>
                <w:color w:val="000000" w:themeColor="text1"/>
                <w:sz w:val="24"/>
                <w14:textFill>
                  <w14:solidFill>
                    <w14:schemeClr w14:val="tx1"/>
                  </w14:solidFill>
                </w14:textFill>
              </w:rPr>
              <w:t>环境影响报告表的批复》（</w:t>
            </w:r>
            <w:r>
              <w:rPr>
                <w:rFonts w:hint="eastAsia"/>
                <w:color w:val="000000" w:themeColor="text1"/>
                <w:sz w:val="24"/>
                <w14:textFill>
                  <w14:solidFill>
                    <w14:schemeClr w14:val="tx1"/>
                  </w14:solidFill>
                </w14:textFill>
              </w:rPr>
              <w:t>乐环审字〔2020〕26号</w:t>
            </w:r>
            <w:r>
              <w:rPr>
                <w:color w:val="000000" w:themeColor="text1"/>
                <w:sz w:val="24"/>
                <w14:textFill>
                  <w14:solidFill>
                    <w14:schemeClr w14:val="tx1"/>
                  </w14:solidFill>
                </w14:textFill>
              </w:rPr>
              <w:t>）。20</w:t>
            </w:r>
            <w:r>
              <w:rPr>
                <w:rFonts w:hint="eastAsia"/>
                <w:color w:val="000000" w:themeColor="text1"/>
                <w:sz w:val="24"/>
                <w14:textFill>
                  <w14:solidFill>
                    <w14:schemeClr w14:val="tx1"/>
                  </w14:solidFill>
                </w14:textFill>
              </w:rPr>
              <w:t>22</w:t>
            </w:r>
            <w:r>
              <w:rPr>
                <w:color w:val="000000" w:themeColor="text1"/>
                <w:sz w:val="24"/>
                <w14:textFill>
                  <w14:solidFill>
                    <w14:schemeClr w14:val="tx1"/>
                  </w14:solidFill>
                </w14:textFill>
              </w:rPr>
              <w:t>年</w:t>
            </w:r>
            <w:r>
              <w:rPr>
                <w:rFonts w:hint="eastAsia"/>
                <w:color w:val="000000" w:themeColor="text1"/>
                <w:sz w:val="24"/>
                <w14:textFill>
                  <w14:solidFill>
                    <w14:schemeClr w14:val="tx1"/>
                  </w14:solidFill>
                </w14:textFill>
              </w:rPr>
              <w:t>4</w:t>
            </w:r>
            <w:r>
              <w:rPr>
                <w:color w:val="000000" w:themeColor="text1"/>
                <w:sz w:val="24"/>
                <w14:textFill>
                  <w14:solidFill>
                    <w14:schemeClr w14:val="tx1"/>
                  </w14:solidFill>
                </w14:textFill>
              </w:rPr>
              <w:t>月</w:t>
            </w:r>
            <w:r>
              <w:rPr>
                <w:rFonts w:hint="eastAsia"/>
                <w:color w:val="000000" w:themeColor="text1"/>
                <w:sz w:val="24"/>
                <w14:textFill>
                  <w14:solidFill>
                    <w14:schemeClr w14:val="tx1"/>
                  </w14:solidFill>
                </w14:textFill>
              </w:rPr>
              <w:t>2日</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该项目</w:t>
            </w:r>
            <w:r>
              <w:rPr>
                <w:color w:val="000000" w:themeColor="text1"/>
                <w:sz w:val="24"/>
                <w14:textFill>
                  <w14:solidFill>
                    <w14:schemeClr w14:val="tx1"/>
                  </w14:solidFill>
                </w14:textFill>
              </w:rPr>
              <w:t>完成竣工环保验收工作</w:t>
            </w:r>
            <w:r>
              <w:rPr>
                <w:rFonts w:hint="eastAsia"/>
                <w:color w:val="000000" w:themeColor="text1"/>
                <w:sz w:val="24"/>
                <w14:textFill>
                  <w14:solidFill>
                    <w14:schemeClr w14:val="tx1"/>
                  </w14:solidFill>
                </w14:textFill>
              </w:rPr>
              <w:t>并取得验收意见</w:t>
            </w:r>
            <w:r>
              <w:rPr>
                <w:color w:val="000000" w:themeColor="text1"/>
                <w:sz w:val="24"/>
                <w14:textFill>
                  <w14:solidFill>
                    <w14:schemeClr w14:val="tx1"/>
                  </w14:solidFill>
                </w14:textFill>
              </w:rPr>
              <w:t>，验收范围为</w:t>
            </w:r>
            <w:r>
              <w:rPr>
                <w:rFonts w:hint="eastAsia"/>
                <w:color w:val="000000" w:themeColor="text1"/>
                <w:sz w:val="24"/>
                <w14:textFill>
                  <w14:solidFill>
                    <w14:schemeClr w14:val="tx1"/>
                  </w14:solidFill>
                </w14:textFill>
              </w:rPr>
              <w:t>年产90万立方商品混凝土</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2022年6月2日，江西承诚实业有限公司</w:t>
            </w:r>
            <w:r>
              <w:rPr>
                <w:rFonts w:hint="eastAsia"/>
                <w:color w:val="000000" w:themeColor="text1"/>
                <w:kern w:val="0"/>
                <w:sz w:val="24"/>
                <w14:textFill>
                  <w14:solidFill>
                    <w14:schemeClr w14:val="tx1"/>
                  </w14:solidFill>
                </w14:textFill>
              </w:rPr>
              <w:t>取得了固定污染源排污登记回执，登记编号：</w:t>
            </w:r>
            <w:r>
              <w:rPr>
                <w:color w:val="000000" w:themeColor="text1"/>
                <w:kern w:val="0"/>
                <w:sz w:val="24"/>
                <w14:textFill>
                  <w14:solidFill>
                    <w14:schemeClr w14:val="tx1"/>
                  </w14:solidFill>
                </w14:textFill>
              </w:rPr>
              <w:t>91360281MA38B67B03001Y</w:t>
            </w:r>
            <w:r>
              <w:rPr>
                <w:color w:val="000000" w:themeColor="text1"/>
                <w:sz w:val="24"/>
                <w14:textFill>
                  <w14:solidFill>
                    <w14:schemeClr w14:val="tx1"/>
                  </w14:solidFill>
                </w14:textFill>
              </w:rPr>
              <w:t>。</w:t>
            </w:r>
          </w:p>
          <w:p w14:paraId="507C6722">
            <w:pPr>
              <w:widowControl/>
              <w:adjustRightInd w:val="0"/>
              <w:snapToGrid w:val="0"/>
              <w:spacing w:line="360" w:lineRule="auto"/>
              <w:ind w:firstLine="482" w:firstLineChars="200"/>
              <w:jc w:val="left"/>
              <w:textAlignment w:val="baseline"/>
              <w:rPr>
                <w:rFonts w:hint="eastAsia" w:ascii="宋体" w:hAnsi="宋体" w:cs="宋体"/>
                <w:b/>
                <w:bCs/>
                <w:color w:val="000000" w:themeColor="text1"/>
                <w:sz w:val="24"/>
                <w14:textFill>
                  <w14:solidFill>
                    <w14:schemeClr w14:val="tx1"/>
                  </w14:solidFill>
                </w14:textFill>
              </w:rPr>
            </w:pPr>
            <w:r>
              <w:rPr>
                <w:rFonts w:ascii="宋体" w:hAnsi="宋体" w:cs="宋体"/>
                <w:b/>
                <w:bCs/>
                <w:color w:val="000000" w:themeColor="text1"/>
                <w:sz w:val="24"/>
                <w14:textFill>
                  <w14:solidFill>
                    <w14:schemeClr w14:val="tx1"/>
                  </w14:solidFill>
                </w14:textFill>
              </w:rPr>
              <w:t>二、现有工程污染物排放汇总</w:t>
            </w:r>
          </w:p>
          <w:p w14:paraId="4F8D62E2">
            <w:pPr>
              <w:widowControl/>
              <w:adjustRightInd w:val="0"/>
              <w:snapToGrid w:val="0"/>
              <w:spacing w:line="360" w:lineRule="auto"/>
              <w:ind w:firstLine="480" w:firstLineChars="200"/>
              <w:jc w:val="left"/>
              <w:textAlignment w:val="baseline"/>
              <w:rPr>
                <w:rFonts w:hint="eastAsia"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根据现有项目环评和验收资料，现有项目污染物排放</w:t>
            </w:r>
            <w:r>
              <w:rPr>
                <w:rFonts w:ascii="宋体" w:hAnsi="宋体" w:cs="宋体"/>
                <w:color w:val="000000" w:themeColor="text1"/>
                <w:kern w:val="0"/>
                <w:sz w:val="24"/>
                <w14:textFill>
                  <w14:solidFill>
                    <w14:schemeClr w14:val="tx1"/>
                  </w14:solidFill>
                </w14:textFill>
              </w:rPr>
              <w:t>汇总详见下表。</w:t>
            </w:r>
          </w:p>
          <w:p w14:paraId="7E1768A4">
            <w:pPr>
              <w:ind w:firstLine="482" w:firstLineChars="200"/>
              <w:jc w:val="center"/>
              <w:rPr>
                <w:rFonts w:hint="eastAsia" w:ascii="宋体" w:hAnsi="宋体"/>
                <w:b/>
                <w:bCs/>
                <w:color w:val="000000" w:themeColor="text1"/>
                <w:sz w:val="24"/>
                <w14:textFill>
                  <w14:solidFill>
                    <w14:schemeClr w14:val="tx1"/>
                  </w14:solidFill>
                </w14:textFill>
              </w:rPr>
            </w:pPr>
            <w:r>
              <w:rPr>
                <w:rFonts w:ascii="宋体" w:hAnsi="宋体"/>
                <w:b/>
                <w:bCs/>
                <w:color w:val="000000" w:themeColor="text1"/>
                <w:sz w:val="24"/>
                <w14:textFill>
                  <w14:solidFill>
                    <w14:schemeClr w14:val="tx1"/>
                  </w14:solidFill>
                </w14:textFill>
              </w:rPr>
              <w:t>表</w:t>
            </w:r>
            <w:r>
              <w:rPr>
                <w:b/>
                <w:bCs/>
                <w:color w:val="000000" w:themeColor="text1"/>
                <w:sz w:val="24"/>
                <w14:textFill>
                  <w14:solidFill>
                    <w14:schemeClr w14:val="tx1"/>
                  </w14:solidFill>
                </w14:textFill>
              </w:rPr>
              <w:t>2-</w:t>
            </w:r>
            <w:r>
              <w:rPr>
                <w:rFonts w:hint="eastAsia"/>
                <w:b/>
                <w:bCs/>
                <w:color w:val="000000" w:themeColor="text1"/>
                <w:sz w:val="24"/>
                <w14:textFill>
                  <w14:solidFill>
                    <w14:schemeClr w14:val="tx1"/>
                  </w14:solidFill>
                </w14:textFill>
              </w:rPr>
              <w:t>1</w:t>
            </w:r>
            <w:r>
              <w:rPr>
                <w:rFonts w:hint="eastAsia"/>
                <w:b/>
                <w:bCs/>
                <w:color w:val="000000" w:themeColor="text1"/>
                <w:sz w:val="24"/>
                <w:lang w:val="en-US" w:eastAsia="zh-CN"/>
                <w14:textFill>
                  <w14:solidFill>
                    <w14:schemeClr w14:val="tx1"/>
                  </w14:solidFill>
                </w14:textFill>
              </w:rPr>
              <w:t>2</w:t>
            </w:r>
            <w:r>
              <w:rPr>
                <w:b/>
                <w:bCs/>
                <w:color w:val="000000" w:themeColor="text1"/>
                <w:sz w:val="24"/>
                <w14:textFill>
                  <w14:solidFill>
                    <w14:schemeClr w14:val="tx1"/>
                  </w14:solidFill>
                </w14:textFill>
              </w:rPr>
              <w:t xml:space="preserve">  </w:t>
            </w:r>
            <w:r>
              <w:rPr>
                <w:rFonts w:hint="eastAsia"/>
                <w:b/>
                <w:bCs/>
                <w:color w:val="000000" w:themeColor="text1"/>
                <w:sz w:val="24"/>
                <w14:textFill>
                  <w14:solidFill>
                    <w14:schemeClr w14:val="tx1"/>
                  </w14:solidFill>
                </w14:textFill>
              </w:rPr>
              <w:t>现有项目</w:t>
            </w:r>
            <w:r>
              <w:rPr>
                <w:rFonts w:ascii="宋体" w:hAnsi="宋体"/>
                <w:b/>
                <w:bCs/>
                <w:color w:val="000000" w:themeColor="text1"/>
                <w:sz w:val="24"/>
                <w14:textFill>
                  <w14:solidFill>
                    <w14:schemeClr w14:val="tx1"/>
                  </w14:solidFill>
                </w14:textFill>
              </w:rPr>
              <w:t>污染物排放表</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786"/>
              <w:gridCol w:w="1168"/>
              <w:gridCol w:w="2336"/>
              <w:gridCol w:w="2054"/>
              <w:gridCol w:w="1274"/>
              <w:gridCol w:w="1419"/>
            </w:tblGrid>
            <w:tr w14:paraId="159733C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3" w:hRule="atLeast"/>
                <w:jc w:val="center"/>
              </w:trPr>
              <w:tc>
                <w:tcPr>
                  <w:tcW w:w="435" w:type="pct"/>
                  <w:tcMar>
                    <w:top w:w="0" w:type="dxa"/>
                    <w:left w:w="0" w:type="dxa"/>
                    <w:bottom w:w="0" w:type="dxa"/>
                    <w:right w:w="0" w:type="dxa"/>
                  </w:tcMar>
                  <w:vAlign w:val="center"/>
                </w:tcPr>
                <w:p w14:paraId="63165509">
                  <w:pPr>
                    <w:widowControl/>
                    <w:spacing w:line="240" w:lineRule="exact"/>
                    <w:jc w:val="center"/>
                    <w:rPr>
                      <w:b/>
                      <w:color w:val="000000" w:themeColor="text1"/>
                      <w:kern w:val="0"/>
                      <w:sz w:val="18"/>
                      <w:szCs w:val="18"/>
                      <w14:textFill>
                        <w14:solidFill>
                          <w14:schemeClr w14:val="tx1"/>
                        </w14:solidFill>
                      </w14:textFill>
                    </w:rPr>
                  </w:pPr>
                  <w:r>
                    <w:rPr>
                      <w:b/>
                      <w:color w:val="000000" w:themeColor="text1"/>
                      <w:kern w:val="0"/>
                      <w:sz w:val="18"/>
                      <w:szCs w:val="18"/>
                      <w14:textFill>
                        <w14:solidFill>
                          <w14:schemeClr w14:val="tx1"/>
                        </w14:solidFill>
                      </w14:textFill>
                    </w:rPr>
                    <w:t>污染物</w:t>
                  </w:r>
                </w:p>
              </w:tc>
              <w:tc>
                <w:tcPr>
                  <w:tcW w:w="646" w:type="pct"/>
                  <w:vAlign w:val="center"/>
                </w:tcPr>
                <w:p w14:paraId="6AC9250A">
                  <w:pPr>
                    <w:widowControl/>
                    <w:spacing w:line="240" w:lineRule="exact"/>
                    <w:ind w:left="-130" w:leftChars="-62" w:right="-73" w:rightChars="-35"/>
                    <w:jc w:val="center"/>
                    <w:rPr>
                      <w:b/>
                      <w:color w:val="000000" w:themeColor="text1"/>
                      <w:kern w:val="0"/>
                      <w:sz w:val="18"/>
                      <w:szCs w:val="18"/>
                      <w14:textFill>
                        <w14:solidFill>
                          <w14:schemeClr w14:val="tx1"/>
                        </w14:solidFill>
                      </w14:textFill>
                    </w:rPr>
                  </w:pPr>
                  <w:r>
                    <w:rPr>
                      <w:b/>
                      <w:color w:val="000000" w:themeColor="text1"/>
                      <w:kern w:val="0"/>
                      <w:sz w:val="18"/>
                      <w:szCs w:val="18"/>
                      <w14:textFill>
                        <w14:solidFill>
                          <w14:schemeClr w14:val="tx1"/>
                        </w14:solidFill>
                      </w14:textFill>
                    </w:rPr>
                    <w:t>排放源</w:t>
                  </w:r>
                </w:p>
              </w:tc>
              <w:tc>
                <w:tcPr>
                  <w:tcW w:w="1292" w:type="pct"/>
                  <w:vAlign w:val="center"/>
                </w:tcPr>
                <w:p w14:paraId="419EEA9E">
                  <w:pPr>
                    <w:widowControl/>
                    <w:spacing w:line="240" w:lineRule="exact"/>
                    <w:jc w:val="center"/>
                    <w:rPr>
                      <w:b/>
                      <w:color w:val="000000" w:themeColor="text1"/>
                      <w:kern w:val="0"/>
                      <w:sz w:val="18"/>
                      <w:szCs w:val="18"/>
                      <w14:textFill>
                        <w14:solidFill>
                          <w14:schemeClr w14:val="tx1"/>
                        </w14:solidFill>
                      </w14:textFill>
                    </w:rPr>
                  </w:pPr>
                  <w:r>
                    <w:rPr>
                      <w:rFonts w:hint="eastAsia"/>
                      <w:b/>
                      <w:color w:val="000000" w:themeColor="text1"/>
                      <w:kern w:val="0"/>
                      <w:sz w:val="18"/>
                      <w:szCs w:val="18"/>
                      <w14:textFill>
                        <w14:solidFill>
                          <w14:schemeClr w14:val="tx1"/>
                        </w14:solidFill>
                      </w14:textFill>
                    </w:rPr>
                    <w:t>污染物</w:t>
                  </w:r>
                  <w:r>
                    <w:rPr>
                      <w:b/>
                      <w:color w:val="000000" w:themeColor="text1"/>
                      <w:kern w:val="0"/>
                      <w:sz w:val="18"/>
                      <w:szCs w:val="18"/>
                      <w14:textFill>
                        <w14:solidFill>
                          <w14:schemeClr w14:val="tx1"/>
                        </w14:solidFill>
                      </w14:textFill>
                    </w:rPr>
                    <w:t>名称</w:t>
                  </w:r>
                </w:p>
              </w:tc>
              <w:tc>
                <w:tcPr>
                  <w:tcW w:w="1136" w:type="pct"/>
                  <w:vAlign w:val="center"/>
                </w:tcPr>
                <w:p w14:paraId="089B7E27">
                  <w:pPr>
                    <w:widowControl/>
                    <w:spacing w:line="240" w:lineRule="exact"/>
                    <w:jc w:val="center"/>
                    <w:rPr>
                      <w:b/>
                      <w:color w:val="000000" w:themeColor="text1"/>
                      <w:kern w:val="0"/>
                      <w:sz w:val="18"/>
                      <w:szCs w:val="18"/>
                      <w14:textFill>
                        <w14:solidFill>
                          <w14:schemeClr w14:val="tx1"/>
                        </w14:solidFill>
                      </w14:textFill>
                    </w:rPr>
                  </w:pPr>
                  <w:r>
                    <w:rPr>
                      <w:b/>
                      <w:color w:val="000000" w:themeColor="text1"/>
                      <w:kern w:val="0"/>
                      <w:sz w:val="18"/>
                      <w:szCs w:val="18"/>
                      <w14:textFill>
                        <w14:solidFill>
                          <w14:schemeClr w14:val="tx1"/>
                        </w14:solidFill>
                      </w14:textFill>
                    </w:rPr>
                    <w:t>产生量（t/a）</w:t>
                  </w:r>
                </w:p>
              </w:tc>
              <w:tc>
                <w:tcPr>
                  <w:tcW w:w="705" w:type="pct"/>
                  <w:vAlign w:val="center"/>
                </w:tcPr>
                <w:p w14:paraId="50434DF9">
                  <w:pPr>
                    <w:widowControl/>
                    <w:spacing w:line="240" w:lineRule="exact"/>
                    <w:jc w:val="center"/>
                    <w:rPr>
                      <w:b/>
                      <w:color w:val="000000" w:themeColor="text1"/>
                      <w:kern w:val="0"/>
                      <w:sz w:val="18"/>
                      <w:szCs w:val="18"/>
                      <w14:textFill>
                        <w14:solidFill>
                          <w14:schemeClr w14:val="tx1"/>
                        </w14:solidFill>
                      </w14:textFill>
                    </w:rPr>
                  </w:pPr>
                  <w:r>
                    <w:rPr>
                      <w:b/>
                      <w:color w:val="000000" w:themeColor="text1"/>
                      <w:kern w:val="0"/>
                      <w:sz w:val="18"/>
                      <w:szCs w:val="18"/>
                      <w14:textFill>
                        <w14:solidFill>
                          <w14:schemeClr w14:val="tx1"/>
                        </w14:solidFill>
                      </w14:textFill>
                    </w:rPr>
                    <w:t>削减量（t/a）</w:t>
                  </w:r>
                </w:p>
              </w:tc>
              <w:tc>
                <w:tcPr>
                  <w:tcW w:w="785" w:type="pct"/>
                  <w:vAlign w:val="center"/>
                </w:tcPr>
                <w:p w14:paraId="41131EF3">
                  <w:pPr>
                    <w:widowControl/>
                    <w:spacing w:line="240" w:lineRule="exact"/>
                    <w:jc w:val="center"/>
                    <w:rPr>
                      <w:b/>
                      <w:color w:val="000000" w:themeColor="text1"/>
                      <w:kern w:val="0"/>
                      <w:sz w:val="18"/>
                      <w:szCs w:val="18"/>
                      <w14:textFill>
                        <w14:solidFill>
                          <w14:schemeClr w14:val="tx1"/>
                        </w14:solidFill>
                      </w14:textFill>
                    </w:rPr>
                  </w:pPr>
                  <w:r>
                    <w:rPr>
                      <w:b/>
                      <w:color w:val="000000" w:themeColor="text1"/>
                      <w:kern w:val="0"/>
                      <w:sz w:val="18"/>
                      <w:szCs w:val="18"/>
                      <w14:textFill>
                        <w14:solidFill>
                          <w14:schemeClr w14:val="tx1"/>
                        </w14:solidFill>
                      </w14:textFill>
                    </w:rPr>
                    <w:t>排放量（t/a）</w:t>
                  </w:r>
                </w:p>
              </w:tc>
            </w:tr>
            <w:tr w14:paraId="7888572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3" w:hRule="atLeast"/>
                <w:jc w:val="center"/>
              </w:trPr>
              <w:tc>
                <w:tcPr>
                  <w:tcW w:w="435" w:type="pct"/>
                  <w:vMerge w:val="restart"/>
                  <w:vAlign w:val="center"/>
                </w:tcPr>
                <w:p w14:paraId="64AA61E3">
                  <w:pPr>
                    <w:widowControl/>
                    <w:spacing w:line="240" w:lineRule="exact"/>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大气污染物</w:t>
                  </w:r>
                </w:p>
              </w:tc>
              <w:tc>
                <w:tcPr>
                  <w:tcW w:w="646" w:type="pct"/>
                  <w:tcMar>
                    <w:top w:w="0" w:type="dxa"/>
                    <w:left w:w="0" w:type="dxa"/>
                    <w:bottom w:w="0" w:type="dxa"/>
                    <w:right w:w="0" w:type="dxa"/>
                  </w:tcMar>
                  <w:vAlign w:val="center"/>
                </w:tcPr>
                <w:p w14:paraId="777A2052">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粉料筒库</w:t>
                  </w:r>
                </w:p>
              </w:tc>
              <w:tc>
                <w:tcPr>
                  <w:tcW w:w="1292" w:type="pct"/>
                  <w:vAlign w:val="center"/>
                </w:tcPr>
                <w:p w14:paraId="2336E858">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sz w:val="18"/>
                      <w:szCs w:val="18"/>
                      <w14:textFill>
                        <w14:solidFill>
                          <w14:schemeClr w14:val="tx1"/>
                        </w14:solidFill>
                      </w14:textFill>
                    </w:rPr>
                    <w:t>粉尘</w:t>
                  </w:r>
                </w:p>
              </w:tc>
              <w:tc>
                <w:tcPr>
                  <w:tcW w:w="1136" w:type="pct"/>
                  <w:tcMar>
                    <w:top w:w="0" w:type="dxa"/>
                    <w:left w:w="0" w:type="dxa"/>
                    <w:bottom w:w="0" w:type="dxa"/>
                    <w:right w:w="0" w:type="dxa"/>
                  </w:tcMar>
                  <w:vAlign w:val="center"/>
                </w:tcPr>
                <w:p w14:paraId="0C7C49DE">
                  <w:pPr>
                    <w:widowControl/>
                    <w:spacing w:line="260" w:lineRule="exact"/>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3000mg/m</w:t>
                  </w:r>
                  <w:r>
                    <w:rPr>
                      <w:color w:val="000000" w:themeColor="text1"/>
                      <w:kern w:val="0"/>
                      <w:sz w:val="18"/>
                      <w:szCs w:val="18"/>
                      <w:vertAlign w:val="superscript"/>
                      <w14:textFill>
                        <w14:solidFill>
                          <w14:schemeClr w14:val="tx1"/>
                        </w14:solidFill>
                      </w14:textFill>
                    </w:rPr>
                    <w:t>3</w:t>
                  </w:r>
                  <w:r>
                    <w:rPr>
                      <w:rFonts w:hint="eastAsia"/>
                      <w:color w:val="000000" w:themeColor="text1"/>
                      <w:kern w:val="0"/>
                      <w:sz w:val="18"/>
                      <w:szCs w:val="18"/>
                      <w14:textFill>
                        <w14:solidFill>
                          <w14:schemeClr w14:val="tx1"/>
                        </w14:solidFill>
                      </w14:textFill>
                    </w:rPr>
                    <w:t>（</w:t>
                  </w:r>
                  <w:r>
                    <w:rPr>
                      <w:color w:val="000000" w:themeColor="text1"/>
                      <w:kern w:val="0"/>
                      <w:sz w:val="18"/>
                      <w:szCs w:val="18"/>
                      <w14:textFill>
                        <w14:solidFill>
                          <w14:schemeClr w14:val="tx1"/>
                        </w14:solidFill>
                      </w14:textFill>
                    </w:rPr>
                    <w:t>546t/a</w:t>
                  </w:r>
                  <w:r>
                    <w:rPr>
                      <w:rFonts w:hint="eastAsia"/>
                      <w:color w:val="000000" w:themeColor="text1"/>
                      <w:kern w:val="0"/>
                      <w:sz w:val="18"/>
                      <w:szCs w:val="18"/>
                      <w14:textFill>
                        <w14:solidFill>
                          <w14:schemeClr w14:val="tx1"/>
                        </w14:solidFill>
                      </w14:textFill>
                    </w:rPr>
                    <w:t>）</w:t>
                  </w:r>
                </w:p>
              </w:tc>
              <w:tc>
                <w:tcPr>
                  <w:tcW w:w="705" w:type="pct"/>
                  <w:vAlign w:val="center"/>
                </w:tcPr>
                <w:p w14:paraId="172A9195">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c>
                <w:tcPr>
                  <w:tcW w:w="785" w:type="pct"/>
                  <w:tcMar>
                    <w:top w:w="0" w:type="dxa"/>
                    <w:left w:w="0" w:type="dxa"/>
                    <w:bottom w:w="0" w:type="dxa"/>
                    <w:right w:w="0" w:type="dxa"/>
                  </w:tcMar>
                  <w:vAlign w:val="center"/>
                </w:tcPr>
                <w:p w14:paraId="571FC2FD">
                  <w:pPr>
                    <w:widowControl/>
                    <w:spacing w:line="240" w:lineRule="exact"/>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15mg/m</w:t>
                  </w:r>
                  <w:r>
                    <w:rPr>
                      <w:color w:val="000000" w:themeColor="text1"/>
                      <w:kern w:val="0"/>
                      <w:sz w:val="18"/>
                      <w:szCs w:val="18"/>
                      <w:vertAlign w:val="superscript"/>
                      <w14:textFill>
                        <w14:solidFill>
                          <w14:schemeClr w14:val="tx1"/>
                        </w14:solidFill>
                      </w14:textFill>
                    </w:rPr>
                    <w:t>3</w:t>
                  </w:r>
                  <w:r>
                    <w:rPr>
                      <w:rFonts w:hint="eastAsia"/>
                      <w:color w:val="000000" w:themeColor="text1"/>
                      <w:kern w:val="0"/>
                      <w:sz w:val="18"/>
                      <w:szCs w:val="18"/>
                      <w14:textFill>
                        <w14:solidFill>
                          <w14:schemeClr w14:val="tx1"/>
                        </w14:solidFill>
                      </w14:textFill>
                    </w:rPr>
                    <w:t>（</w:t>
                  </w:r>
                  <w:r>
                    <w:rPr>
                      <w:color w:val="000000" w:themeColor="text1"/>
                      <w:kern w:val="0"/>
                      <w:sz w:val="18"/>
                      <w:szCs w:val="18"/>
                      <w14:textFill>
                        <w14:solidFill>
                          <w14:schemeClr w14:val="tx1"/>
                        </w14:solidFill>
                      </w14:textFill>
                    </w:rPr>
                    <w:t>2.73t/a</w:t>
                  </w:r>
                  <w:r>
                    <w:rPr>
                      <w:rFonts w:hint="eastAsia"/>
                      <w:color w:val="000000" w:themeColor="text1"/>
                      <w:kern w:val="0"/>
                      <w:sz w:val="18"/>
                      <w:szCs w:val="18"/>
                      <w14:textFill>
                        <w14:solidFill>
                          <w14:schemeClr w14:val="tx1"/>
                        </w14:solidFill>
                      </w14:textFill>
                    </w:rPr>
                    <w:t>）</w:t>
                  </w:r>
                </w:p>
              </w:tc>
            </w:tr>
            <w:tr w14:paraId="1653BDF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3" w:hRule="atLeast"/>
                <w:jc w:val="center"/>
              </w:trPr>
              <w:tc>
                <w:tcPr>
                  <w:tcW w:w="435" w:type="pct"/>
                  <w:vMerge w:val="continue"/>
                  <w:vAlign w:val="center"/>
                </w:tcPr>
                <w:p w14:paraId="21843495">
                  <w:pPr>
                    <w:widowControl/>
                    <w:spacing w:line="240" w:lineRule="exact"/>
                    <w:jc w:val="center"/>
                    <w:rPr>
                      <w:color w:val="000000" w:themeColor="text1"/>
                      <w:kern w:val="0"/>
                      <w:sz w:val="18"/>
                      <w:szCs w:val="18"/>
                      <w14:textFill>
                        <w14:solidFill>
                          <w14:schemeClr w14:val="tx1"/>
                        </w14:solidFill>
                      </w14:textFill>
                    </w:rPr>
                  </w:pPr>
                </w:p>
              </w:tc>
              <w:tc>
                <w:tcPr>
                  <w:tcW w:w="646" w:type="pct"/>
                  <w:tcMar>
                    <w:top w:w="0" w:type="dxa"/>
                    <w:left w:w="0" w:type="dxa"/>
                    <w:bottom w:w="0" w:type="dxa"/>
                    <w:right w:w="0" w:type="dxa"/>
                  </w:tcMar>
                  <w:vAlign w:val="center"/>
                </w:tcPr>
                <w:p w14:paraId="67E201A2">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混凝土搅拌</w:t>
                  </w:r>
                </w:p>
              </w:tc>
              <w:tc>
                <w:tcPr>
                  <w:tcW w:w="1292" w:type="pct"/>
                  <w:vAlign w:val="center"/>
                </w:tcPr>
                <w:p w14:paraId="646584F5">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sz w:val="18"/>
                      <w:szCs w:val="18"/>
                      <w14:textFill>
                        <w14:solidFill>
                          <w14:schemeClr w14:val="tx1"/>
                        </w14:solidFill>
                      </w14:textFill>
                    </w:rPr>
                    <w:t>粉尘</w:t>
                  </w:r>
                </w:p>
              </w:tc>
              <w:tc>
                <w:tcPr>
                  <w:tcW w:w="1136" w:type="pct"/>
                  <w:tcMar>
                    <w:top w:w="0" w:type="dxa"/>
                    <w:left w:w="0" w:type="dxa"/>
                    <w:bottom w:w="0" w:type="dxa"/>
                    <w:right w:w="0" w:type="dxa"/>
                  </w:tcMar>
                  <w:vAlign w:val="center"/>
                </w:tcPr>
                <w:p w14:paraId="25AA946E">
                  <w:pPr>
                    <w:widowControl/>
                    <w:spacing w:line="260" w:lineRule="exact"/>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15170mg/m</w:t>
                  </w:r>
                  <w:r>
                    <w:rPr>
                      <w:color w:val="000000" w:themeColor="text1"/>
                      <w:kern w:val="0"/>
                      <w:sz w:val="18"/>
                      <w:szCs w:val="18"/>
                      <w:vertAlign w:val="superscript"/>
                      <w14:textFill>
                        <w14:solidFill>
                          <w14:schemeClr w14:val="tx1"/>
                        </w14:solidFill>
                      </w14:textFill>
                    </w:rPr>
                    <w:t>3</w:t>
                  </w:r>
                  <w:r>
                    <w:rPr>
                      <w:rFonts w:hint="eastAsia"/>
                      <w:color w:val="000000" w:themeColor="text1"/>
                      <w:kern w:val="0"/>
                      <w:sz w:val="18"/>
                      <w:szCs w:val="18"/>
                      <w14:textFill>
                        <w14:solidFill>
                          <w14:schemeClr w14:val="tx1"/>
                        </w14:solidFill>
                      </w14:textFill>
                    </w:rPr>
                    <w:t>（</w:t>
                  </w:r>
                  <w:r>
                    <w:rPr>
                      <w:color w:val="000000" w:themeColor="text1"/>
                      <w:kern w:val="0"/>
                      <w:sz w:val="18"/>
                      <w:szCs w:val="18"/>
                      <w14:textFill>
                        <w14:solidFill>
                          <w14:schemeClr w14:val="tx1"/>
                        </w14:solidFill>
                      </w14:textFill>
                    </w:rPr>
                    <w:t>3643.2t/a</w:t>
                  </w:r>
                  <w:r>
                    <w:rPr>
                      <w:rFonts w:hint="eastAsia"/>
                      <w:color w:val="000000" w:themeColor="text1"/>
                      <w:kern w:val="0"/>
                      <w:sz w:val="18"/>
                      <w:szCs w:val="18"/>
                      <w14:textFill>
                        <w14:solidFill>
                          <w14:schemeClr w14:val="tx1"/>
                        </w14:solidFill>
                      </w14:textFill>
                    </w:rPr>
                    <w:t>）</w:t>
                  </w:r>
                </w:p>
              </w:tc>
              <w:tc>
                <w:tcPr>
                  <w:tcW w:w="705" w:type="pct"/>
                  <w:vAlign w:val="center"/>
                </w:tcPr>
                <w:p w14:paraId="1C0D093E">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w:t>
                  </w:r>
                </w:p>
              </w:tc>
              <w:tc>
                <w:tcPr>
                  <w:tcW w:w="785" w:type="pct"/>
                  <w:tcMar>
                    <w:top w:w="0" w:type="dxa"/>
                    <w:left w:w="0" w:type="dxa"/>
                    <w:bottom w:w="0" w:type="dxa"/>
                    <w:right w:w="0" w:type="dxa"/>
                  </w:tcMar>
                  <w:vAlign w:val="center"/>
                </w:tcPr>
                <w:p w14:paraId="3B285BBA">
                  <w:pPr>
                    <w:widowControl/>
                    <w:spacing w:line="240" w:lineRule="exact"/>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15.17mg/m</w:t>
                  </w:r>
                  <w:r>
                    <w:rPr>
                      <w:color w:val="000000" w:themeColor="text1"/>
                      <w:kern w:val="0"/>
                      <w:sz w:val="18"/>
                      <w:szCs w:val="18"/>
                      <w:vertAlign w:val="superscript"/>
                      <w14:textFill>
                        <w14:solidFill>
                          <w14:schemeClr w14:val="tx1"/>
                        </w14:solidFill>
                      </w14:textFill>
                    </w:rPr>
                    <w:t>3</w:t>
                  </w:r>
                  <w:r>
                    <w:rPr>
                      <w:rFonts w:hint="eastAsia"/>
                      <w:color w:val="000000" w:themeColor="text1"/>
                      <w:kern w:val="0"/>
                      <w:sz w:val="18"/>
                      <w:szCs w:val="18"/>
                      <w14:textFill>
                        <w14:solidFill>
                          <w14:schemeClr w14:val="tx1"/>
                        </w14:solidFill>
                      </w14:textFill>
                    </w:rPr>
                    <w:t>（</w:t>
                  </w:r>
                  <w:r>
                    <w:rPr>
                      <w:color w:val="000000" w:themeColor="text1"/>
                      <w:kern w:val="0"/>
                      <w:sz w:val="18"/>
                      <w:szCs w:val="18"/>
                      <w14:textFill>
                        <w14:solidFill>
                          <w14:schemeClr w14:val="tx1"/>
                        </w14:solidFill>
                      </w14:textFill>
                    </w:rPr>
                    <w:t>3.64t/a</w:t>
                  </w:r>
                  <w:r>
                    <w:rPr>
                      <w:rFonts w:hint="eastAsia"/>
                      <w:color w:val="000000" w:themeColor="text1"/>
                      <w:kern w:val="0"/>
                      <w:sz w:val="18"/>
                      <w:szCs w:val="18"/>
                      <w14:textFill>
                        <w14:solidFill>
                          <w14:schemeClr w14:val="tx1"/>
                        </w14:solidFill>
                      </w14:textFill>
                    </w:rPr>
                    <w:t>）</w:t>
                  </w:r>
                </w:p>
              </w:tc>
            </w:tr>
            <w:tr w14:paraId="50F170E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3" w:hRule="atLeast"/>
                <w:jc w:val="center"/>
              </w:trPr>
              <w:tc>
                <w:tcPr>
                  <w:tcW w:w="435" w:type="pct"/>
                  <w:vMerge w:val="continue"/>
                  <w:vAlign w:val="center"/>
                </w:tcPr>
                <w:p w14:paraId="25ACA7CB">
                  <w:pPr>
                    <w:widowControl/>
                    <w:spacing w:line="240" w:lineRule="exact"/>
                    <w:jc w:val="center"/>
                    <w:rPr>
                      <w:color w:val="000000" w:themeColor="text1"/>
                      <w:kern w:val="0"/>
                      <w:sz w:val="18"/>
                      <w:szCs w:val="18"/>
                      <w14:textFill>
                        <w14:solidFill>
                          <w14:schemeClr w14:val="tx1"/>
                        </w14:solidFill>
                      </w14:textFill>
                    </w:rPr>
                  </w:pPr>
                </w:p>
              </w:tc>
              <w:tc>
                <w:tcPr>
                  <w:tcW w:w="646" w:type="pct"/>
                  <w:tcMar>
                    <w:top w:w="0" w:type="dxa"/>
                    <w:left w:w="0" w:type="dxa"/>
                    <w:bottom w:w="0" w:type="dxa"/>
                    <w:right w:w="0" w:type="dxa"/>
                  </w:tcMar>
                  <w:vAlign w:val="center"/>
                </w:tcPr>
                <w:p w14:paraId="6BADED83">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原料堆场</w:t>
                  </w:r>
                </w:p>
              </w:tc>
              <w:tc>
                <w:tcPr>
                  <w:tcW w:w="1292" w:type="pct"/>
                  <w:vAlign w:val="center"/>
                </w:tcPr>
                <w:p w14:paraId="0A7DA178">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sz w:val="18"/>
                      <w:szCs w:val="18"/>
                      <w14:textFill>
                        <w14:solidFill>
                          <w14:schemeClr w14:val="tx1"/>
                        </w14:solidFill>
                      </w14:textFill>
                    </w:rPr>
                    <w:t>粉尘</w:t>
                  </w:r>
                </w:p>
              </w:tc>
              <w:tc>
                <w:tcPr>
                  <w:tcW w:w="1136" w:type="pct"/>
                  <w:tcMar>
                    <w:top w:w="0" w:type="dxa"/>
                    <w:left w:w="0" w:type="dxa"/>
                    <w:bottom w:w="0" w:type="dxa"/>
                    <w:right w:w="0" w:type="dxa"/>
                  </w:tcMar>
                  <w:vAlign w:val="center"/>
                </w:tcPr>
                <w:p w14:paraId="10A83B35">
                  <w:pPr>
                    <w:widowControl/>
                    <w:spacing w:line="26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3.6t</w:t>
                  </w:r>
                </w:p>
              </w:tc>
              <w:tc>
                <w:tcPr>
                  <w:tcW w:w="705" w:type="pct"/>
                  <w:vAlign w:val="center"/>
                </w:tcPr>
                <w:p w14:paraId="20F42617">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w:t>
                  </w:r>
                </w:p>
              </w:tc>
              <w:tc>
                <w:tcPr>
                  <w:tcW w:w="785" w:type="pct"/>
                  <w:tcMar>
                    <w:top w:w="0" w:type="dxa"/>
                    <w:left w:w="0" w:type="dxa"/>
                    <w:bottom w:w="0" w:type="dxa"/>
                    <w:right w:w="0" w:type="dxa"/>
                  </w:tcMar>
                  <w:vAlign w:val="center"/>
                </w:tcPr>
                <w:p w14:paraId="5165FEEB">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0.72t</w:t>
                  </w:r>
                </w:p>
              </w:tc>
            </w:tr>
            <w:tr w14:paraId="4DF2FFA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3" w:hRule="atLeast"/>
                <w:jc w:val="center"/>
              </w:trPr>
              <w:tc>
                <w:tcPr>
                  <w:tcW w:w="435" w:type="pct"/>
                  <w:vMerge w:val="continue"/>
                  <w:vAlign w:val="center"/>
                </w:tcPr>
                <w:p w14:paraId="598577EE">
                  <w:pPr>
                    <w:widowControl/>
                    <w:spacing w:line="240" w:lineRule="exact"/>
                    <w:jc w:val="center"/>
                    <w:rPr>
                      <w:color w:val="000000" w:themeColor="text1"/>
                      <w:kern w:val="0"/>
                      <w:sz w:val="18"/>
                      <w:szCs w:val="18"/>
                      <w14:textFill>
                        <w14:solidFill>
                          <w14:schemeClr w14:val="tx1"/>
                        </w14:solidFill>
                      </w14:textFill>
                    </w:rPr>
                  </w:pPr>
                </w:p>
              </w:tc>
              <w:tc>
                <w:tcPr>
                  <w:tcW w:w="646" w:type="pct"/>
                  <w:tcMar>
                    <w:top w:w="0" w:type="dxa"/>
                    <w:left w:w="0" w:type="dxa"/>
                    <w:bottom w:w="0" w:type="dxa"/>
                    <w:right w:w="0" w:type="dxa"/>
                  </w:tcMar>
                  <w:vAlign w:val="center"/>
                </w:tcPr>
                <w:p w14:paraId="7056C4C4">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食堂</w:t>
                  </w:r>
                </w:p>
              </w:tc>
              <w:tc>
                <w:tcPr>
                  <w:tcW w:w="1292" w:type="pct"/>
                  <w:vAlign w:val="center"/>
                </w:tcPr>
                <w:p w14:paraId="4BC79534">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油烟</w:t>
                  </w:r>
                </w:p>
              </w:tc>
              <w:tc>
                <w:tcPr>
                  <w:tcW w:w="1136" w:type="pct"/>
                  <w:tcMar>
                    <w:top w:w="0" w:type="dxa"/>
                    <w:left w:w="0" w:type="dxa"/>
                    <w:bottom w:w="0" w:type="dxa"/>
                    <w:right w:w="0" w:type="dxa"/>
                  </w:tcMar>
                  <w:vAlign w:val="center"/>
                </w:tcPr>
                <w:p w14:paraId="42B3CB6D">
                  <w:pPr>
                    <w:widowControl/>
                    <w:spacing w:line="260" w:lineRule="exact"/>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8mg/m</w:t>
                  </w:r>
                  <w:r>
                    <w:rPr>
                      <w:color w:val="000000" w:themeColor="text1"/>
                      <w:kern w:val="0"/>
                      <w:sz w:val="18"/>
                      <w:szCs w:val="18"/>
                      <w:vertAlign w:val="superscript"/>
                      <w14:textFill>
                        <w14:solidFill>
                          <w14:schemeClr w14:val="tx1"/>
                        </w14:solidFill>
                      </w14:textFill>
                    </w:rPr>
                    <w:t>3</w:t>
                  </w:r>
                  <w:r>
                    <w:rPr>
                      <w:rFonts w:hint="eastAsia"/>
                      <w:color w:val="000000" w:themeColor="text1"/>
                      <w:kern w:val="0"/>
                      <w:sz w:val="18"/>
                      <w:szCs w:val="18"/>
                      <w14:textFill>
                        <w14:solidFill>
                          <w14:schemeClr w14:val="tx1"/>
                        </w14:solidFill>
                      </w14:textFill>
                    </w:rPr>
                    <w:t>（</w:t>
                  </w:r>
                  <w:r>
                    <w:rPr>
                      <w:color w:val="000000" w:themeColor="text1"/>
                      <w:kern w:val="0"/>
                      <w:sz w:val="18"/>
                      <w:szCs w:val="18"/>
                      <w14:textFill>
                        <w14:solidFill>
                          <w14:schemeClr w14:val="tx1"/>
                        </w14:solidFill>
                      </w14:textFill>
                    </w:rPr>
                    <w:t>0.048t/a</w:t>
                  </w:r>
                  <w:r>
                    <w:rPr>
                      <w:rFonts w:hint="eastAsia"/>
                      <w:color w:val="000000" w:themeColor="text1"/>
                      <w:kern w:val="0"/>
                      <w:sz w:val="18"/>
                      <w:szCs w:val="18"/>
                      <w14:textFill>
                        <w14:solidFill>
                          <w14:schemeClr w14:val="tx1"/>
                        </w14:solidFill>
                      </w14:textFill>
                    </w:rPr>
                    <w:t>）</w:t>
                  </w:r>
                </w:p>
              </w:tc>
              <w:tc>
                <w:tcPr>
                  <w:tcW w:w="705" w:type="pct"/>
                  <w:vAlign w:val="center"/>
                </w:tcPr>
                <w:p w14:paraId="068FDEC8">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w:t>
                  </w:r>
                </w:p>
              </w:tc>
              <w:tc>
                <w:tcPr>
                  <w:tcW w:w="785" w:type="pct"/>
                  <w:tcMar>
                    <w:top w:w="0" w:type="dxa"/>
                    <w:left w:w="0" w:type="dxa"/>
                    <w:bottom w:w="0" w:type="dxa"/>
                    <w:right w:w="0" w:type="dxa"/>
                  </w:tcMar>
                  <w:vAlign w:val="center"/>
                </w:tcPr>
                <w:p w14:paraId="58624B63">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2</w:t>
                  </w:r>
                  <w:r>
                    <w:rPr>
                      <w:color w:val="000000" w:themeColor="text1"/>
                      <w:kern w:val="0"/>
                      <w:sz w:val="18"/>
                      <w:szCs w:val="18"/>
                      <w14:textFill>
                        <w14:solidFill>
                          <w14:schemeClr w14:val="tx1"/>
                        </w14:solidFill>
                      </w14:textFill>
                    </w:rPr>
                    <w:t>mg/m</w:t>
                  </w:r>
                  <w:r>
                    <w:rPr>
                      <w:color w:val="000000" w:themeColor="text1"/>
                      <w:kern w:val="0"/>
                      <w:sz w:val="18"/>
                      <w:szCs w:val="18"/>
                      <w:vertAlign w:val="superscript"/>
                      <w14:textFill>
                        <w14:solidFill>
                          <w14:schemeClr w14:val="tx1"/>
                        </w14:solidFill>
                      </w14:textFill>
                    </w:rPr>
                    <w:t>3</w:t>
                  </w:r>
                  <w:r>
                    <w:rPr>
                      <w:rFonts w:hint="eastAsia"/>
                      <w:color w:val="000000" w:themeColor="text1"/>
                      <w:kern w:val="0"/>
                      <w:sz w:val="18"/>
                      <w:szCs w:val="18"/>
                      <w14:textFill>
                        <w14:solidFill>
                          <w14:schemeClr w14:val="tx1"/>
                        </w14:solidFill>
                      </w14:textFill>
                    </w:rPr>
                    <w:t>（</w:t>
                  </w:r>
                  <w:r>
                    <w:rPr>
                      <w:color w:val="000000" w:themeColor="text1"/>
                      <w:kern w:val="0"/>
                      <w:sz w:val="18"/>
                      <w:szCs w:val="18"/>
                      <w14:textFill>
                        <w14:solidFill>
                          <w14:schemeClr w14:val="tx1"/>
                        </w14:solidFill>
                      </w14:textFill>
                    </w:rPr>
                    <w:t>0.0</w:t>
                  </w:r>
                  <w:r>
                    <w:rPr>
                      <w:rFonts w:hint="eastAsia"/>
                      <w:color w:val="000000" w:themeColor="text1"/>
                      <w:kern w:val="0"/>
                      <w:sz w:val="18"/>
                      <w:szCs w:val="18"/>
                      <w14:textFill>
                        <w14:solidFill>
                          <w14:schemeClr w14:val="tx1"/>
                        </w14:solidFill>
                      </w14:textFill>
                    </w:rPr>
                    <w:t>12</w:t>
                  </w:r>
                  <w:r>
                    <w:rPr>
                      <w:color w:val="000000" w:themeColor="text1"/>
                      <w:kern w:val="0"/>
                      <w:sz w:val="18"/>
                      <w:szCs w:val="18"/>
                      <w14:textFill>
                        <w14:solidFill>
                          <w14:schemeClr w14:val="tx1"/>
                        </w14:solidFill>
                      </w14:textFill>
                    </w:rPr>
                    <w:t>t/a</w:t>
                  </w:r>
                  <w:r>
                    <w:rPr>
                      <w:rFonts w:hint="eastAsia"/>
                      <w:color w:val="000000" w:themeColor="text1"/>
                      <w:kern w:val="0"/>
                      <w:sz w:val="18"/>
                      <w:szCs w:val="18"/>
                      <w14:textFill>
                        <w14:solidFill>
                          <w14:schemeClr w14:val="tx1"/>
                        </w14:solidFill>
                      </w14:textFill>
                    </w:rPr>
                    <w:t>）</w:t>
                  </w:r>
                </w:p>
              </w:tc>
            </w:tr>
            <w:tr w14:paraId="50C68E5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90" w:hRule="atLeast"/>
                <w:jc w:val="center"/>
              </w:trPr>
              <w:tc>
                <w:tcPr>
                  <w:tcW w:w="435" w:type="pct"/>
                  <w:vMerge w:val="restart"/>
                  <w:vAlign w:val="center"/>
                </w:tcPr>
                <w:p w14:paraId="7E46E968">
                  <w:pPr>
                    <w:widowControl/>
                    <w:spacing w:line="240" w:lineRule="exact"/>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水污染物</w:t>
                  </w:r>
                </w:p>
              </w:tc>
              <w:tc>
                <w:tcPr>
                  <w:tcW w:w="646" w:type="pct"/>
                  <w:vMerge w:val="restart"/>
                  <w:vAlign w:val="center"/>
                </w:tcPr>
                <w:p w14:paraId="01753405">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生活</w:t>
                  </w:r>
                  <w:r>
                    <w:rPr>
                      <w:color w:val="000000" w:themeColor="text1"/>
                      <w:kern w:val="0"/>
                      <w:sz w:val="18"/>
                      <w:szCs w:val="18"/>
                      <w14:textFill>
                        <w14:solidFill>
                          <w14:schemeClr w14:val="tx1"/>
                        </w14:solidFill>
                      </w14:textFill>
                    </w:rPr>
                    <w:t>废水</w:t>
                  </w:r>
                </w:p>
                <w:p w14:paraId="08595366">
                  <w:pPr>
                    <w:widowControl/>
                    <w:spacing w:line="240" w:lineRule="exact"/>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5738m</w:t>
                  </w:r>
                  <w:r>
                    <w:rPr>
                      <w:color w:val="000000" w:themeColor="text1"/>
                      <w:kern w:val="0"/>
                      <w:sz w:val="18"/>
                      <w:szCs w:val="18"/>
                      <w:vertAlign w:val="superscript"/>
                      <w14:textFill>
                        <w14:solidFill>
                          <w14:schemeClr w14:val="tx1"/>
                        </w14:solidFill>
                      </w14:textFill>
                    </w:rPr>
                    <w:t>3</w:t>
                  </w:r>
                  <w:r>
                    <w:rPr>
                      <w:color w:val="000000" w:themeColor="text1"/>
                      <w:kern w:val="0"/>
                      <w:sz w:val="18"/>
                      <w:szCs w:val="18"/>
                      <w14:textFill>
                        <w14:solidFill>
                          <w14:schemeClr w14:val="tx1"/>
                        </w14:solidFill>
                      </w14:textFill>
                    </w:rPr>
                    <w:t>/a</w:t>
                  </w:r>
                </w:p>
              </w:tc>
              <w:tc>
                <w:tcPr>
                  <w:tcW w:w="1292" w:type="pct"/>
                  <w:vAlign w:val="center"/>
                </w:tcPr>
                <w:p w14:paraId="65E130A4">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pH</w:t>
                  </w:r>
                </w:p>
              </w:tc>
              <w:tc>
                <w:tcPr>
                  <w:tcW w:w="1136" w:type="pct"/>
                  <w:vAlign w:val="center"/>
                </w:tcPr>
                <w:p w14:paraId="0B13FEF3">
                  <w:pPr>
                    <w:widowControl/>
                    <w:spacing w:line="240" w:lineRule="exact"/>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6~9</w:t>
                  </w:r>
                </w:p>
              </w:tc>
              <w:tc>
                <w:tcPr>
                  <w:tcW w:w="705" w:type="pct"/>
                  <w:vAlign w:val="center"/>
                </w:tcPr>
                <w:p w14:paraId="192879B6">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w:t>
                  </w:r>
                </w:p>
              </w:tc>
              <w:tc>
                <w:tcPr>
                  <w:tcW w:w="785" w:type="pct"/>
                  <w:vAlign w:val="center"/>
                </w:tcPr>
                <w:p w14:paraId="40D1EEE5">
                  <w:pPr>
                    <w:widowControl/>
                    <w:spacing w:line="240" w:lineRule="exact"/>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6~9</w:t>
                  </w:r>
                </w:p>
              </w:tc>
            </w:tr>
            <w:tr w14:paraId="0143432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3" w:hRule="atLeast"/>
                <w:jc w:val="center"/>
              </w:trPr>
              <w:tc>
                <w:tcPr>
                  <w:tcW w:w="435" w:type="pct"/>
                  <w:vMerge w:val="continue"/>
                  <w:vAlign w:val="center"/>
                </w:tcPr>
                <w:p w14:paraId="6C50C1C7">
                  <w:pPr>
                    <w:widowControl/>
                    <w:jc w:val="left"/>
                    <w:rPr>
                      <w:color w:val="000000" w:themeColor="text1"/>
                      <w:kern w:val="0"/>
                      <w:sz w:val="18"/>
                      <w:szCs w:val="18"/>
                      <w14:textFill>
                        <w14:solidFill>
                          <w14:schemeClr w14:val="tx1"/>
                        </w14:solidFill>
                      </w14:textFill>
                    </w:rPr>
                  </w:pPr>
                </w:p>
              </w:tc>
              <w:tc>
                <w:tcPr>
                  <w:tcW w:w="646" w:type="pct"/>
                  <w:vMerge w:val="continue"/>
                  <w:vAlign w:val="center"/>
                </w:tcPr>
                <w:p w14:paraId="7126E561">
                  <w:pPr>
                    <w:widowControl/>
                    <w:jc w:val="left"/>
                    <w:rPr>
                      <w:color w:val="000000" w:themeColor="text1"/>
                      <w:kern w:val="0"/>
                      <w:sz w:val="18"/>
                      <w:szCs w:val="18"/>
                      <w14:textFill>
                        <w14:solidFill>
                          <w14:schemeClr w14:val="tx1"/>
                        </w14:solidFill>
                      </w14:textFill>
                    </w:rPr>
                  </w:pPr>
                </w:p>
              </w:tc>
              <w:tc>
                <w:tcPr>
                  <w:tcW w:w="1292" w:type="pct"/>
                  <w:vAlign w:val="center"/>
                </w:tcPr>
                <w:p w14:paraId="7C3A9E44">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CODcr</w:t>
                  </w:r>
                </w:p>
              </w:tc>
              <w:tc>
                <w:tcPr>
                  <w:tcW w:w="1136" w:type="pct"/>
                </w:tcPr>
                <w:p w14:paraId="6FD6836C">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1.728t</w:t>
                  </w:r>
                  <w:r>
                    <w:rPr>
                      <w:color w:val="000000" w:themeColor="text1"/>
                      <w:kern w:val="0"/>
                      <w:sz w:val="18"/>
                      <w:szCs w:val="18"/>
                      <w14:textFill>
                        <w14:solidFill>
                          <w14:schemeClr w14:val="tx1"/>
                        </w14:solidFill>
                      </w14:textFill>
                    </w:rPr>
                    <w:t>（浓度：</w:t>
                  </w:r>
                  <w:r>
                    <w:rPr>
                      <w:rFonts w:hint="eastAsia"/>
                      <w:color w:val="000000" w:themeColor="text1"/>
                      <w:kern w:val="0"/>
                      <w:sz w:val="18"/>
                      <w:szCs w:val="18"/>
                      <w14:textFill>
                        <w14:solidFill>
                          <w14:schemeClr w14:val="tx1"/>
                        </w14:solidFill>
                      </w14:textFill>
                    </w:rPr>
                    <w:t>200mg/L</w:t>
                  </w:r>
                  <w:r>
                    <w:rPr>
                      <w:color w:val="000000" w:themeColor="text1"/>
                      <w:kern w:val="0"/>
                      <w:sz w:val="18"/>
                      <w:szCs w:val="18"/>
                      <w14:textFill>
                        <w14:solidFill>
                          <w14:schemeClr w14:val="tx1"/>
                        </w14:solidFill>
                      </w14:textFill>
                    </w:rPr>
                    <w:t>）</w:t>
                  </w:r>
                </w:p>
              </w:tc>
              <w:tc>
                <w:tcPr>
                  <w:tcW w:w="705" w:type="pct"/>
                  <w:vAlign w:val="center"/>
                </w:tcPr>
                <w:p w14:paraId="137CB5A8">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0.864</w:t>
                  </w:r>
                </w:p>
              </w:tc>
              <w:tc>
                <w:tcPr>
                  <w:tcW w:w="785" w:type="pct"/>
                  <w:vAlign w:val="center"/>
                </w:tcPr>
                <w:p w14:paraId="3251A568">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w:t>
                  </w:r>
                  <w:r>
                    <w:rPr>
                      <w:rFonts w:hint="eastAsia"/>
                      <w:color w:val="000000" w:themeColor="text1"/>
                      <w:kern w:val="0"/>
                      <w:sz w:val="18"/>
                      <w:szCs w:val="18"/>
                      <w14:textFill>
                        <w14:solidFill>
                          <w14:schemeClr w14:val="tx1"/>
                        </w14:solidFill>
                      </w14:textFill>
                    </w:rPr>
                    <w:t>864 t</w:t>
                  </w:r>
                  <w:r>
                    <w:rPr>
                      <w:color w:val="000000" w:themeColor="text1"/>
                      <w:kern w:val="0"/>
                      <w:sz w:val="18"/>
                      <w:szCs w:val="18"/>
                      <w14:textFill>
                        <w14:solidFill>
                          <w14:schemeClr w14:val="tx1"/>
                        </w14:solidFill>
                      </w14:textFill>
                    </w:rPr>
                    <w:t>（浓度：</w:t>
                  </w:r>
                  <w:r>
                    <w:rPr>
                      <w:rFonts w:hint="eastAsia"/>
                      <w:color w:val="000000" w:themeColor="text1"/>
                      <w:kern w:val="0"/>
                      <w:sz w:val="18"/>
                      <w:szCs w:val="18"/>
                      <w14:textFill>
                        <w14:solidFill>
                          <w14:schemeClr w14:val="tx1"/>
                        </w14:solidFill>
                      </w14:textFill>
                    </w:rPr>
                    <w:t>100mg/L</w:t>
                  </w:r>
                  <w:r>
                    <w:rPr>
                      <w:color w:val="000000" w:themeColor="text1"/>
                      <w:kern w:val="0"/>
                      <w:sz w:val="18"/>
                      <w:szCs w:val="18"/>
                      <w14:textFill>
                        <w14:solidFill>
                          <w14:schemeClr w14:val="tx1"/>
                        </w14:solidFill>
                      </w14:textFill>
                    </w:rPr>
                    <w:t>）</w:t>
                  </w:r>
                </w:p>
              </w:tc>
            </w:tr>
            <w:tr w14:paraId="091B501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3" w:hRule="atLeast"/>
                <w:jc w:val="center"/>
              </w:trPr>
              <w:tc>
                <w:tcPr>
                  <w:tcW w:w="435" w:type="pct"/>
                  <w:vMerge w:val="continue"/>
                  <w:vAlign w:val="center"/>
                </w:tcPr>
                <w:p w14:paraId="0C74D843">
                  <w:pPr>
                    <w:widowControl/>
                    <w:jc w:val="left"/>
                    <w:rPr>
                      <w:color w:val="000000" w:themeColor="text1"/>
                      <w:kern w:val="0"/>
                      <w:sz w:val="18"/>
                      <w:szCs w:val="18"/>
                      <w14:textFill>
                        <w14:solidFill>
                          <w14:schemeClr w14:val="tx1"/>
                        </w14:solidFill>
                      </w14:textFill>
                    </w:rPr>
                  </w:pPr>
                </w:p>
              </w:tc>
              <w:tc>
                <w:tcPr>
                  <w:tcW w:w="646" w:type="pct"/>
                  <w:vMerge w:val="continue"/>
                  <w:vAlign w:val="center"/>
                </w:tcPr>
                <w:p w14:paraId="79993DAE">
                  <w:pPr>
                    <w:widowControl/>
                    <w:jc w:val="left"/>
                    <w:rPr>
                      <w:color w:val="000000" w:themeColor="text1"/>
                      <w:kern w:val="0"/>
                      <w:sz w:val="18"/>
                      <w:szCs w:val="18"/>
                      <w14:textFill>
                        <w14:solidFill>
                          <w14:schemeClr w14:val="tx1"/>
                        </w14:solidFill>
                      </w14:textFill>
                    </w:rPr>
                  </w:pPr>
                </w:p>
              </w:tc>
              <w:tc>
                <w:tcPr>
                  <w:tcW w:w="1292" w:type="pct"/>
                  <w:vAlign w:val="center"/>
                </w:tcPr>
                <w:p w14:paraId="06E04286">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BOD</w:t>
                  </w:r>
                  <w:r>
                    <w:rPr>
                      <w:color w:val="000000" w:themeColor="text1"/>
                      <w:kern w:val="0"/>
                      <w:sz w:val="18"/>
                      <w:szCs w:val="18"/>
                      <w:vertAlign w:val="subscript"/>
                      <w14:textFill>
                        <w14:solidFill>
                          <w14:schemeClr w14:val="tx1"/>
                        </w14:solidFill>
                      </w14:textFill>
                    </w:rPr>
                    <w:t>5</w:t>
                  </w:r>
                </w:p>
              </w:tc>
              <w:tc>
                <w:tcPr>
                  <w:tcW w:w="1136" w:type="pct"/>
                </w:tcPr>
                <w:p w14:paraId="6464C5C0">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1.296t</w:t>
                  </w:r>
                  <w:r>
                    <w:rPr>
                      <w:color w:val="000000" w:themeColor="text1"/>
                      <w:kern w:val="0"/>
                      <w:sz w:val="18"/>
                      <w:szCs w:val="18"/>
                      <w14:textFill>
                        <w14:solidFill>
                          <w14:schemeClr w14:val="tx1"/>
                        </w14:solidFill>
                      </w14:textFill>
                    </w:rPr>
                    <w:t>（浓度：</w:t>
                  </w:r>
                  <w:r>
                    <w:rPr>
                      <w:rFonts w:hint="eastAsia"/>
                      <w:color w:val="000000" w:themeColor="text1"/>
                      <w:kern w:val="0"/>
                      <w:sz w:val="18"/>
                      <w:szCs w:val="18"/>
                      <w14:textFill>
                        <w14:solidFill>
                          <w14:schemeClr w14:val="tx1"/>
                        </w14:solidFill>
                      </w14:textFill>
                    </w:rPr>
                    <w:t>150mg/L</w:t>
                  </w:r>
                  <w:r>
                    <w:rPr>
                      <w:color w:val="000000" w:themeColor="text1"/>
                      <w:kern w:val="0"/>
                      <w:sz w:val="18"/>
                      <w:szCs w:val="18"/>
                      <w14:textFill>
                        <w14:solidFill>
                          <w14:schemeClr w14:val="tx1"/>
                        </w14:solidFill>
                      </w14:textFill>
                    </w:rPr>
                    <w:t>）</w:t>
                  </w:r>
                </w:p>
              </w:tc>
              <w:tc>
                <w:tcPr>
                  <w:tcW w:w="705" w:type="pct"/>
                  <w:vAlign w:val="center"/>
                </w:tcPr>
                <w:p w14:paraId="09034400">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1.123</w:t>
                  </w:r>
                </w:p>
              </w:tc>
              <w:tc>
                <w:tcPr>
                  <w:tcW w:w="785" w:type="pct"/>
                  <w:vAlign w:val="center"/>
                </w:tcPr>
                <w:p w14:paraId="5D546108">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w:t>
                  </w:r>
                  <w:r>
                    <w:rPr>
                      <w:rFonts w:hint="eastAsia"/>
                      <w:color w:val="000000" w:themeColor="text1"/>
                      <w:kern w:val="0"/>
                      <w:sz w:val="18"/>
                      <w:szCs w:val="18"/>
                      <w14:textFill>
                        <w14:solidFill>
                          <w14:schemeClr w14:val="tx1"/>
                        </w14:solidFill>
                      </w14:textFill>
                    </w:rPr>
                    <w:t>173 t</w:t>
                  </w:r>
                  <w:r>
                    <w:rPr>
                      <w:color w:val="000000" w:themeColor="text1"/>
                      <w:kern w:val="0"/>
                      <w:sz w:val="18"/>
                      <w:szCs w:val="18"/>
                      <w14:textFill>
                        <w14:solidFill>
                          <w14:schemeClr w14:val="tx1"/>
                        </w14:solidFill>
                      </w14:textFill>
                    </w:rPr>
                    <w:t>（浓度：</w:t>
                  </w:r>
                  <w:r>
                    <w:rPr>
                      <w:rFonts w:hint="eastAsia"/>
                      <w:color w:val="000000" w:themeColor="text1"/>
                      <w:kern w:val="0"/>
                      <w:sz w:val="18"/>
                      <w:szCs w:val="18"/>
                      <w14:textFill>
                        <w14:solidFill>
                          <w14:schemeClr w14:val="tx1"/>
                        </w14:solidFill>
                      </w14:textFill>
                    </w:rPr>
                    <w:t>20mg/L</w:t>
                  </w:r>
                  <w:r>
                    <w:rPr>
                      <w:color w:val="000000" w:themeColor="text1"/>
                      <w:kern w:val="0"/>
                      <w:sz w:val="18"/>
                      <w:szCs w:val="18"/>
                      <w14:textFill>
                        <w14:solidFill>
                          <w14:schemeClr w14:val="tx1"/>
                        </w14:solidFill>
                      </w14:textFill>
                    </w:rPr>
                    <w:t>）</w:t>
                  </w:r>
                </w:p>
              </w:tc>
            </w:tr>
            <w:tr w14:paraId="7831947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3" w:hRule="atLeast"/>
                <w:jc w:val="center"/>
              </w:trPr>
              <w:tc>
                <w:tcPr>
                  <w:tcW w:w="435" w:type="pct"/>
                  <w:vMerge w:val="continue"/>
                  <w:vAlign w:val="center"/>
                </w:tcPr>
                <w:p w14:paraId="77DD4B10">
                  <w:pPr>
                    <w:widowControl/>
                    <w:jc w:val="left"/>
                    <w:rPr>
                      <w:color w:val="000000" w:themeColor="text1"/>
                      <w:kern w:val="0"/>
                      <w:sz w:val="18"/>
                      <w:szCs w:val="18"/>
                      <w14:textFill>
                        <w14:solidFill>
                          <w14:schemeClr w14:val="tx1"/>
                        </w14:solidFill>
                      </w14:textFill>
                    </w:rPr>
                  </w:pPr>
                </w:p>
              </w:tc>
              <w:tc>
                <w:tcPr>
                  <w:tcW w:w="646" w:type="pct"/>
                  <w:vMerge w:val="continue"/>
                  <w:vAlign w:val="center"/>
                </w:tcPr>
                <w:p w14:paraId="7F959F8B">
                  <w:pPr>
                    <w:widowControl/>
                    <w:jc w:val="left"/>
                    <w:rPr>
                      <w:color w:val="000000" w:themeColor="text1"/>
                      <w:kern w:val="0"/>
                      <w:sz w:val="18"/>
                      <w:szCs w:val="18"/>
                      <w14:textFill>
                        <w14:solidFill>
                          <w14:schemeClr w14:val="tx1"/>
                        </w14:solidFill>
                      </w14:textFill>
                    </w:rPr>
                  </w:pPr>
                </w:p>
              </w:tc>
              <w:tc>
                <w:tcPr>
                  <w:tcW w:w="1292" w:type="pct"/>
                  <w:vAlign w:val="center"/>
                </w:tcPr>
                <w:p w14:paraId="2A1685B8">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NH</w:t>
                  </w:r>
                  <w:r>
                    <w:rPr>
                      <w:rFonts w:hint="eastAsia"/>
                      <w:color w:val="000000" w:themeColor="text1"/>
                      <w:kern w:val="0"/>
                      <w:sz w:val="18"/>
                      <w:szCs w:val="18"/>
                      <w:vertAlign w:val="subscript"/>
                      <w14:textFill>
                        <w14:solidFill>
                          <w14:schemeClr w14:val="tx1"/>
                        </w14:solidFill>
                      </w14:textFill>
                    </w:rPr>
                    <w:t>3</w:t>
                  </w:r>
                  <w:r>
                    <w:rPr>
                      <w:rFonts w:hint="eastAsia"/>
                      <w:color w:val="000000" w:themeColor="text1"/>
                      <w:kern w:val="0"/>
                      <w:sz w:val="18"/>
                      <w:szCs w:val="18"/>
                      <w14:textFill>
                        <w14:solidFill>
                          <w14:schemeClr w14:val="tx1"/>
                        </w14:solidFill>
                      </w14:textFill>
                    </w:rPr>
                    <w:t>-N</w:t>
                  </w:r>
                </w:p>
              </w:tc>
              <w:tc>
                <w:tcPr>
                  <w:tcW w:w="1136" w:type="pct"/>
                </w:tcPr>
                <w:p w14:paraId="3D149ED0">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0.216t</w:t>
                  </w:r>
                  <w:r>
                    <w:rPr>
                      <w:color w:val="000000" w:themeColor="text1"/>
                      <w:kern w:val="0"/>
                      <w:sz w:val="18"/>
                      <w:szCs w:val="18"/>
                      <w14:textFill>
                        <w14:solidFill>
                          <w14:schemeClr w14:val="tx1"/>
                        </w14:solidFill>
                      </w14:textFill>
                    </w:rPr>
                    <w:t>（浓度：</w:t>
                  </w:r>
                  <w:r>
                    <w:rPr>
                      <w:rFonts w:hint="eastAsia"/>
                      <w:color w:val="000000" w:themeColor="text1"/>
                      <w:kern w:val="0"/>
                      <w:sz w:val="18"/>
                      <w:szCs w:val="18"/>
                      <w14:textFill>
                        <w14:solidFill>
                          <w14:schemeClr w14:val="tx1"/>
                        </w14:solidFill>
                      </w14:textFill>
                    </w:rPr>
                    <w:t>25mg/L</w:t>
                  </w:r>
                </w:p>
              </w:tc>
              <w:tc>
                <w:tcPr>
                  <w:tcW w:w="705" w:type="pct"/>
                  <w:vAlign w:val="center"/>
                </w:tcPr>
                <w:p w14:paraId="5B1D6987">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0.086</w:t>
                  </w:r>
                </w:p>
              </w:tc>
              <w:tc>
                <w:tcPr>
                  <w:tcW w:w="785" w:type="pct"/>
                  <w:vAlign w:val="center"/>
                </w:tcPr>
                <w:p w14:paraId="12664353">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w:t>
                  </w:r>
                  <w:r>
                    <w:rPr>
                      <w:rFonts w:hint="eastAsia"/>
                      <w:color w:val="000000" w:themeColor="text1"/>
                      <w:kern w:val="0"/>
                      <w:sz w:val="18"/>
                      <w:szCs w:val="18"/>
                      <w14:textFill>
                        <w14:solidFill>
                          <w14:schemeClr w14:val="tx1"/>
                        </w14:solidFill>
                      </w14:textFill>
                    </w:rPr>
                    <w:t>130 t</w:t>
                  </w:r>
                  <w:r>
                    <w:rPr>
                      <w:color w:val="000000" w:themeColor="text1"/>
                      <w:kern w:val="0"/>
                      <w:sz w:val="18"/>
                      <w:szCs w:val="18"/>
                      <w14:textFill>
                        <w14:solidFill>
                          <w14:schemeClr w14:val="tx1"/>
                        </w14:solidFill>
                      </w14:textFill>
                    </w:rPr>
                    <w:t>（浓度：</w:t>
                  </w:r>
                  <w:r>
                    <w:rPr>
                      <w:rFonts w:hint="eastAsia"/>
                      <w:color w:val="000000" w:themeColor="text1"/>
                      <w:kern w:val="0"/>
                      <w:sz w:val="18"/>
                      <w:szCs w:val="18"/>
                      <w14:textFill>
                        <w14:solidFill>
                          <w14:schemeClr w14:val="tx1"/>
                        </w14:solidFill>
                      </w14:textFill>
                    </w:rPr>
                    <w:t>15mg/L</w:t>
                  </w:r>
                  <w:r>
                    <w:rPr>
                      <w:color w:val="000000" w:themeColor="text1"/>
                      <w:kern w:val="0"/>
                      <w:sz w:val="18"/>
                      <w:szCs w:val="18"/>
                      <w14:textFill>
                        <w14:solidFill>
                          <w14:schemeClr w14:val="tx1"/>
                        </w14:solidFill>
                      </w14:textFill>
                    </w:rPr>
                    <w:t>）</w:t>
                  </w:r>
                </w:p>
              </w:tc>
            </w:tr>
            <w:tr w14:paraId="0B75D96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3" w:hRule="atLeast"/>
                <w:jc w:val="center"/>
              </w:trPr>
              <w:tc>
                <w:tcPr>
                  <w:tcW w:w="435" w:type="pct"/>
                  <w:vMerge w:val="continue"/>
                  <w:vAlign w:val="center"/>
                </w:tcPr>
                <w:p w14:paraId="2119F78B">
                  <w:pPr>
                    <w:widowControl/>
                    <w:jc w:val="left"/>
                    <w:rPr>
                      <w:color w:val="000000" w:themeColor="text1"/>
                      <w:kern w:val="0"/>
                      <w:sz w:val="18"/>
                      <w:szCs w:val="18"/>
                      <w14:textFill>
                        <w14:solidFill>
                          <w14:schemeClr w14:val="tx1"/>
                        </w14:solidFill>
                      </w14:textFill>
                    </w:rPr>
                  </w:pPr>
                </w:p>
              </w:tc>
              <w:tc>
                <w:tcPr>
                  <w:tcW w:w="646" w:type="pct"/>
                  <w:vMerge w:val="continue"/>
                  <w:vAlign w:val="center"/>
                </w:tcPr>
                <w:p w14:paraId="7C3A66A2">
                  <w:pPr>
                    <w:widowControl/>
                    <w:jc w:val="left"/>
                    <w:rPr>
                      <w:color w:val="000000" w:themeColor="text1"/>
                      <w:kern w:val="0"/>
                      <w:sz w:val="18"/>
                      <w:szCs w:val="18"/>
                      <w14:textFill>
                        <w14:solidFill>
                          <w14:schemeClr w14:val="tx1"/>
                        </w14:solidFill>
                      </w14:textFill>
                    </w:rPr>
                  </w:pPr>
                </w:p>
              </w:tc>
              <w:tc>
                <w:tcPr>
                  <w:tcW w:w="1292" w:type="pct"/>
                  <w:vAlign w:val="center"/>
                </w:tcPr>
                <w:p w14:paraId="67805E91">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SS</w:t>
                  </w:r>
                </w:p>
              </w:tc>
              <w:tc>
                <w:tcPr>
                  <w:tcW w:w="1136" w:type="pct"/>
                </w:tcPr>
                <w:p w14:paraId="42B8DB7C">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1.296 t</w:t>
                  </w:r>
                  <w:r>
                    <w:rPr>
                      <w:color w:val="000000" w:themeColor="text1"/>
                      <w:kern w:val="0"/>
                      <w:sz w:val="18"/>
                      <w:szCs w:val="18"/>
                      <w14:textFill>
                        <w14:solidFill>
                          <w14:schemeClr w14:val="tx1"/>
                        </w14:solidFill>
                      </w14:textFill>
                    </w:rPr>
                    <w:t>（浓度：</w:t>
                  </w:r>
                  <w:r>
                    <w:rPr>
                      <w:rFonts w:hint="eastAsia"/>
                      <w:color w:val="000000" w:themeColor="text1"/>
                      <w:kern w:val="0"/>
                      <w:sz w:val="18"/>
                      <w:szCs w:val="18"/>
                      <w14:textFill>
                        <w14:solidFill>
                          <w14:schemeClr w14:val="tx1"/>
                        </w14:solidFill>
                      </w14:textFill>
                    </w:rPr>
                    <w:t>150mg/L</w:t>
                  </w:r>
                  <w:r>
                    <w:rPr>
                      <w:color w:val="000000" w:themeColor="text1"/>
                      <w:kern w:val="0"/>
                      <w:sz w:val="18"/>
                      <w:szCs w:val="18"/>
                      <w14:textFill>
                        <w14:solidFill>
                          <w14:schemeClr w14:val="tx1"/>
                        </w14:solidFill>
                      </w14:textFill>
                    </w:rPr>
                    <w:t>）</w:t>
                  </w:r>
                </w:p>
              </w:tc>
              <w:tc>
                <w:tcPr>
                  <w:tcW w:w="705" w:type="pct"/>
                  <w:vAlign w:val="center"/>
                </w:tcPr>
                <w:p w14:paraId="48C8F2B9">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w:t>
                  </w:r>
                  <w:r>
                    <w:rPr>
                      <w:rFonts w:hint="eastAsia"/>
                      <w:color w:val="000000" w:themeColor="text1"/>
                      <w:kern w:val="0"/>
                      <w:sz w:val="18"/>
                      <w:szCs w:val="18"/>
                      <w14:textFill>
                        <w14:solidFill>
                          <w14:schemeClr w14:val="tx1"/>
                        </w14:solidFill>
                      </w14:textFill>
                    </w:rPr>
                    <w:t>.691</w:t>
                  </w:r>
                </w:p>
              </w:tc>
              <w:tc>
                <w:tcPr>
                  <w:tcW w:w="785" w:type="pct"/>
                  <w:vAlign w:val="center"/>
                </w:tcPr>
                <w:p w14:paraId="60147268">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w:t>
                  </w:r>
                  <w:r>
                    <w:rPr>
                      <w:rFonts w:hint="eastAsia"/>
                      <w:color w:val="000000" w:themeColor="text1"/>
                      <w:kern w:val="0"/>
                      <w:sz w:val="18"/>
                      <w:szCs w:val="18"/>
                      <w14:textFill>
                        <w14:solidFill>
                          <w14:schemeClr w14:val="tx1"/>
                        </w14:solidFill>
                      </w14:textFill>
                    </w:rPr>
                    <w:t>605 t</w:t>
                  </w:r>
                  <w:r>
                    <w:rPr>
                      <w:color w:val="000000" w:themeColor="text1"/>
                      <w:kern w:val="0"/>
                      <w:sz w:val="18"/>
                      <w:szCs w:val="18"/>
                      <w14:textFill>
                        <w14:solidFill>
                          <w14:schemeClr w14:val="tx1"/>
                        </w14:solidFill>
                      </w14:textFill>
                    </w:rPr>
                    <w:t>（浓度：</w:t>
                  </w:r>
                  <w:r>
                    <w:rPr>
                      <w:rFonts w:hint="eastAsia"/>
                      <w:color w:val="000000" w:themeColor="text1"/>
                      <w:kern w:val="0"/>
                      <w:sz w:val="18"/>
                      <w:szCs w:val="18"/>
                      <w14:textFill>
                        <w14:solidFill>
                          <w14:schemeClr w14:val="tx1"/>
                        </w14:solidFill>
                      </w14:textFill>
                    </w:rPr>
                    <w:t>70mg/L</w:t>
                  </w:r>
                  <w:r>
                    <w:rPr>
                      <w:color w:val="000000" w:themeColor="text1"/>
                      <w:kern w:val="0"/>
                      <w:sz w:val="18"/>
                      <w:szCs w:val="18"/>
                      <w14:textFill>
                        <w14:solidFill>
                          <w14:schemeClr w14:val="tx1"/>
                        </w14:solidFill>
                      </w14:textFill>
                    </w:rPr>
                    <w:t>）</w:t>
                  </w:r>
                </w:p>
              </w:tc>
            </w:tr>
            <w:tr w14:paraId="0E1411D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3" w:hRule="atLeast"/>
                <w:jc w:val="center"/>
              </w:trPr>
              <w:tc>
                <w:tcPr>
                  <w:tcW w:w="435" w:type="pct"/>
                  <w:vMerge w:val="continue"/>
                  <w:vAlign w:val="center"/>
                </w:tcPr>
                <w:p w14:paraId="4321DAD2">
                  <w:pPr>
                    <w:widowControl/>
                    <w:jc w:val="left"/>
                    <w:rPr>
                      <w:color w:val="000000" w:themeColor="text1"/>
                      <w:kern w:val="0"/>
                      <w:sz w:val="18"/>
                      <w:szCs w:val="18"/>
                      <w14:textFill>
                        <w14:solidFill>
                          <w14:schemeClr w14:val="tx1"/>
                        </w14:solidFill>
                      </w14:textFill>
                    </w:rPr>
                  </w:pPr>
                </w:p>
              </w:tc>
              <w:tc>
                <w:tcPr>
                  <w:tcW w:w="646" w:type="pct"/>
                  <w:vMerge w:val="continue"/>
                  <w:vAlign w:val="center"/>
                </w:tcPr>
                <w:p w14:paraId="04D4900C">
                  <w:pPr>
                    <w:widowControl/>
                    <w:jc w:val="left"/>
                    <w:rPr>
                      <w:color w:val="000000" w:themeColor="text1"/>
                      <w:kern w:val="0"/>
                      <w:sz w:val="18"/>
                      <w:szCs w:val="18"/>
                      <w14:textFill>
                        <w14:solidFill>
                          <w14:schemeClr w14:val="tx1"/>
                        </w14:solidFill>
                      </w14:textFill>
                    </w:rPr>
                  </w:pPr>
                </w:p>
              </w:tc>
              <w:tc>
                <w:tcPr>
                  <w:tcW w:w="1292" w:type="pct"/>
                  <w:vAlign w:val="center"/>
                </w:tcPr>
                <w:p w14:paraId="69A6C318">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动植物油</w:t>
                  </w:r>
                </w:p>
              </w:tc>
              <w:tc>
                <w:tcPr>
                  <w:tcW w:w="1136" w:type="pct"/>
                </w:tcPr>
                <w:p w14:paraId="3D976C66">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0.346 t</w:t>
                  </w:r>
                  <w:r>
                    <w:rPr>
                      <w:color w:val="000000" w:themeColor="text1"/>
                      <w:kern w:val="0"/>
                      <w:sz w:val="18"/>
                      <w:szCs w:val="18"/>
                      <w14:textFill>
                        <w14:solidFill>
                          <w14:schemeClr w14:val="tx1"/>
                        </w14:solidFill>
                      </w14:textFill>
                    </w:rPr>
                    <w:t>（浓度：</w:t>
                  </w:r>
                  <w:r>
                    <w:rPr>
                      <w:rFonts w:hint="eastAsia"/>
                      <w:color w:val="000000" w:themeColor="text1"/>
                      <w:kern w:val="0"/>
                      <w:sz w:val="18"/>
                      <w:szCs w:val="18"/>
                      <w14:textFill>
                        <w14:solidFill>
                          <w14:schemeClr w14:val="tx1"/>
                        </w14:solidFill>
                      </w14:textFill>
                    </w:rPr>
                    <w:t>40mg/L</w:t>
                  </w:r>
                  <w:r>
                    <w:rPr>
                      <w:color w:val="000000" w:themeColor="text1"/>
                      <w:kern w:val="0"/>
                      <w:sz w:val="18"/>
                      <w:szCs w:val="18"/>
                      <w14:textFill>
                        <w14:solidFill>
                          <w14:schemeClr w14:val="tx1"/>
                        </w14:solidFill>
                      </w14:textFill>
                    </w:rPr>
                    <w:t>）</w:t>
                  </w:r>
                </w:p>
              </w:tc>
              <w:tc>
                <w:tcPr>
                  <w:tcW w:w="705" w:type="pct"/>
                  <w:vAlign w:val="center"/>
                </w:tcPr>
                <w:p w14:paraId="7526687B">
                  <w:pPr>
                    <w:widowControl/>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0.26</w:t>
                  </w:r>
                </w:p>
              </w:tc>
              <w:tc>
                <w:tcPr>
                  <w:tcW w:w="785" w:type="pct"/>
                  <w:vAlign w:val="center"/>
                </w:tcPr>
                <w:p w14:paraId="5D83384F">
                  <w:pPr>
                    <w:widowControl/>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w:t>
                  </w:r>
                  <w:r>
                    <w:rPr>
                      <w:rFonts w:hint="eastAsia"/>
                      <w:color w:val="000000" w:themeColor="text1"/>
                      <w:kern w:val="0"/>
                      <w:sz w:val="18"/>
                      <w:szCs w:val="18"/>
                      <w14:textFill>
                        <w14:solidFill>
                          <w14:schemeClr w14:val="tx1"/>
                        </w14:solidFill>
                      </w14:textFill>
                    </w:rPr>
                    <w:t>086 t</w:t>
                  </w:r>
                  <w:r>
                    <w:rPr>
                      <w:color w:val="000000" w:themeColor="text1"/>
                      <w:kern w:val="0"/>
                      <w:sz w:val="18"/>
                      <w:szCs w:val="18"/>
                      <w14:textFill>
                        <w14:solidFill>
                          <w14:schemeClr w14:val="tx1"/>
                        </w14:solidFill>
                      </w14:textFill>
                    </w:rPr>
                    <w:t>（浓度：</w:t>
                  </w:r>
                  <w:r>
                    <w:rPr>
                      <w:rFonts w:hint="eastAsia"/>
                      <w:color w:val="000000" w:themeColor="text1"/>
                      <w:kern w:val="0"/>
                      <w:sz w:val="18"/>
                      <w:szCs w:val="18"/>
                      <w14:textFill>
                        <w14:solidFill>
                          <w14:schemeClr w14:val="tx1"/>
                        </w14:solidFill>
                      </w14:textFill>
                    </w:rPr>
                    <w:t>10mg/L</w:t>
                  </w:r>
                  <w:r>
                    <w:rPr>
                      <w:color w:val="000000" w:themeColor="text1"/>
                      <w:kern w:val="0"/>
                      <w:sz w:val="18"/>
                      <w:szCs w:val="18"/>
                      <w14:textFill>
                        <w14:solidFill>
                          <w14:schemeClr w14:val="tx1"/>
                        </w14:solidFill>
                      </w14:textFill>
                    </w:rPr>
                    <w:t>）</w:t>
                  </w:r>
                </w:p>
              </w:tc>
            </w:tr>
            <w:tr w14:paraId="6ACF393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3" w:hRule="atLeast"/>
                <w:jc w:val="center"/>
              </w:trPr>
              <w:tc>
                <w:tcPr>
                  <w:tcW w:w="435" w:type="pct"/>
                  <w:vMerge w:val="restart"/>
                  <w:vAlign w:val="center"/>
                </w:tcPr>
                <w:p w14:paraId="32FCD7C5">
                  <w:pPr>
                    <w:widowControl/>
                    <w:spacing w:line="240" w:lineRule="exact"/>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固体废物</w:t>
                  </w:r>
                </w:p>
              </w:tc>
              <w:tc>
                <w:tcPr>
                  <w:tcW w:w="646" w:type="pct"/>
                  <w:vMerge w:val="restart"/>
                  <w:vAlign w:val="center"/>
                </w:tcPr>
                <w:p w14:paraId="28EE6DAB">
                  <w:pPr>
                    <w:widowControl/>
                    <w:spacing w:line="240" w:lineRule="exact"/>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一般固废</w:t>
                  </w:r>
                </w:p>
              </w:tc>
              <w:tc>
                <w:tcPr>
                  <w:tcW w:w="1292" w:type="pct"/>
                  <w:vAlign w:val="center"/>
                </w:tcPr>
                <w:p w14:paraId="5DF20F70">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不合格产品</w:t>
                  </w:r>
                </w:p>
              </w:tc>
              <w:tc>
                <w:tcPr>
                  <w:tcW w:w="1136" w:type="pct"/>
                  <w:vAlign w:val="center"/>
                </w:tcPr>
                <w:p w14:paraId="2A471F1E">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600t/a</w:t>
                  </w:r>
                </w:p>
              </w:tc>
              <w:tc>
                <w:tcPr>
                  <w:tcW w:w="705" w:type="pct"/>
                  <w:vAlign w:val="center"/>
                </w:tcPr>
                <w:p w14:paraId="05819D2A">
                  <w:pPr>
                    <w:widowControl/>
                    <w:spacing w:line="240" w:lineRule="exact"/>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w:t>
                  </w:r>
                </w:p>
              </w:tc>
              <w:tc>
                <w:tcPr>
                  <w:tcW w:w="785" w:type="pct"/>
                  <w:vAlign w:val="center"/>
                </w:tcPr>
                <w:p w14:paraId="587710E0">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600t/a</w:t>
                  </w:r>
                </w:p>
              </w:tc>
            </w:tr>
            <w:tr w14:paraId="587507E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3" w:hRule="atLeast"/>
                <w:jc w:val="center"/>
              </w:trPr>
              <w:tc>
                <w:tcPr>
                  <w:tcW w:w="435" w:type="pct"/>
                  <w:vMerge w:val="continue"/>
                  <w:vAlign w:val="center"/>
                </w:tcPr>
                <w:p w14:paraId="2AD1E225">
                  <w:pPr>
                    <w:widowControl/>
                    <w:spacing w:line="240" w:lineRule="exact"/>
                    <w:jc w:val="center"/>
                    <w:rPr>
                      <w:color w:val="000000" w:themeColor="text1"/>
                      <w:kern w:val="0"/>
                      <w:sz w:val="18"/>
                      <w:szCs w:val="18"/>
                      <w14:textFill>
                        <w14:solidFill>
                          <w14:schemeClr w14:val="tx1"/>
                        </w14:solidFill>
                      </w14:textFill>
                    </w:rPr>
                  </w:pPr>
                </w:p>
              </w:tc>
              <w:tc>
                <w:tcPr>
                  <w:tcW w:w="646" w:type="pct"/>
                  <w:vMerge w:val="continue"/>
                  <w:vAlign w:val="center"/>
                </w:tcPr>
                <w:p w14:paraId="50DD7B15">
                  <w:pPr>
                    <w:widowControl/>
                    <w:spacing w:line="240" w:lineRule="exact"/>
                    <w:jc w:val="center"/>
                    <w:rPr>
                      <w:color w:val="000000" w:themeColor="text1"/>
                      <w:kern w:val="0"/>
                      <w:sz w:val="18"/>
                      <w:szCs w:val="18"/>
                      <w14:textFill>
                        <w14:solidFill>
                          <w14:schemeClr w14:val="tx1"/>
                        </w14:solidFill>
                      </w14:textFill>
                    </w:rPr>
                  </w:pPr>
                </w:p>
              </w:tc>
              <w:tc>
                <w:tcPr>
                  <w:tcW w:w="1292" w:type="pct"/>
                  <w:vAlign w:val="center"/>
                </w:tcPr>
                <w:p w14:paraId="5BC7C612">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除尘器收集的粉尘</w:t>
                  </w:r>
                </w:p>
              </w:tc>
              <w:tc>
                <w:tcPr>
                  <w:tcW w:w="1136" w:type="pct"/>
                  <w:vAlign w:val="center"/>
                </w:tcPr>
                <w:p w14:paraId="1A067A88">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4182.83 t/a</w:t>
                  </w:r>
                </w:p>
              </w:tc>
              <w:tc>
                <w:tcPr>
                  <w:tcW w:w="705" w:type="pct"/>
                  <w:vAlign w:val="center"/>
                </w:tcPr>
                <w:p w14:paraId="05976CA8">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0</w:t>
                  </w:r>
                </w:p>
              </w:tc>
              <w:tc>
                <w:tcPr>
                  <w:tcW w:w="785" w:type="pct"/>
                  <w:vAlign w:val="center"/>
                </w:tcPr>
                <w:p w14:paraId="1D3013D1">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4182.83 t/a</w:t>
                  </w:r>
                </w:p>
              </w:tc>
            </w:tr>
            <w:tr w14:paraId="7E7441A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3" w:hRule="atLeast"/>
                <w:jc w:val="center"/>
              </w:trPr>
              <w:tc>
                <w:tcPr>
                  <w:tcW w:w="435" w:type="pct"/>
                  <w:vMerge w:val="continue"/>
                  <w:vAlign w:val="center"/>
                </w:tcPr>
                <w:p w14:paraId="1CBCEDA1">
                  <w:pPr>
                    <w:widowControl/>
                    <w:spacing w:line="240" w:lineRule="exact"/>
                    <w:jc w:val="center"/>
                    <w:rPr>
                      <w:color w:val="000000" w:themeColor="text1"/>
                      <w:kern w:val="0"/>
                      <w:sz w:val="18"/>
                      <w:szCs w:val="18"/>
                      <w14:textFill>
                        <w14:solidFill>
                          <w14:schemeClr w14:val="tx1"/>
                        </w14:solidFill>
                      </w14:textFill>
                    </w:rPr>
                  </w:pPr>
                </w:p>
              </w:tc>
              <w:tc>
                <w:tcPr>
                  <w:tcW w:w="646" w:type="pct"/>
                  <w:vMerge w:val="continue"/>
                  <w:vAlign w:val="center"/>
                </w:tcPr>
                <w:p w14:paraId="16F5029F">
                  <w:pPr>
                    <w:widowControl/>
                    <w:spacing w:line="240" w:lineRule="exact"/>
                    <w:jc w:val="center"/>
                    <w:rPr>
                      <w:color w:val="000000" w:themeColor="text1"/>
                      <w:kern w:val="0"/>
                      <w:sz w:val="18"/>
                      <w:szCs w:val="18"/>
                      <w14:textFill>
                        <w14:solidFill>
                          <w14:schemeClr w14:val="tx1"/>
                        </w14:solidFill>
                      </w14:textFill>
                    </w:rPr>
                  </w:pPr>
                </w:p>
              </w:tc>
              <w:tc>
                <w:tcPr>
                  <w:tcW w:w="1292" w:type="pct"/>
                  <w:vAlign w:val="center"/>
                </w:tcPr>
                <w:p w14:paraId="50724C07">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清洗废水处理的沉淀物</w:t>
                  </w:r>
                </w:p>
              </w:tc>
              <w:tc>
                <w:tcPr>
                  <w:tcW w:w="1136" w:type="pct"/>
                  <w:vAlign w:val="center"/>
                </w:tcPr>
                <w:p w14:paraId="4BDB8035">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204 t/a</w:t>
                  </w:r>
                </w:p>
              </w:tc>
              <w:tc>
                <w:tcPr>
                  <w:tcW w:w="705" w:type="pct"/>
                  <w:vAlign w:val="center"/>
                </w:tcPr>
                <w:p w14:paraId="3ED25F06">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0</w:t>
                  </w:r>
                </w:p>
              </w:tc>
              <w:tc>
                <w:tcPr>
                  <w:tcW w:w="785" w:type="pct"/>
                  <w:vAlign w:val="center"/>
                </w:tcPr>
                <w:p w14:paraId="279446FE">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204 t/a</w:t>
                  </w:r>
                </w:p>
              </w:tc>
            </w:tr>
            <w:tr w14:paraId="40C8B37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3" w:hRule="atLeast"/>
                <w:jc w:val="center"/>
              </w:trPr>
              <w:tc>
                <w:tcPr>
                  <w:tcW w:w="435" w:type="pct"/>
                  <w:vMerge w:val="continue"/>
                  <w:vAlign w:val="center"/>
                </w:tcPr>
                <w:p w14:paraId="4D06C901">
                  <w:pPr>
                    <w:widowControl/>
                    <w:spacing w:line="240" w:lineRule="exact"/>
                    <w:jc w:val="center"/>
                    <w:rPr>
                      <w:color w:val="000000" w:themeColor="text1"/>
                      <w:kern w:val="0"/>
                      <w:sz w:val="18"/>
                      <w:szCs w:val="18"/>
                      <w14:textFill>
                        <w14:solidFill>
                          <w14:schemeClr w14:val="tx1"/>
                        </w14:solidFill>
                      </w14:textFill>
                    </w:rPr>
                  </w:pPr>
                </w:p>
              </w:tc>
              <w:tc>
                <w:tcPr>
                  <w:tcW w:w="1938" w:type="pct"/>
                  <w:gridSpan w:val="2"/>
                  <w:vAlign w:val="center"/>
                </w:tcPr>
                <w:p w14:paraId="185A0D99">
                  <w:pPr>
                    <w:widowControl/>
                    <w:spacing w:line="240" w:lineRule="exact"/>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生活垃圾</w:t>
                  </w:r>
                </w:p>
              </w:tc>
              <w:tc>
                <w:tcPr>
                  <w:tcW w:w="1136" w:type="pct"/>
                  <w:vAlign w:val="center"/>
                </w:tcPr>
                <w:p w14:paraId="51C85F14">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72 t/a</w:t>
                  </w:r>
                </w:p>
              </w:tc>
              <w:tc>
                <w:tcPr>
                  <w:tcW w:w="705" w:type="pct"/>
                  <w:vAlign w:val="center"/>
                </w:tcPr>
                <w:p w14:paraId="0EF45A76">
                  <w:pPr>
                    <w:widowControl/>
                    <w:spacing w:line="240" w:lineRule="exact"/>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w:t>
                  </w:r>
                </w:p>
              </w:tc>
              <w:tc>
                <w:tcPr>
                  <w:tcW w:w="785" w:type="pct"/>
                  <w:vAlign w:val="center"/>
                </w:tcPr>
                <w:p w14:paraId="4F3F0C53">
                  <w:pPr>
                    <w:widowControl/>
                    <w:spacing w:line="240" w:lineRule="exact"/>
                    <w:jc w:val="center"/>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72 t/a</w:t>
                  </w:r>
                </w:p>
              </w:tc>
            </w:tr>
          </w:tbl>
          <w:p w14:paraId="6E9A3BAA">
            <w:pPr>
              <w:widowControl/>
              <w:adjustRightInd w:val="0"/>
              <w:snapToGrid w:val="0"/>
              <w:spacing w:line="360" w:lineRule="auto"/>
              <w:ind w:firstLine="482" w:firstLineChars="200"/>
              <w:jc w:val="left"/>
              <w:textAlignment w:val="baseline"/>
              <w:rPr>
                <w:rFonts w:hint="eastAsia"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三</w:t>
            </w:r>
            <w:r>
              <w:rPr>
                <w:rFonts w:ascii="宋体" w:hAnsi="宋体" w:cs="宋体"/>
                <w:b/>
                <w:bCs/>
                <w:color w:val="000000" w:themeColor="text1"/>
                <w:sz w:val="24"/>
                <w14:textFill>
                  <w14:solidFill>
                    <w14:schemeClr w14:val="tx1"/>
                  </w14:solidFill>
                </w14:textFill>
              </w:rPr>
              <w:t>、</w:t>
            </w:r>
            <w:r>
              <w:rPr>
                <w:rFonts w:hint="eastAsia" w:ascii="宋体" w:hAnsi="宋体" w:cs="宋体"/>
                <w:b/>
                <w:bCs/>
                <w:color w:val="000000" w:themeColor="text1"/>
                <w:sz w:val="24"/>
                <w14:textFill>
                  <w14:solidFill>
                    <w14:schemeClr w14:val="tx1"/>
                  </w14:solidFill>
                </w14:textFill>
              </w:rPr>
              <w:t>现有项目环保问题及整改要求</w:t>
            </w:r>
          </w:p>
          <w:p w14:paraId="2DEFDBA0">
            <w:pPr>
              <w:widowControl/>
              <w:spacing w:line="360" w:lineRule="auto"/>
              <w:ind w:firstLine="480" w:firstLineChars="200"/>
              <w:jc w:val="left"/>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1、现有环境问题</w:t>
            </w:r>
          </w:p>
          <w:p w14:paraId="65C94E22">
            <w:pPr>
              <w:widowControl/>
              <w:spacing w:line="360" w:lineRule="auto"/>
              <w:ind w:firstLine="480" w:firstLineChars="200"/>
              <w:jc w:val="left"/>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（1）厂房内部存在原辅材料不按规定位置堆放情况，同时厂房内地面有破损情况且厂房墙壁有破碎情况；</w:t>
            </w:r>
          </w:p>
          <w:p w14:paraId="76C7535A">
            <w:pPr>
              <w:widowControl/>
              <w:spacing w:line="360" w:lineRule="auto"/>
              <w:ind w:firstLine="480" w:firstLineChars="200"/>
              <w:jc w:val="left"/>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（2）厂房内未设置专职或兼职的环保责任人。</w:t>
            </w:r>
          </w:p>
          <w:p w14:paraId="57D59E34">
            <w:pPr>
              <w:widowControl/>
              <w:spacing w:line="360" w:lineRule="auto"/>
              <w:ind w:firstLine="480" w:firstLineChars="200"/>
              <w:jc w:val="left"/>
              <w:rPr>
                <w:bCs/>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（3）厂区未进行</w:t>
            </w:r>
            <w:r>
              <w:rPr>
                <w:rFonts w:hint="eastAsia"/>
                <w:bCs/>
                <w:color w:val="000000" w:themeColor="text1"/>
                <w:kern w:val="0"/>
                <w:sz w:val="24"/>
                <w14:textFill>
                  <w14:solidFill>
                    <w14:schemeClr w14:val="tx1"/>
                  </w14:solidFill>
                </w14:textFill>
              </w:rPr>
              <w:t>突发事件应急预案备案。</w:t>
            </w:r>
          </w:p>
          <w:p w14:paraId="39230A22">
            <w:pPr>
              <w:widowControl/>
              <w:spacing w:line="360" w:lineRule="auto"/>
              <w:ind w:firstLine="480" w:firstLineChars="200"/>
              <w:jc w:val="left"/>
              <w:rPr>
                <w:color w:val="000000" w:themeColor="text1"/>
                <w:kern w:val="0"/>
                <w:sz w:val="24"/>
                <w14:textFill>
                  <w14:solidFill>
                    <w14:schemeClr w14:val="tx1"/>
                  </w14:solidFill>
                </w14:textFill>
              </w:rPr>
            </w:pPr>
            <w:r>
              <w:rPr>
                <w:rFonts w:hint="eastAsia"/>
                <w:bCs/>
                <w:color w:val="000000" w:themeColor="text1"/>
                <w:kern w:val="0"/>
                <w:sz w:val="24"/>
                <w14:textFill>
                  <w14:solidFill>
                    <w14:schemeClr w14:val="tx1"/>
                  </w14:solidFill>
                </w14:textFill>
              </w:rPr>
              <w:t>（4）现有项目</w:t>
            </w:r>
            <w:r>
              <w:rPr>
                <w:rFonts w:hint="eastAsia"/>
                <w:color w:val="000000" w:themeColor="text1"/>
                <w:sz w:val="24"/>
                <w14:textFill>
                  <w14:solidFill>
                    <w14:schemeClr w14:val="tx1"/>
                  </w14:solidFill>
                </w14:textFill>
              </w:rPr>
              <w:t>300万件混凝土预制件</w:t>
            </w:r>
            <w:r>
              <w:rPr>
                <w:rFonts w:hint="eastAsia"/>
                <w:bCs/>
                <w:color w:val="000000" w:themeColor="text1"/>
                <w:kern w:val="0"/>
                <w:sz w:val="24"/>
                <w14:textFill>
                  <w14:solidFill>
                    <w14:schemeClr w14:val="tx1"/>
                  </w14:solidFill>
                </w14:textFill>
              </w:rPr>
              <w:t>生产线未建设完成，同时未对该生产线的建设内容进行竣工环保验收。</w:t>
            </w:r>
          </w:p>
          <w:p w14:paraId="10487AA5">
            <w:pPr>
              <w:widowControl/>
              <w:spacing w:line="360" w:lineRule="auto"/>
              <w:ind w:firstLine="480" w:firstLineChars="200"/>
              <w:jc w:val="left"/>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2、整改要求</w:t>
            </w:r>
          </w:p>
          <w:p w14:paraId="4795B993">
            <w:pPr>
              <w:widowControl/>
              <w:spacing w:line="360" w:lineRule="auto"/>
              <w:ind w:firstLine="480" w:firstLineChars="200"/>
              <w:jc w:val="left"/>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（1）按设计要求对原辅材料设置专门的储存区域，并按要求进行摆放；及时修补厂房地面和墙壁的破损处。</w:t>
            </w:r>
          </w:p>
          <w:p w14:paraId="55FD07A1">
            <w:pPr>
              <w:widowControl/>
              <w:spacing w:line="360" w:lineRule="auto"/>
              <w:ind w:firstLine="480" w:firstLineChars="200"/>
              <w:jc w:val="left"/>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（2）设置专职或兼职的环保责任人。</w:t>
            </w:r>
          </w:p>
          <w:p w14:paraId="671A9369">
            <w:pPr>
              <w:widowControl/>
              <w:spacing w:line="360" w:lineRule="auto"/>
              <w:ind w:firstLine="480" w:firstLineChars="200"/>
              <w:jc w:val="left"/>
              <w:rPr>
                <w:bCs/>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（3）按要求</w:t>
            </w:r>
            <w:r>
              <w:rPr>
                <w:rFonts w:hint="eastAsia"/>
                <w:bCs/>
                <w:color w:val="000000" w:themeColor="text1"/>
                <w:kern w:val="0"/>
                <w:sz w:val="24"/>
                <w14:textFill>
                  <w14:solidFill>
                    <w14:schemeClr w14:val="tx1"/>
                  </w14:solidFill>
                </w14:textFill>
              </w:rPr>
              <w:t>补充突发事件应急预案备案文件。</w:t>
            </w:r>
          </w:p>
          <w:p w14:paraId="019620E1">
            <w:pPr>
              <w:widowControl/>
              <w:spacing w:line="360" w:lineRule="auto"/>
              <w:ind w:firstLine="480" w:firstLineChars="200"/>
              <w:jc w:val="left"/>
              <w:rPr>
                <w:color w:val="000000" w:themeColor="text1"/>
                <w:kern w:val="0"/>
                <w:sz w:val="24"/>
                <w14:textFill>
                  <w14:solidFill>
                    <w14:schemeClr w14:val="tx1"/>
                  </w14:solidFill>
                </w14:textFill>
              </w:rPr>
            </w:pPr>
            <w:r>
              <w:rPr>
                <w:rFonts w:hint="eastAsia"/>
                <w:bCs/>
                <w:color w:val="000000" w:themeColor="text1"/>
                <w:kern w:val="0"/>
                <w:sz w:val="24"/>
                <w14:textFill>
                  <w14:solidFill>
                    <w14:schemeClr w14:val="tx1"/>
                  </w14:solidFill>
                </w14:textFill>
              </w:rPr>
              <w:t>（4）按生产规划要求，尽快完成现有项目</w:t>
            </w:r>
            <w:r>
              <w:rPr>
                <w:rFonts w:hint="eastAsia"/>
                <w:color w:val="000000" w:themeColor="text1"/>
                <w:sz w:val="24"/>
                <w14:textFill>
                  <w14:solidFill>
                    <w14:schemeClr w14:val="tx1"/>
                  </w14:solidFill>
                </w14:textFill>
              </w:rPr>
              <w:t>300万件混凝土预制件</w:t>
            </w:r>
            <w:r>
              <w:rPr>
                <w:rFonts w:hint="eastAsia"/>
                <w:bCs/>
                <w:color w:val="000000" w:themeColor="text1"/>
                <w:kern w:val="0"/>
                <w:sz w:val="24"/>
                <w14:textFill>
                  <w14:solidFill>
                    <w14:schemeClr w14:val="tx1"/>
                  </w14:solidFill>
                </w14:textFill>
              </w:rPr>
              <w:t>生产线的建设，并对该生产线的建设内容进行竣工环保验收。</w:t>
            </w:r>
          </w:p>
          <w:p w14:paraId="77780345">
            <w:pPr>
              <w:widowControl/>
              <w:spacing w:line="360" w:lineRule="auto"/>
              <w:ind w:firstLine="480" w:firstLineChars="200"/>
              <w:jc w:val="left"/>
              <w:rPr>
                <w:color w:val="000000" w:themeColor="text1"/>
                <w:kern w:val="0"/>
                <w:sz w:val="24"/>
                <w14:textFill>
                  <w14:solidFill>
                    <w14:schemeClr w14:val="tx1"/>
                  </w14:solidFill>
                </w14:textFill>
              </w:rPr>
            </w:pPr>
          </w:p>
          <w:p w14:paraId="52225C5C">
            <w:pPr>
              <w:rPr>
                <w:color w:val="000000" w:themeColor="text1"/>
                <w14:textFill>
                  <w14:solidFill>
                    <w14:schemeClr w14:val="tx1"/>
                  </w14:solidFill>
                </w14:textFill>
              </w:rPr>
            </w:pPr>
          </w:p>
          <w:p w14:paraId="60D88CD8">
            <w:pPr>
              <w:rPr>
                <w:color w:val="000000" w:themeColor="text1"/>
                <w14:textFill>
                  <w14:solidFill>
                    <w14:schemeClr w14:val="tx1"/>
                  </w14:solidFill>
                </w14:textFill>
              </w:rPr>
            </w:pPr>
          </w:p>
          <w:p w14:paraId="1000F7D0">
            <w:pPr>
              <w:rPr>
                <w:color w:val="000000" w:themeColor="text1"/>
                <w14:textFill>
                  <w14:solidFill>
                    <w14:schemeClr w14:val="tx1"/>
                  </w14:solidFill>
                </w14:textFill>
              </w:rPr>
            </w:pPr>
          </w:p>
          <w:p w14:paraId="0CB10942">
            <w:pPr>
              <w:rPr>
                <w:color w:val="000000" w:themeColor="text1"/>
                <w14:textFill>
                  <w14:solidFill>
                    <w14:schemeClr w14:val="tx1"/>
                  </w14:solidFill>
                </w14:textFill>
              </w:rPr>
            </w:pPr>
          </w:p>
          <w:p w14:paraId="246BADAC">
            <w:pPr>
              <w:pStyle w:val="2"/>
              <w:rPr>
                <w:color w:val="000000" w:themeColor="text1"/>
                <w14:textFill>
                  <w14:solidFill>
                    <w14:schemeClr w14:val="tx1"/>
                  </w14:solidFill>
                </w14:textFill>
              </w:rPr>
            </w:pPr>
          </w:p>
          <w:p w14:paraId="7BBA074A">
            <w:pPr>
              <w:pStyle w:val="2"/>
              <w:rPr>
                <w:color w:val="000000" w:themeColor="text1"/>
                <w14:textFill>
                  <w14:solidFill>
                    <w14:schemeClr w14:val="tx1"/>
                  </w14:solidFill>
                </w14:textFill>
              </w:rPr>
            </w:pPr>
          </w:p>
          <w:p w14:paraId="64F92ACF">
            <w:pPr>
              <w:pStyle w:val="2"/>
              <w:rPr>
                <w:color w:val="000000" w:themeColor="text1"/>
                <w14:textFill>
                  <w14:solidFill>
                    <w14:schemeClr w14:val="tx1"/>
                  </w14:solidFill>
                </w14:textFill>
              </w:rPr>
            </w:pPr>
          </w:p>
          <w:p w14:paraId="2DFAA478">
            <w:pPr>
              <w:rPr>
                <w:color w:val="000000" w:themeColor="text1"/>
                <w14:textFill>
                  <w14:solidFill>
                    <w14:schemeClr w14:val="tx1"/>
                  </w14:solidFill>
                </w14:textFill>
              </w:rPr>
            </w:pPr>
          </w:p>
          <w:p w14:paraId="08FEA250">
            <w:pPr>
              <w:rPr>
                <w:color w:val="000000" w:themeColor="text1"/>
                <w14:textFill>
                  <w14:solidFill>
                    <w14:schemeClr w14:val="tx1"/>
                  </w14:solidFill>
                </w14:textFill>
              </w:rPr>
            </w:pPr>
          </w:p>
          <w:p w14:paraId="0728742C">
            <w:pPr>
              <w:rPr>
                <w:color w:val="000000" w:themeColor="text1"/>
                <w14:textFill>
                  <w14:solidFill>
                    <w14:schemeClr w14:val="tx1"/>
                  </w14:solidFill>
                </w14:textFill>
              </w:rPr>
            </w:pPr>
          </w:p>
          <w:p w14:paraId="0B3E2931">
            <w:pPr>
              <w:rPr>
                <w:color w:val="000000" w:themeColor="text1"/>
                <w14:textFill>
                  <w14:solidFill>
                    <w14:schemeClr w14:val="tx1"/>
                  </w14:solidFill>
                </w14:textFill>
              </w:rPr>
            </w:pPr>
          </w:p>
        </w:tc>
      </w:tr>
    </w:tbl>
    <w:p w14:paraId="37FB1DA6">
      <w:pPr>
        <w:pStyle w:val="40"/>
        <w:jc w:val="center"/>
        <w:rPr>
          <w:rFonts w:ascii="Times New Roman" w:hAnsi="Times New Roman"/>
          <w:snapToGrid w:val="0"/>
          <w:color w:val="000000" w:themeColor="text1"/>
          <w:sz w:val="36"/>
          <w:szCs w:val="36"/>
          <w14:textFill>
            <w14:solidFill>
              <w14:schemeClr w14:val="tx1"/>
            </w14:solidFill>
          </w14:textFill>
        </w:rPr>
        <w:sectPr>
          <w:pgSz w:w="11906" w:h="16838"/>
          <w:pgMar w:top="1134" w:right="1134" w:bottom="1134" w:left="1134" w:header="851" w:footer="851" w:gutter="0"/>
          <w:cols w:space="720" w:num="1"/>
          <w:docGrid w:linePitch="312" w:charSpace="0"/>
        </w:sectPr>
      </w:pPr>
    </w:p>
    <w:p w14:paraId="37AD4611">
      <w:pPr>
        <w:pStyle w:val="40"/>
        <w:spacing w:before="0" w:beforeAutospacing="0" w:after="0" w:afterAutospacing="0"/>
        <w:outlineLvl w:val="0"/>
        <w:rPr>
          <w:rFonts w:ascii="Times New Roman" w:hAnsi="Times New Roman"/>
          <w:b/>
          <w:bCs/>
          <w:snapToGrid w:val="0"/>
          <w:color w:val="000000" w:themeColor="text1"/>
          <w:sz w:val="30"/>
          <w:szCs w:val="30"/>
          <w14:textFill>
            <w14:solidFill>
              <w14:schemeClr w14:val="tx1"/>
            </w14:solidFill>
          </w14:textFill>
        </w:rPr>
      </w:pPr>
      <w:bookmarkStart w:id="44" w:name="_Toc28871"/>
      <w:bookmarkStart w:id="45" w:name="_Toc71641911"/>
      <w:r>
        <w:rPr>
          <w:rFonts w:ascii="Times New Roman" w:hAnsi="Times New Roman"/>
          <w:b/>
          <w:bCs/>
          <w:snapToGrid w:val="0"/>
          <w:color w:val="000000" w:themeColor="text1"/>
          <w:sz w:val="30"/>
          <w:szCs w:val="30"/>
          <w14:textFill>
            <w14:solidFill>
              <w14:schemeClr w14:val="tx1"/>
            </w14:solidFill>
          </w14:textFill>
        </w:rPr>
        <w:t>三、区域环境质量现状、环境保护目标及评价标准</w:t>
      </w:r>
      <w:bookmarkEnd w:id="44"/>
      <w:bookmarkEnd w:id="45"/>
    </w:p>
    <w:tbl>
      <w:tblPr>
        <w:tblStyle w:val="45"/>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98"/>
        <w:gridCol w:w="9357"/>
      </w:tblGrid>
      <w:tr w14:paraId="1C705B6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5" w:hRule="atLeast"/>
          <w:jc w:val="center"/>
        </w:trPr>
        <w:tc>
          <w:tcPr>
            <w:tcW w:w="243" w:type="pct"/>
            <w:vAlign w:val="center"/>
          </w:tcPr>
          <w:p w14:paraId="0D65CF13">
            <w:pPr>
              <w:adjustRightInd w:val="0"/>
              <w:snapToGrid w:val="0"/>
              <w:jc w:val="center"/>
              <w:rPr>
                <w:b/>
                <w:bCs/>
                <w:color w:val="000000" w:themeColor="text1"/>
                <w:kern w:val="0"/>
                <w:sz w:val="28"/>
                <w:szCs w:val="28"/>
                <w14:textFill>
                  <w14:solidFill>
                    <w14:schemeClr w14:val="tx1"/>
                  </w14:solidFill>
                </w14:textFill>
              </w:rPr>
            </w:pPr>
            <w:r>
              <w:rPr>
                <w:b/>
                <w:bCs/>
                <w:color w:val="000000" w:themeColor="text1"/>
                <w:kern w:val="0"/>
                <w:sz w:val="28"/>
                <w:szCs w:val="28"/>
                <w14:textFill>
                  <w14:solidFill>
                    <w14:schemeClr w14:val="tx1"/>
                  </w14:solidFill>
                </w14:textFill>
              </w:rPr>
              <w:t>区域</w:t>
            </w:r>
          </w:p>
          <w:p w14:paraId="15C5B7AA">
            <w:pPr>
              <w:adjustRightInd w:val="0"/>
              <w:snapToGrid w:val="0"/>
              <w:jc w:val="center"/>
              <w:rPr>
                <w:b/>
                <w:bCs/>
                <w:color w:val="000000" w:themeColor="text1"/>
                <w:kern w:val="0"/>
                <w:sz w:val="28"/>
                <w:szCs w:val="28"/>
                <w14:textFill>
                  <w14:solidFill>
                    <w14:schemeClr w14:val="tx1"/>
                  </w14:solidFill>
                </w14:textFill>
              </w:rPr>
            </w:pPr>
            <w:r>
              <w:rPr>
                <w:b/>
                <w:bCs/>
                <w:color w:val="000000" w:themeColor="text1"/>
                <w:kern w:val="0"/>
                <w:sz w:val="28"/>
                <w:szCs w:val="28"/>
                <w14:textFill>
                  <w14:solidFill>
                    <w14:schemeClr w14:val="tx1"/>
                  </w14:solidFill>
                </w14:textFill>
              </w:rPr>
              <w:t>环境</w:t>
            </w:r>
          </w:p>
          <w:p w14:paraId="5D23AB3B">
            <w:pPr>
              <w:adjustRightInd w:val="0"/>
              <w:snapToGrid w:val="0"/>
              <w:jc w:val="center"/>
              <w:rPr>
                <w:b/>
                <w:bCs/>
                <w:color w:val="000000" w:themeColor="text1"/>
                <w:kern w:val="0"/>
                <w:sz w:val="28"/>
                <w:szCs w:val="28"/>
                <w14:textFill>
                  <w14:solidFill>
                    <w14:schemeClr w14:val="tx1"/>
                  </w14:solidFill>
                </w14:textFill>
              </w:rPr>
            </w:pPr>
            <w:r>
              <w:rPr>
                <w:b/>
                <w:bCs/>
                <w:color w:val="000000" w:themeColor="text1"/>
                <w:kern w:val="0"/>
                <w:sz w:val="28"/>
                <w:szCs w:val="28"/>
                <w14:textFill>
                  <w14:solidFill>
                    <w14:schemeClr w14:val="tx1"/>
                  </w14:solidFill>
                </w14:textFill>
              </w:rPr>
              <w:t>质量</w:t>
            </w:r>
          </w:p>
          <w:p w14:paraId="3C6CD24C">
            <w:pPr>
              <w:adjustRightInd w:val="0"/>
              <w:snapToGrid w:val="0"/>
              <w:jc w:val="center"/>
              <w:rPr>
                <w:b/>
                <w:bCs/>
                <w:color w:val="000000" w:themeColor="text1"/>
                <w:kern w:val="0"/>
                <w:sz w:val="28"/>
                <w:szCs w:val="28"/>
                <w14:textFill>
                  <w14:solidFill>
                    <w14:schemeClr w14:val="tx1"/>
                  </w14:solidFill>
                </w14:textFill>
              </w:rPr>
            </w:pPr>
            <w:r>
              <w:rPr>
                <w:b/>
                <w:bCs/>
                <w:color w:val="000000" w:themeColor="text1"/>
                <w:kern w:val="0"/>
                <w:sz w:val="28"/>
                <w:szCs w:val="28"/>
                <w14:textFill>
                  <w14:solidFill>
                    <w14:schemeClr w14:val="tx1"/>
                  </w14:solidFill>
                </w14:textFill>
              </w:rPr>
              <w:t>现状</w:t>
            </w:r>
          </w:p>
        </w:tc>
        <w:tc>
          <w:tcPr>
            <w:tcW w:w="4757" w:type="pct"/>
            <w:vAlign w:val="center"/>
          </w:tcPr>
          <w:p w14:paraId="35CC7B9C">
            <w:pPr>
              <w:spacing w:line="360" w:lineRule="auto"/>
              <w:ind w:firstLine="480"/>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一、环境空气质量</w:t>
            </w:r>
          </w:p>
          <w:p w14:paraId="00AEECE3">
            <w:pPr>
              <w:pStyle w:val="107"/>
              <w:ind w:firstLine="480"/>
              <w:rPr>
                <w:color w:val="000000" w:themeColor="text1"/>
                <w:kern w:val="21"/>
                <w14:textFill>
                  <w14:solidFill>
                    <w14:schemeClr w14:val="tx1"/>
                  </w14:solidFill>
                </w14:textFill>
              </w:rPr>
            </w:pPr>
            <w:r>
              <w:rPr>
                <w:color w:val="000000" w:themeColor="text1"/>
                <w:kern w:val="21"/>
                <w14:textFill>
                  <w14:solidFill>
                    <w14:schemeClr w14:val="tx1"/>
                  </w14:solidFill>
                </w14:textFill>
              </w:rPr>
              <w:t>本项目环境空气质量现状评价数据来源选择为：</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986"/>
              <w:gridCol w:w="4528"/>
              <w:gridCol w:w="3597"/>
            </w:tblGrid>
            <w:tr w14:paraId="74F24F7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541" w:type="pct"/>
                  <w:vAlign w:val="center"/>
                </w:tcPr>
                <w:p w14:paraId="51C27271">
                  <w:pPr>
                    <w:pStyle w:val="128"/>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指标</w:t>
                  </w:r>
                </w:p>
              </w:tc>
              <w:tc>
                <w:tcPr>
                  <w:tcW w:w="2485" w:type="pct"/>
                  <w:vAlign w:val="center"/>
                </w:tcPr>
                <w:p w14:paraId="2BAD38D0">
                  <w:pPr>
                    <w:pStyle w:val="128"/>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说明数据方式</w:t>
                  </w:r>
                </w:p>
              </w:tc>
              <w:tc>
                <w:tcPr>
                  <w:tcW w:w="1974" w:type="pct"/>
                  <w:vAlign w:val="center"/>
                </w:tcPr>
                <w:p w14:paraId="2F6947C0">
                  <w:pPr>
                    <w:pStyle w:val="128"/>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说明数据来源</w:t>
                  </w:r>
                </w:p>
              </w:tc>
            </w:tr>
            <w:tr w14:paraId="1116EAA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541" w:type="pct"/>
                  <w:vAlign w:val="center"/>
                </w:tcPr>
                <w:p w14:paraId="0EDF6359">
                  <w:pPr>
                    <w:pStyle w:val="128"/>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基本</w:t>
                  </w:r>
                </w:p>
                <w:p w14:paraId="2AF2FC04">
                  <w:pPr>
                    <w:pStyle w:val="128"/>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污染物</w:t>
                  </w:r>
                </w:p>
              </w:tc>
              <w:tc>
                <w:tcPr>
                  <w:tcW w:w="2485" w:type="pct"/>
                  <w:vAlign w:val="center"/>
                </w:tcPr>
                <w:p w14:paraId="46BADF26">
                  <w:pPr>
                    <w:pStyle w:val="128"/>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项目所在区域达标判定，优先采用国家或地方生态环境主管部门公开发布的评价基准年环境质量公告或环境质量报告中的数据或结论</w:t>
                  </w:r>
                </w:p>
              </w:tc>
              <w:tc>
                <w:tcPr>
                  <w:tcW w:w="1974" w:type="pct"/>
                  <w:vAlign w:val="center"/>
                </w:tcPr>
                <w:p w14:paraId="0A0F8967">
                  <w:pPr>
                    <w:pStyle w:val="128"/>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乐平市</w:t>
                  </w:r>
                  <w:r>
                    <w:rPr>
                      <w:snapToGrid w:val="0"/>
                      <w:color w:val="000000" w:themeColor="text1"/>
                      <w14:textFill>
                        <w14:solidFill>
                          <w14:schemeClr w14:val="tx1"/>
                        </w14:solidFill>
                      </w14:textFill>
                    </w:rPr>
                    <w:t>202</w:t>
                  </w:r>
                  <w:r>
                    <w:rPr>
                      <w:rFonts w:hint="eastAsia"/>
                      <w:snapToGrid w:val="0"/>
                      <w:color w:val="000000" w:themeColor="text1"/>
                      <w14:textFill>
                        <w14:solidFill>
                          <w14:schemeClr w14:val="tx1"/>
                        </w14:solidFill>
                      </w14:textFill>
                    </w:rPr>
                    <w:t>4</w:t>
                  </w:r>
                  <w:r>
                    <w:rPr>
                      <w:snapToGrid w:val="0"/>
                      <w:color w:val="000000" w:themeColor="text1"/>
                      <w14:textFill>
                        <w14:solidFill>
                          <w14:schemeClr w14:val="tx1"/>
                        </w14:solidFill>
                      </w14:textFill>
                    </w:rPr>
                    <w:t>年6项基本污染物年均值（来源：江西省生态环境厅发布）</w:t>
                  </w:r>
                </w:p>
              </w:tc>
            </w:tr>
            <w:tr w14:paraId="3B4A7B8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541" w:type="pct"/>
                  <w:vAlign w:val="center"/>
                </w:tcPr>
                <w:p w14:paraId="37356914">
                  <w:pPr>
                    <w:pStyle w:val="128"/>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其他</w:t>
                  </w:r>
                </w:p>
                <w:p w14:paraId="170CFEA2">
                  <w:pPr>
                    <w:pStyle w:val="128"/>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污染物</w:t>
                  </w:r>
                </w:p>
              </w:tc>
              <w:tc>
                <w:tcPr>
                  <w:tcW w:w="2485" w:type="pct"/>
                  <w:vAlign w:val="center"/>
                </w:tcPr>
                <w:p w14:paraId="68914293">
                  <w:pPr>
                    <w:pStyle w:val="128"/>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在没有以上相关监测数据或监测数据不能满足规定的评价要求时，应按要求进行补充监测</w:t>
                  </w:r>
                </w:p>
              </w:tc>
              <w:tc>
                <w:tcPr>
                  <w:tcW w:w="1974" w:type="pct"/>
                  <w:vAlign w:val="center"/>
                </w:tcPr>
                <w:p w14:paraId="27B3E44F">
                  <w:pPr>
                    <w:pStyle w:val="128"/>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环境质量现状监测</w:t>
                  </w:r>
                </w:p>
              </w:tc>
            </w:tr>
          </w:tbl>
          <w:p w14:paraId="33728353">
            <w:pPr>
              <w:pStyle w:val="107"/>
              <w:ind w:firstLine="482"/>
              <w:rPr>
                <w:b/>
                <w:bCs/>
                <w:color w:val="000000" w:themeColor="text1"/>
                <w14:textFill>
                  <w14:solidFill>
                    <w14:schemeClr w14:val="tx1"/>
                  </w14:solidFill>
                </w14:textFill>
              </w:rPr>
            </w:pPr>
            <w:r>
              <w:rPr>
                <w:b/>
                <w:bCs/>
                <w:color w:val="000000" w:themeColor="text1"/>
                <w14:textFill>
                  <w14:solidFill>
                    <w14:schemeClr w14:val="tx1"/>
                  </w14:solidFill>
                </w14:textFill>
              </w:rPr>
              <w:t>1、基本污染物</w:t>
            </w:r>
          </w:p>
          <w:p w14:paraId="4B24DC58">
            <w:pPr>
              <w:pStyle w:val="107"/>
              <w:ind w:firstLine="480"/>
              <w:rPr>
                <w:color w:val="000000" w:themeColor="text1"/>
                <w:szCs w:val="22"/>
                <w14:textFill>
                  <w14:solidFill>
                    <w14:schemeClr w14:val="tx1"/>
                  </w14:solidFill>
                </w14:textFill>
              </w:rPr>
            </w:pPr>
            <w:r>
              <w:rPr>
                <w:color w:val="000000" w:themeColor="text1"/>
                <w14:textFill>
                  <w14:solidFill>
                    <w14:schemeClr w14:val="tx1"/>
                  </w14:solidFill>
                </w14:textFill>
              </w:rPr>
              <w:t>江西省生态环境厅发布的“江西省各县（市区）202</w:t>
            </w:r>
            <w:r>
              <w:rPr>
                <w:rFonts w:hint="eastAsia"/>
                <w:color w:val="000000" w:themeColor="text1"/>
                <w14:textFill>
                  <w14:solidFill>
                    <w14:schemeClr w14:val="tx1"/>
                  </w14:solidFill>
                </w14:textFill>
              </w:rPr>
              <w:t>4</w:t>
            </w:r>
            <w:r>
              <w:rPr>
                <w:color w:val="000000" w:themeColor="text1"/>
                <w14:textFill>
                  <w14:solidFill>
                    <w14:schemeClr w14:val="tx1"/>
                  </w14:solidFill>
                </w14:textFill>
              </w:rPr>
              <w:t>年6项基本污染物年均值”中</w:t>
            </w:r>
            <w:r>
              <w:rPr>
                <w:rFonts w:hint="eastAsia"/>
                <w:color w:val="000000" w:themeColor="text1"/>
                <w14:textFill>
                  <w14:solidFill>
                    <w14:schemeClr w14:val="tx1"/>
                  </w14:solidFill>
                </w14:textFill>
              </w:rPr>
              <w:t>南昌高新开发</w:t>
            </w:r>
            <w:r>
              <w:rPr>
                <w:color w:val="000000" w:themeColor="text1"/>
                <w14:textFill>
                  <w14:solidFill>
                    <w14:schemeClr w14:val="tx1"/>
                  </w14:solidFill>
                </w14:textFill>
              </w:rPr>
              <w:t>区202</w:t>
            </w:r>
            <w:r>
              <w:rPr>
                <w:rFonts w:hint="eastAsia"/>
                <w:color w:val="000000" w:themeColor="text1"/>
                <w14:textFill>
                  <w14:solidFill>
                    <w14:schemeClr w14:val="tx1"/>
                  </w14:solidFill>
                </w14:textFill>
              </w:rPr>
              <w:t>4</w:t>
            </w:r>
            <w:r>
              <w:rPr>
                <w:color w:val="000000" w:themeColor="text1"/>
                <w14:textFill>
                  <w14:solidFill>
                    <w14:schemeClr w14:val="tx1"/>
                  </w14:solidFill>
                </w14:textFill>
              </w:rPr>
              <w:t>年SO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、NO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、PM</w:t>
            </w:r>
            <w:r>
              <w:rPr>
                <w:color w:val="000000" w:themeColor="text1"/>
                <w:vertAlign w:val="subscript"/>
                <w14:textFill>
                  <w14:solidFill>
                    <w14:schemeClr w14:val="tx1"/>
                  </w14:solidFill>
                </w14:textFill>
              </w:rPr>
              <w:t>10</w:t>
            </w:r>
            <w:r>
              <w:rPr>
                <w:color w:val="000000" w:themeColor="text1"/>
                <w14:textFill>
                  <w14:solidFill>
                    <w14:schemeClr w14:val="tx1"/>
                  </w14:solidFill>
                </w14:textFill>
              </w:rPr>
              <w:t>、PM</w:t>
            </w:r>
            <w:r>
              <w:rPr>
                <w:color w:val="000000" w:themeColor="text1"/>
                <w:vertAlign w:val="subscript"/>
                <w14:textFill>
                  <w14:solidFill>
                    <w14:schemeClr w14:val="tx1"/>
                  </w14:solidFill>
                </w14:textFill>
              </w:rPr>
              <w:t>2.5</w:t>
            </w:r>
            <w:r>
              <w:rPr>
                <w:color w:val="000000" w:themeColor="text1"/>
                <w14:textFill>
                  <w14:solidFill>
                    <w14:schemeClr w14:val="tx1"/>
                  </w14:solidFill>
                </w14:textFill>
              </w:rPr>
              <w:t>、CO、O</w:t>
            </w:r>
            <w:r>
              <w:rPr>
                <w:color w:val="000000" w:themeColor="text1"/>
                <w:vertAlign w:val="subscript"/>
                <w14:textFill>
                  <w14:solidFill>
                    <w14:schemeClr w14:val="tx1"/>
                  </w14:solidFill>
                </w14:textFill>
              </w:rPr>
              <w:t>3</w:t>
            </w:r>
            <w:r>
              <w:rPr>
                <w:color w:val="000000" w:themeColor="text1"/>
                <w14:textFill>
                  <w14:solidFill>
                    <w14:schemeClr w14:val="tx1"/>
                  </w14:solidFill>
                </w14:textFill>
              </w:rPr>
              <w:t>等6项基本污染物作出现状说明，具体浓度如下：</w:t>
            </w:r>
          </w:p>
          <w:p w14:paraId="602609F6">
            <w:pPr>
              <w:pStyle w:val="235"/>
              <w:rPr>
                <w:color w:val="000000" w:themeColor="text1"/>
                <w:szCs w:val="24"/>
                <w14:textFill>
                  <w14:solidFill>
                    <w14:schemeClr w14:val="tx1"/>
                  </w14:solidFill>
                </w14:textFill>
              </w:rPr>
            </w:pPr>
            <w:r>
              <w:rPr>
                <w:color w:val="000000" w:themeColor="text1"/>
                <w:szCs w:val="24"/>
                <w14:textFill>
                  <w14:solidFill>
                    <w14:schemeClr w14:val="tx1"/>
                  </w14:solidFill>
                </w14:textFill>
              </w:rPr>
              <w:t>表3-1  区域基本污染物质量现状评价表</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186"/>
              <w:gridCol w:w="962"/>
              <w:gridCol w:w="1921"/>
              <w:gridCol w:w="2059"/>
              <w:gridCol w:w="1972"/>
              <w:gridCol w:w="1011"/>
            </w:tblGrid>
            <w:tr w14:paraId="77FDC0C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651" w:type="pct"/>
                  <w:vMerge w:val="restart"/>
                  <w:vAlign w:val="center"/>
                </w:tcPr>
                <w:p w14:paraId="2E591515">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点位名称</w:t>
                  </w:r>
                </w:p>
              </w:tc>
              <w:tc>
                <w:tcPr>
                  <w:tcW w:w="528" w:type="pct"/>
                  <w:vMerge w:val="restart"/>
                  <w:vAlign w:val="center"/>
                </w:tcPr>
                <w:p w14:paraId="2A8AA3FE">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污染物</w:t>
                  </w:r>
                </w:p>
              </w:tc>
              <w:tc>
                <w:tcPr>
                  <w:tcW w:w="1054" w:type="pct"/>
                  <w:vMerge w:val="restart"/>
                  <w:vAlign w:val="center"/>
                </w:tcPr>
                <w:p w14:paraId="23C20730">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年评价指标</w:t>
                  </w:r>
                </w:p>
              </w:tc>
              <w:tc>
                <w:tcPr>
                  <w:tcW w:w="1130" w:type="pct"/>
                  <w:vMerge w:val="restart"/>
                  <w:vAlign w:val="center"/>
                </w:tcPr>
                <w:p w14:paraId="659A93F4">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评价标准/</w:t>
                  </w:r>
                </w:p>
                <w:p w14:paraId="762AD779">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（μg/m</w:t>
                  </w:r>
                  <w:r>
                    <w:rPr>
                      <w:color w:val="000000" w:themeColor="text1"/>
                      <w:szCs w:val="18"/>
                      <w:vertAlign w:val="superscript"/>
                      <w14:textFill>
                        <w14:solidFill>
                          <w14:schemeClr w14:val="tx1"/>
                        </w14:solidFill>
                      </w14:textFill>
                    </w:rPr>
                    <w:t>3</w:t>
                  </w:r>
                  <w:r>
                    <w:rPr>
                      <w:color w:val="000000" w:themeColor="text1"/>
                      <w:szCs w:val="18"/>
                      <w14:textFill>
                        <w14:solidFill>
                          <w14:schemeClr w14:val="tx1"/>
                        </w14:solidFill>
                      </w14:textFill>
                    </w:rPr>
                    <w:t>）</w:t>
                  </w:r>
                </w:p>
              </w:tc>
              <w:tc>
                <w:tcPr>
                  <w:tcW w:w="1082" w:type="pct"/>
                  <w:vMerge w:val="restart"/>
                  <w:vAlign w:val="center"/>
                </w:tcPr>
                <w:p w14:paraId="64992302">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浓度/</w:t>
                  </w:r>
                </w:p>
                <w:p w14:paraId="61E0ECD9">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（μg/m</w:t>
                  </w:r>
                  <w:r>
                    <w:rPr>
                      <w:color w:val="000000" w:themeColor="text1"/>
                      <w:szCs w:val="18"/>
                      <w:vertAlign w:val="superscript"/>
                      <w14:textFill>
                        <w14:solidFill>
                          <w14:schemeClr w14:val="tx1"/>
                        </w14:solidFill>
                      </w14:textFill>
                    </w:rPr>
                    <w:t>3</w:t>
                  </w:r>
                  <w:r>
                    <w:rPr>
                      <w:color w:val="000000" w:themeColor="text1"/>
                      <w:szCs w:val="18"/>
                      <w14:textFill>
                        <w14:solidFill>
                          <w14:schemeClr w14:val="tx1"/>
                        </w14:solidFill>
                      </w14:textFill>
                    </w:rPr>
                    <w:t>）</w:t>
                  </w:r>
                </w:p>
              </w:tc>
              <w:tc>
                <w:tcPr>
                  <w:tcW w:w="555" w:type="pct"/>
                  <w:vMerge w:val="restart"/>
                  <w:vAlign w:val="center"/>
                </w:tcPr>
                <w:p w14:paraId="0CEB3AF8">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达标</w:t>
                  </w:r>
                </w:p>
                <w:p w14:paraId="3741F26B">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情况</w:t>
                  </w:r>
                </w:p>
              </w:tc>
            </w:tr>
            <w:tr w14:paraId="2E97FE7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651" w:type="pct"/>
                  <w:vMerge w:val="continue"/>
                  <w:vAlign w:val="center"/>
                </w:tcPr>
                <w:p w14:paraId="5CDA285A">
                  <w:pPr>
                    <w:pStyle w:val="128"/>
                    <w:rPr>
                      <w:color w:val="000000" w:themeColor="text1"/>
                      <w:szCs w:val="18"/>
                      <w14:textFill>
                        <w14:solidFill>
                          <w14:schemeClr w14:val="tx1"/>
                        </w14:solidFill>
                      </w14:textFill>
                    </w:rPr>
                  </w:pPr>
                </w:p>
              </w:tc>
              <w:tc>
                <w:tcPr>
                  <w:tcW w:w="528" w:type="pct"/>
                  <w:vMerge w:val="continue"/>
                  <w:vAlign w:val="center"/>
                </w:tcPr>
                <w:p w14:paraId="384AE13C">
                  <w:pPr>
                    <w:pStyle w:val="128"/>
                    <w:rPr>
                      <w:color w:val="000000" w:themeColor="text1"/>
                      <w:szCs w:val="18"/>
                      <w14:textFill>
                        <w14:solidFill>
                          <w14:schemeClr w14:val="tx1"/>
                        </w14:solidFill>
                      </w14:textFill>
                    </w:rPr>
                  </w:pPr>
                </w:p>
              </w:tc>
              <w:tc>
                <w:tcPr>
                  <w:tcW w:w="1054" w:type="pct"/>
                  <w:vMerge w:val="continue"/>
                  <w:vAlign w:val="center"/>
                </w:tcPr>
                <w:p w14:paraId="2BAF7ACA">
                  <w:pPr>
                    <w:pStyle w:val="128"/>
                    <w:rPr>
                      <w:color w:val="000000" w:themeColor="text1"/>
                      <w:szCs w:val="18"/>
                      <w14:textFill>
                        <w14:solidFill>
                          <w14:schemeClr w14:val="tx1"/>
                        </w14:solidFill>
                      </w14:textFill>
                    </w:rPr>
                  </w:pPr>
                </w:p>
              </w:tc>
              <w:tc>
                <w:tcPr>
                  <w:tcW w:w="1130" w:type="pct"/>
                  <w:vMerge w:val="continue"/>
                  <w:vAlign w:val="center"/>
                </w:tcPr>
                <w:p w14:paraId="06064F82">
                  <w:pPr>
                    <w:pStyle w:val="128"/>
                    <w:rPr>
                      <w:color w:val="000000" w:themeColor="text1"/>
                      <w:szCs w:val="18"/>
                      <w14:textFill>
                        <w14:solidFill>
                          <w14:schemeClr w14:val="tx1"/>
                        </w14:solidFill>
                      </w14:textFill>
                    </w:rPr>
                  </w:pPr>
                </w:p>
              </w:tc>
              <w:tc>
                <w:tcPr>
                  <w:tcW w:w="1082" w:type="pct"/>
                  <w:vMerge w:val="continue"/>
                  <w:vAlign w:val="center"/>
                </w:tcPr>
                <w:p w14:paraId="3B24E393">
                  <w:pPr>
                    <w:pStyle w:val="128"/>
                    <w:rPr>
                      <w:color w:val="000000" w:themeColor="text1"/>
                      <w:szCs w:val="18"/>
                      <w14:textFill>
                        <w14:solidFill>
                          <w14:schemeClr w14:val="tx1"/>
                        </w14:solidFill>
                      </w14:textFill>
                    </w:rPr>
                  </w:pPr>
                </w:p>
              </w:tc>
              <w:tc>
                <w:tcPr>
                  <w:tcW w:w="555" w:type="pct"/>
                  <w:vMerge w:val="continue"/>
                  <w:vAlign w:val="center"/>
                </w:tcPr>
                <w:p w14:paraId="113B64D5">
                  <w:pPr>
                    <w:pStyle w:val="128"/>
                    <w:rPr>
                      <w:color w:val="000000" w:themeColor="text1"/>
                      <w:szCs w:val="18"/>
                      <w14:textFill>
                        <w14:solidFill>
                          <w14:schemeClr w14:val="tx1"/>
                        </w14:solidFill>
                      </w14:textFill>
                    </w:rPr>
                  </w:pPr>
                </w:p>
              </w:tc>
            </w:tr>
            <w:tr w14:paraId="0356617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651" w:type="pct"/>
                  <w:vMerge w:val="restart"/>
                  <w:vAlign w:val="center"/>
                </w:tcPr>
                <w:p w14:paraId="180A1930">
                  <w:pPr>
                    <w:pStyle w:val="128"/>
                    <w:rPr>
                      <w:color w:val="000000" w:themeColor="text1"/>
                      <w:szCs w:val="18"/>
                      <w14:textFill>
                        <w14:solidFill>
                          <w14:schemeClr w14:val="tx1"/>
                        </w14:solidFill>
                      </w14:textFill>
                    </w:rPr>
                  </w:pPr>
                  <w:r>
                    <w:rPr>
                      <w:rFonts w:hint="eastAsia"/>
                      <w:color w:val="000000" w:themeColor="text1"/>
                      <w:szCs w:val="18"/>
                      <w14:textFill>
                        <w14:solidFill>
                          <w14:schemeClr w14:val="tx1"/>
                        </w14:solidFill>
                      </w14:textFill>
                    </w:rPr>
                    <w:t>乐平市</w:t>
                  </w:r>
                </w:p>
              </w:tc>
              <w:tc>
                <w:tcPr>
                  <w:tcW w:w="528" w:type="pct"/>
                  <w:vAlign w:val="center"/>
                </w:tcPr>
                <w:p w14:paraId="567506E0">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SO</w:t>
                  </w:r>
                  <w:r>
                    <w:rPr>
                      <w:color w:val="000000" w:themeColor="text1"/>
                      <w:szCs w:val="18"/>
                      <w:vertAlign w:val="subscript"/>
                      <w14:textFill>
                        <w14:solidFill>
                          <w14:schemeClr w14:val="tx1"/>
                        </w14:solidFill>
                      </w14:textFill>
                    </w:rPr>
                    <w:t>2</w:t>
                  </w:r>
                </w:p>
              </w:tc>
              <w:tc>
                <w:tcPr>
                  <w:tcW w:w="1054" w:type="pct"/>
                  <w:vAlign w:val="center"/>
                </w:tcPr>
                <w:p w14:paraId="6295A14E">
                  <w:pPr>
                    <w:pStyle w:val="128"/>
                    <w:rPr>
                      <w:color w:val="000000" w:themeColor="text1"/>
                      <w:szCs w:val="18"/>
                      <w14:textFill>
                        <w14:solidFill>
                          <w14:schemeClr w14:val="tx1"/>
                        </w14:solidFill>
                      </w14:textFill>
                    </w:rPr>
                  </w:pPr>
                  <w:r>
                    <w:rPr>
                      <w:rFonts w:eastAsia="新宋体"/>
                      <w:color w:val="000000" w:themeColor="text1"/>
                      <w:szCs w:val="18"/>
                      <w14:textFill>
                        <w14:solidFill>
                          <w14:schemeClr w14:val="tx1"/>
                        </w14:solidFill>
                      </w14:textFill>
                    </w:rPr>
                    <w:t>年平均</w:t>
                  </w:r>
                </w:p>
              </w:tc>
              <w:tc>
                <w:tcPr>
                  <w:tcW w:w="1130" w:type="pct"/>
                  <w:vAlign w:val="center"/>
                </w:tcPr>
                <w:p w14:paraId="215A16B0">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60</w:t>
                  </w:r>
                </w:p>
              </w:tc>
              <w:tc>
                <w:tcPr>
                  <w:tcW w:w="1082" w:type="pct"/>
                  <w:vAlign w:val="center"/>
                </w:tcPr>
                <w:p w14:paraId="18252040">
                  <w:pPr>
                    <w:pStyle w:val="128"/>
                    <w:rPr>
                      <w:color w:val="000000" w:themeColor="text1"/>
                      <w:szCs w:val="18"/>
                      <w14:textFill>
                        <w14:solidFill>
                          <w14:schemeClr w14:val="tx1"/>
                        </w14:solidFill>
                      </w14:textFill>
                    </w:rPr>
                  </w:pPr>
                  <w:r>
                    <w:rPr>
                      <w:rFonts w:hint="eastAsia"/>
                      <w:color w:val="000000" w:themeColor="text1"/>
                      <w:szCs w:val="18"/>
                      <w14:textFill>
                        <w14:solidFill>
                          <w14:schemeClr w14:val="tx1"/>
                        </w14:solidFill>
                      </w14:textFill>
                    </w:rPr>
                    <w:t>7</w:t>
                  </w:r>
                </w:p>
              </w:tc>
              <w:tc>
                <w:tcPr>
                  <w:tcW w:w="555" w:type="pct"/>
                  <w:vAlign w:val="center"/>
                </w:tcPr>
                <w:p w14:paraId="63530792">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达标</w:t>
                  </w:r>
                </w:p>
              </w:tc>
            </w:tr>
            <w:tr w14:paraId="1F9CEB9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651" w:type="pct"/>
                  <w:vMerge w:val="continue"/>
                  <w:vAlign w:val="center"/>
                </w:tcPr>
                <w:p w14:paraId="23E56AD2">
                  <w:pPr>
                    <w:pStyle w:val="128"/>
                    <w:rPr>
                      <w:color w:val="000000" w:themeColor="text1"/>
                      <w:szCs w:val="18"/>
                      <w14:textFill>
                        <w14:solidFill>
                          <w14:schemeClr w14:val="tx1"/>
                        </w14:solidFill>
                      </w14:textFill>
                    </w:rPr>
                  </w:pPr>
                </w:p>
              </w:tc>
              <w:tc>
                <w:tcPr>
                  <w:tcW w:w="528" w:type="pct"/>
                  <w:vAlign w:val="center"/>
                </w:tcPr>
                <w:p w14:paraId="333FBF4D">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PM</w:t>
                  </w:r>
                  <w:r>
                    <w:rPr>
                      <w:color w:val="000000" w:themeColor="text1"/>
                      <w:szCs w:val="18"/>
                      <w:vertAlign w:val="subscript"/>
                      <w14:textFill>
                        <w14:solidFill>
                          <w14:schemeClr w14:val="tx1"/>
                        </w14:solidFill>
                      </w14:textFill>
                    </w:rPr>
                    <w:t>10</w:t>
                  </w:r>
                </w:p>
              </w:tc>
              <w:tc>
                <w:tcPr>
                  <w:tcW w:w="1054" w:type="pct"/>
                  <w:vAlign w:val="center"/>
                </w:tcPr>
                <w:p w14:paraId="2F9AAB9D">
                  <w:pPr>
                    <w:pStyle w:val="128"/>
                    <w:rPr>
                      <w:color w:val="000000" w:themeColor="text1"/>
                      <w:szCs w:val="18"/>
                      <w14:textFill>
                        <w14:solidFill>
                          <w14:schemeClr w14:val="tx1"/>
                        </w14:solidFill>
                      </w14:textFill>
                    </w:rPr>
                  </w:pPr>
                  <w:r>
                    <w:rPr>
                      <w:rFonts w:eastAsia="新宋体"/>
                      <w:color w:val="000000" w:themeColor="text1"/>
                      <w:szCs w:val="18"/>
                      <w14:textFill>
                        <w14:solidFill>
                          <w14:schemeClr w14:val="tx1"/>
                        </w14:solidFill>
                      </w14:textFill>
                    </w:rPr>
                    <w:t>年平均</w:t>
                  </w:r>
                </w:p>
              </w:tc>
              <w:tc>
                <w:tcPr>
                  <w:tcW w:w="1130" w:type="pct"/>
                  <w:vAlign w:val="center"/>
                </w:tcPr>
                <w:p w14:paraId="5BB67A2E">
                  <w:pPr>
                    <w:pStyle w:val="128"/>
                    <w:rPr>
                      <w:rFonts w:hint="default" w:eastAsia="宋体"/>
                      <w:color w:val="000000" w:themeColor="text1"/>
                      <w:szCs w:val="18"/>
                      <w:lang w:val="en-US" w:eastAsia="zh-CN"/>
                      <w14:textFill>
                        <w14:solidFill>
                          <w14:schemeClr w14:val="tx1"/>
                        </w14:solidFill>
                      </w14:textFill>
                    </w:rPr>
                  </w:pPr>
                  <w:r>
                    <w:rPr>
                      <w:rFonts w:hint="eastAsia"/>
                      <w:color w:val="000000" w:themeColor="text1"/>
                      <w:szCs w:val="18"/>
                      <w:lang w:val="en-US" w:eastAsia="zh-CN"/>
                      <w14:textFill>
                        <w14:solidFill>
                          <w14:schemeClr w14:val="tx1"/>
                        </w14:solidFill>
                      </w14:textFill>
                    </w:rPr>
                    <w:t>60</w:t>
                  </w:r>
                </w:p>
              </w:tc>
              <w:tc>
                <w:tcPr>
                  <w:tcW w:w="1082" w:type="pct"/>
                  <w:vAlign w:val="center"/>
                </w:tcPr>
                <w:p w14:paraId="027A0FE1">
                  <w:pPr>
                    <w:pStyle w:val="128"/>
                    <w:rPr>
                      <w:color w:val="000000" w:themeColor="text1"/>
                      <w:szCs w:val="18"/>
                      <w14:textFill>
                        <w14:solidFill>
                          <w14:schemeClr w14:val="tx1"/>
                        </w14:solidFill>
                      </w14:textFill>
                    </w:rPr>
                  </w:pPr>
                  <w:r>
                    <w:rPr>
                      <w:rFonts w:hint="eastAsia"/>
                      <w:color w:val="000000" w:themeColor="text1"/>
                      <w:szCs w:val="18"/>
                      <w14:textFill>
                        <w14:solidFill>
                          <w14:schemeClr w14:val="tx1"/>
                        </w14:solidFill>
                      </w14:textFill>
                    </w:rPr>
                    <w:t>47</w:t>
                  </w:r>
                </w:p>
              </w:tc>
              <w:tc>
                <w:tcPr>
                  <w:tcW w:w="555" w:type="pct"/>
                  <w:vAlign w:val="center"/>
                </w:tcPr>
                <w:p w14:paraId="1FBFE410">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达标</w:t>
                  </w:r>
                </w:p>
              </w:tc>
            </w:tr>
            <w:tr w14:paraId="398360A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651" w:type="pct"/>
                  <w:vMerge w:val="continue"/>
                  <w:vAlign w:val="center"/>
                </w:tcPr>
                <w:p w14:paraId="6205FB88">
                  <w:pPr>
                    <w:pStyle w:val="128"/>
                    <w:rPr>
                      <w:color w:val="000000" w:themeColor="text1"/>
                      <w:szCs w:val="18"/>
                      <w14:textFill>
                        <w14:solidFill>
                          <w14:schemeClr w14:val="tx1"/>
                        </w14:solidFill>
                      </w14:textFill>
                    </w:rPr>
                  </w:pPr>
                </w:p>
              </w:tc>
              <w:tc>
                <w:tcPr>
                  <w:tcW w:w="528" w:type="pct"/>
                  <w:vAlign w:val="center"/>
                </w:tcPr>
                <w:p w14:paraId="1A8F72CA">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NO</w:t>
                  </w:r>
                  <w:r>
                    <w:rPr>
                      <w:color w:val="000000" w:themeColor="text1"/>
                      <w:szCs w:val="18"/>
                      <w:vertAlign w:val="subscript"/>
                      <w14:textFill>
                        <w14:solidFill>
                          <w14:schemeClr w14:val="tx1"/>
                        </w14:solidFill>
                      </w14:textFill>
                    </w:rPr>
                    <w:t>2</w:t>
                  </w:r>
                </w:p>
              </w:tc>
              <w:tc>
                <w:tcPr>
                  <w:tcW w:w="1054" w:type="pct"/>
                  <w:vAlign w:val="center"/>
                </w:tcPr>
                <w:p w14:paraId="0C3375D2">
                  <w:pPr>
                    <w:pStyle w:val="128"/>
                    <w:rPr>
                      <w:color w:val="000000" w:themeColor="text1"/>
                      <w:szCs w:val="18"/>
                      <w14:textFill>
                        <w14:solidFill>
                          <w14:schemeClr w14:val="tx1"/>
                        </w14:solidFill>
                      </w14:textFill>
                    </w:rPr>
                  </w:pPr>
                  <w:r>
                    <w:rPr>
                      <w:rFonts w:eastAsia="新宋体"/>
                      <w:color w:val="000000" w:themeColor="text1"/>
                      <w:szCs w:val="18"/>
                      <w14:textFill>
                        <w14:solidFill>
                          <w14:schemeClr w14:val="tx1"/>
                        </w14:solidFill>
                      </w14:textFill>
                    </w:rPr>
                    <w:t>年平均</w:t>
                  </w:r>
                </w:p>
              </w:tc>
              <w:tc>
                <w:tcPr>
                  <w:tcW w:w="1130" w:type="pct"/>
                  <w:vAlign w:val="center"/>
                </w:tcPr>
                <w:p w14:paraId="2D3BA2E0">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40</w:t>
                  </w:r>
                </w:p>
              </w:tc>
              <w:tc>
                <w:tcPr>
                  <w:tcW w:w="1082" w:type="pct"/>
                  <w:vAlign w:val="center"/>
                </w:tcPr>
                <w:p w14:paraId="63E43DF2">
                  <w:pPr>
                    <w:pStyle w:val="128"/>
                    <w:rPr>
                      <w:color w:val="000000" w:themeColor="text1"/>
                      <w:szCs w:val="18"/>
                      <w14:textFill>
                        <w14:solidFill>
                          <w14:schemeClr w14:val="tx1"/>
                        </w14:solidFill>
                      </w14:textFill>
                    </w:rPr>
                  </w:pPr>
                  <w:r>
                    <w:rPr>
                      <w:rFonts w:hint="eastAsia"/>
                      <w:color w:val="000000" w:themeColor="text1"/>
                      <w:szCs w:val="18"/>
                      <w14:textFill>
                        <w14:solidFill>
                          <w14:schemeClr w14:val="tx1"/>
                        </w14:solidFill>
                      </w14:textFill>
                    </w:rPr>
                    <w:t>12</w:t>
                  </w:r>
                </w:p>
              </w:tc>
              <w:tc>
                <w:tcPr>
                  <w:tcW w:w="555" w:type="pct"/>
                  <w:vAlign w:val="center"/>
                </w:tcPr>
                <w:p w14:paraId="46294D32">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达标</w:t>
                  </w:r>
                </w:p>
              </w:tc>
            </w:tr>
            <w:tr w14:paraId="0589C5A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651" w:type="pct"/>
                  <w:vMerge w:val="continue"/>
                  <w:vAlign w:val="center"/>
                </w:tcPr>
                <w:p w14:paraId="00202A03">
                  <w:pPr>
                    <w:pStyle w:val="128"/>
                    <w:rPr>
                      <w:color w:val="000000" w:themeColor="text1"/>
                      <w:szCs w:val="18"/>
                      <w14:textFill>
                        <w14:solidFill>
                          <w14:schemeClr w14:val="tx1"/>
                        </w14:solidFill>
                      </w14:textFill>
                    </w:rPr>
                  </w:pPr>
                </w:p>
              </w:tc>
              <w:tc>
                <w:tcPr>
                  <w:tcW w:w="528" w:type="pct"/>
                  <w:vAlign w:val="center"/>
                </w:tcPr>
                <w:p w14:paraId="6CF856CE">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PM</w:t>
                  </w:r>
                  <w:r>
                    <w:rPr>
                      <w:color w:val="000000" w:themeColor="text1"/>
                      <w:szCs w:val="18"/>
                      <w:vertAlign w:val="subscript"/>
                      <w14:textFill>
                        <w14:solidFill>
                          <w14:schemeClr w14:val="tx1"/>
                        </w14:solidFill>
                      </w14:textFill>
                    </w:rPr>
                    <w:t>2.5</w:t>
                  </w:r>
                </w:p>
              </w:tc>
              <w:tc>
                <w:tcPr>
                  <w:tcW w:w="1054" w:type="pct"/>
                  <w:vAlign w:val="center"/>
                </w:tcPr>
                <w:p w14:paraId="0E271301">
                  <w:pPr>
                    <w:pStyle w:val="128"/>
                    <w:rPr>
                      <w:color w:val="000000" w:themeColor="text1"/>
                      <w:szCs w:val="18"/>
                      <w14:textFill>
                        <w14:solidFill>
                          <w14:schemeClr w14:val="tx1"/>
                        </w14:solidFill>
                      </w14:textFill>
                    </w:rPr>
                  </w:pPr>
                  <w:r>
                    <w:rPr>
                      <w:rFonts w:eastAsia="新宋体"/>
                      <w:color w:val="000000" w:themeColor="text1"/>
                      <w:szCs w:val="18"/>
                      <w14:textFill>
                        <w14:solidFill>
                          <w14:schemeClr w14:val="tx1"/>
                        </w14:solidFill>
                      </w14:textFill>
                    </w:rPr>
                    <w:t>年平均</w:t>
                  </w:r>
                </w:p>
              </w:tc>
              <w:tc>
                <w:tcPr>
                  <w:tcW w:w="1130" w:type="pct"/>
                  <w:vAlign w:val="center"/>
                </w:tcPr>
                <w:p w14:paraId="0C10BA19">
                  <w:pPr>
                    <w:pStyle w:val="128"/>
                    <w:rPr>
                      <w:rFonts w:hint="default" w:eastAsia="宋体"/>
                      <w:color w:val="000000" w:themeColor="text1"/>
                      <w:szCs w:val="18"/>
                      <w:lang w:val="en-US" w:eastAsia="zh-CN"/>
                      <w14:textFill>
                        <w14:solidFill>
                          <w14:schemeClr w14:val="tx1"/>
                        </w14:solidFill>
                      </w14:textFill>
                    </w:rPr>
                  </w:pPr>
                  <w:r>
                    <w:rPr>
                      <w:rFonts w:hint="eastAsia"/>
                      <w:color w:val="000000" w:themeColor="text1"/>
                      <w:szCs w:val="18"/>
                      <w:lang w:val="en-US" w:eastAsia="zh-CN"/>
                      <w14:textFill>
                        <w14:solidFill>
                          <w14:schemeClr w14:val="tx1"/>
                        </w14:solidFill>
                      </w14:textFill>
                    </w:rPr>
                    <w:t>30</w:t>
                  </w:r>
                </w:p>
              </w:tc>
              <w:tc>
                <w:tcPr>
                  <w:tcW w:w="1082" w:type="pct"/>
                  <w:vAlign w:val="center"/>
                </w:tcPr>
                <w:p w14:paraId="78C0156A">
                  <w:pPr>
                    <w:pStyle w:val="128"/>
                    <w:rPr>
                      <w:color w:val="000000" w:themeColor="text1"/>
                      <w:szCs w:val="18"/>
                      <w14:textFill>
                        <w14:solidFill>
                          <w14:schemeClr w14:val="tx1"/>
                        </w14:solidFill>
                      </w14:textFill>
                    </w:rPr>
                  </w:pPr>
                  <w:r>
                    <w:rPr>
                      <w:rFonts w:hint="eastAsia"/>
                      <w:color w:val="000000" w:themeColor="text1"/>
                      <w:szCs w:val="18"/>
                      <w14:textFill>
                        <w14:solidFill>
                          <w14:schemeClr w14:val="tx1"/>
                        </w14:solidFill>
                      </w14:textFill>
                    </w:rPr>
                    <w:t>22</w:t>
                  </w:r>
                </w:p>
              </w:tc>
              <w:tc>
                <w:tcPr>
                  <w:tcW w:w="555" w:type="pct"/>
                  <w:vAlign w:val="center"/>
                </w:tcPr>
                <w:p w14:paraId="7C027685">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达标</w:t>
                  </w:r>
                </w:p>
              </w:tc>
            </w:tr>
            <w:tr w14:paraId="6899EAD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651" w:type="pct"/>
                  <w:vMerge w:val="continue"/>
                  <w:vAlign w:val="center"/>
                </w:tcPr>
                <w:p w14:paraId="116F67F7">
                  <w:pPr>
                    <w:pStyle w:val="128"/>
                    <w:rPr>
                      <w:color w:val="000000" w:themeColor="text1"/>
                      <w:szCs w:val="18"/>
                      <w14:textFill>
                        <w14:solidFill>
                          <w14:schemeClr w14:val="tx1"/>
                        </w14:solidFill>
                      </w14:textFill>
                    </w:rPr>
                  </w:pPr>
                </w:p>
              </w:tc>
              <w:tc>
                <w:tcPr>
                  <w:tcW w:w="528" w:type="pct"/>
                  <w:vAlign w:val="center"/>
                </w:tcPr>
                <w:p w14:paraId="79F4243A">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O</w:t>
                  </w:r>
                  <w:r>
                    <w:rPr>
                      <w:color w:val="000000" w:themeColor="text1"/>
                      <w:szCs w:val="18"/>
                      <w:vertAlign w:val="subscript"/>
                      <w14:textFill>
                        <w14:solidFill>
                          <w14:schemeClr w14:val="tx1"/>
                        </w14:solidFill>
                      </w14:textFill>
                    </w:rPr>
                    <w:t>3</w:t>
                  </w:r>
                </w:p>
              </w:tc>
              <w:tc>
                <w:tcPr>
                  <w:tcW w:w="1054" w:type="pct"/>
                  <w:vAlign w:val="center"/>
                </w:tcPr>
                <w:p w14:paraId="261EB970">
                  <w:pPr>
                    <w:pStyle w:val="128"/>
                    <w:rPr>
                      <w:color w:val="000000" w:themeColor="text1"/>
                      <w:szCs w:val="18"/>
                      <w14:textFill>
                        <w14:solidFill>
                          <w14:schemeClr w14:val="tx1"/>
                        </w14:solidFill>
                      </w14:textFill>
                    </w:rPr>
                  </w:pPr>
                  <w:r>
                    <w:rPr>
                      <w:rFonts w:eastAsia="新宋体"/>
                      <w:color w:val="000000" w:themeColor="text1"/>
                      <w:szCs w:val="18"/>
                      <w14:textFill>
                        <w14:solidFill>
                          <w14:schemeClr w14:val="tx1"/>
                        </w14:solidFill>
                      </w14:textFill>
                    </w:rPr>
                    <w:t>日最大8小时平均</w:t>
                  </w:r>
                </w:p>
              </w:tc>
              <w:tc>
                <w:tcPr>
                  <w:tcW w:w="1130" w:type="pct"/>
                  <w:vAlign w:val="center"/>
                </w:tcPr>
                <w:p w14:paraId="03BCB49D">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160</w:t>
                  </w:r>
                </w:p>
              </w:tc>
              <w:tc>
                <w:tcPr>
                  <w:tcW w:w="1082" w:type="pct"/>
                  <w:vAlign w:val="center"/>
                </w:tcPr>
                <w:p w14:paraId="7969A3FA">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1</w:t>
                  </w:r>
                  <w:r>
                    <w:rPr>
                      <w:rFonts w:hint="eastAsia"/>
                      <w:color w:val="000000" w:themeColor="text1"/>
                      <w:szCs w:val="18"/>
                      <w14:textFill>
                        <w14:solidFill>
                          <w14:schemeClr w14:val="tx1"/>
                        </w14:solidFill>
                      </w14:textFill>
                    </w:rPr>
                    <w:t>26</w:t>
                  </w:r>
                </w:p>
              </w:tc>
              <w:tc>
                <w:tcPr>
                  <w:tcW w:w="555" w:type="pct"/>
                  <w:vAlign w:val="center"/>
                </w:tcPr>
                <w:p w14:paraId="64C4AFD2">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达标</w:t>
                  </w:r>
                </w:p>
              </w:tc>
            </w:tr>
            <w:tr w14:paraId="150D55A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651" w:type="pct"/>
                  <w:vMerge w:val="continue"/>
                  <w:vAlign w:val="center"/>
                </w:tcPr>
                <w:p w14:paraId="73D26AD4">
                  <w:pPr>
                    <w:pStyle w:val="128"/>
                    <w:rPr>
                      <w:color w:val="000000" w:themeColor="text1"/>
                      <w:szCs w:val="18"/>
                      <w14:textFill>
                        <w14:solidFill>
                          <w14:schemeClr w14:val="tx1"/>
                        </w14:solidFill>
                      </w14:textFill>
                    </w:rPr>
                  </w:pPr>
                </w:p>
              </w:tc>
              <w:tc>
                <w:tcPr>
                  <w:tcW w:w="528" w:type="pct"/>
                  <w:vAlign w:val="center"/>
                </w:tcPr>
                <w:p w14:paraId="6A594079">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CO</w:t>
                  </w:r>
                </w:p>
              </w:tc>
              <w:tc>
                <w:tcPr>
                  <w:tcW w:w="1054" w:type="pct"/>
                  <w:vAlign w:val="center"/>
                </w:tcPr>
                <w:p w14:paraId="7D0B4CBA">
                  <w:pPr>
                    <w:pStyle w:val="128"/>
                    <w:rPr>
                      <w:color w:val="000000" w:themeColor="text1"/>
                      <w:szCs w:val="18"/>
                      <w14:textFill>
                        <w14:solidFill>
                          <w14:schemeClr w14:val="tx1"/>
                        </w14:solidFill>
                      </w14:textFill>
                    </w:rPr>
                  </w:pPr>
                  <w:r>
                    <w:rPr>
                      <w:rFonts w:eastAsia="新宋体"/>
                      <w:color w:val="000000" w:themeColor="text1"/>
                      <w:szCs w:val="18"/>
                      <w14:textFill>
                        <w14:solidFill>
                          <w14:schemeClr w14:val="tx1"/>
                        </w14:solidFill>
                      </w14:textFill>
                    </w:rPr>
                    <w:t>24小时平均</w:t>
                  </w:r>
                </w:p>
              </w:tc>
              <w:tc>
                <w:tcPr>
                  <w:tcW w:w="1130" w:type="pct"/>
                  <w:vAlign w:val="center"/>
                </w:tcPr>
                <w:p w14:paraId="358B758E">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4.0</w:t>
                  </w:r>
                </w:p>
              </w:tc>
              <w:tc>
                <w:tcPr>
                  <w:tcW w:w="1082" w:type="pct"/>
                  <w:vAlign w:val="center"/>
                </w:tcPr>
                <w:p w14:paraId="42299756">
                  <w:pPr>
                    <w:pStyle w:val="128"/>
                    <w:rPr>
                      <w:color w:val="000000" w:themeColor="text1"/>
                      <w:szCs w:val="18"/>
                      <w14:textFill>
                        <w14:solidFill>
                          <w14:schemeClr w14:val="tx1"/>
                        </w14:solidFill>
                      </w14:textFill>
                    </w:rPr>
                  </w:pPr>
                  <w:r>
                    <w:rPr>
                      <w:rFonts w:hint="eastAsia"/>
                      <w:color w:val="000000" w:themeColor="text1"/>
                      <w:szCs w:val="18"/>
                      <w14:textFill>
                        <w14:solidFill>
                          <w14:schemeClr w14:val="tx1"/>
                        </w14:solidFill>
                      </w14:textFill>
                    </w:rPr>
                    <w:t>1.0</w:t>
                  </w:r>
                </w:p>
              </w:tc>
              <w:tc>
                <w:tcPr>
                  <w:tcW w:w="555" w:type="pct"/>
                  <w:vAlign w:val="center"/>
                </w:tcPr>
                <w:p w14:paraId="509F9469">
                  <w:pPr>
                    <w:pStyle w:val="128"/>
                    <w:rPr>
                      <w:color w:val="000000" w:themeColor="text1"/>
                      <w:szCs w:val="18"/>
                      <w14:textFill>
                        <w14:solidFill>
                          <w14:schemeClr w14:val="tx1"/>
                        </w14:solidFill>
                      </w14:textFill>
                    </w:rPr>
                  </w:pPr>
                  <w:r>
                    <w:rPr>
                      <w:color w:val="000000" w:themeColor="text1"/>
                      <w:szCs w:val="18"/>
                      <w14:textFill>
                        <w14:solidFill>
                          <w14:schemeClr w14:val="tx1"/>
                        </w14:solidFill>
                      </w14:textFill>
                    </w:rPr>
                    <w:t>达标</w:t>
                  </w:r>
                </w:p>
              </w:tc>
            </w:tr>
          </w:tbl>
          <w:p w14:paraId="3B9B31B8">
            <w:pPr>
              <w:tabs>
                <w:tab w:val="left" w:pos="690"/>
              </w:tabs>
              <w:spacing w:line="360" w:lineRule="auto"/>
              <w:ind w:firstLine="480" w:firstLineChars="200"/>
              <w:rPr>
                <w:rFonts w:eastAsia="新宋体"/>
                <w:color w:val="000000" w:themeColor="text1"/>
                <w:sz w:val="24"/>
                <w14:textFill>
                  <w14:solidFill>
                    <w14:schemeClr w14:val="tx1"/>
                  </w14:solidFill>
                </w14:textFill>
              </w:rPr>
            </w:pPr>
            <w:r>
              <w:rPr>
                <w:color w:val="000000" w:themeColor="text1"/>
                <w:sz w:val="24"/>
                <w14:textFill>
                  <w14:solidFill>
                    <w14:schemeClr w14:val="tx1"/>
                  </w14:solidFill>
                </w14:textFill>
              </w:rPr>
              <w:t>根据表3-1数据统计，202</w:t>
            </w:r>
            <w:r>
              <w:rPr>
                <w:rFonts w:hint="eastAsia"/>
                <w:color w:val="000000" w:themeColor="text1"/>
                <w:sz w:val="24"/>
                <w14:textFill>
                  <w14:solidFill>
                    <w14:schemeClr w14:val="tx1"/>
                  </w14:solidFill>
                </w14:textFill>
              </w:rPr>
              <w:t>4</w:t>
            </w:r>
            <w:r>
              <w:rPr>
                <w:color w:val="000000" w:themeColor="text1"/>
                <w:sz w:val="24"/>
                <w14:textFill>
                  <w14:solidFill>
                    <w14:schemeClr w14:val="tx1"/>
                  </w14:solidFill>
                </w14:textFill>
              </w:rPr>
              <w:t>年</w:t>
            </w:r>
            <w:r>
              <w:rPr>
                <w:rFonts w:hint="eastAsia"/>
                <w:color w:val="000000" w:themeColor="text1"/>
                <w:sz w:val="24"/>
                <w14:textFill>
                  <w14:solidFill>
                    <w14:schemeClr w14:val="tx1"/>
                  </w14:solidFill>
                </w14:textFill>
              </w:rPr>
              <w:t>乐平市</w:t>
            </w:r>
            <w:r>
              <w:rPr>
                <w:color w:val="000000" w:themeColor="text1"/>
                <w:sz w:val="24"/>
                <w14:textFill>
                  <w14:solidFill>
                    <w14:schemeClr w14:val="tx1"/>
                  </w14:solidFill>
                </w14:textFill>
              </w:rPr>
              <w:t>SO</w:t>
            </w:r>
            <w:r>
              <w:rPr>
                <w:color w:val="000000" w:themeColor="text1"/>
                <w:sz w:val="24"/>
                <w:vertAlign w:val="subscript"/>
                <w14:textFill>
                  <w14:solidFill>
                    <w14:schemeClr w14:val="tx1"/>
                  </w14:solidFill>
                </w14:textFill>
              </w:rPr>
              <w:t>2</w:t>
            </w:r>
            <w:r>
              <w:rPr>
                <w:color w:val="000000" w:themeColor="text1"/>
                <w:sz w:val="24"/>
                <w14:textFill>
                  <w14:solidFill>
                    <w14:schemeClr w14:val="tx1"/>
                  </w14:solidFill>
                </w14:textFill>
              </w:rPr>
              <w:t>、NO</w:t>
            </w:r>
            <w:r>
              <w:rPr>
                <w:color w:val="000000" w:themeColor="text1"/>
                <w:sz w:val="24"/>
                <w:vertAlign w:val="subscript"/>
                <w14:textFill>
                  <w14:solidFill>
                    <w14:schemeClr w14:val="tx1"/>
                  </w14:solidFill>
                </w14:textFill>
              </w:rPr>
              <w:t>2</w:t>
            </w:r>
            <w:r>
              <w:rPr>
                <w:color w:val="000000" w:themeColor="text1"/>
                <w:sz w:val="24"/>
                <w14:textFill>
                  <w14:solidFill>
                    <w14:schemeClr w14:val="tx1"/>
                  </w14:solidFill>
                </w14:textFill>
              </w:rPr>
              <w:t>、CO、O</w:t>
            </w:r>
            <w:r>
              <w:rPr>
                <w:color w:val="000000" w:themeColor="text1"/>
                <w:sz w:val="24"/>
                <w:vertAlign w:val="subscript"/>
                <w14:textFill>
                  <w14:solidFill>
                    <w14:schemeClr w14:val="tx1"/>
                  </w14:solidFill>
                </w14:textFill>
              </w:rPr>
              <w:t>3</w:t>
            </w:r>
            <w:r>
              <w:rPr>
                <w:color w:val="000000" w:themeColor="text1"/>
                <w:sz w:val="24"/>
                <w14:textFill>
                  <w14:solidFill>
                    <w14:schemeClr w14:val="tx1"/>
                  </w14:solidFill>
                </w14:textFill>
              </w:rPr>
              <w:t>、PM</w:t>
            </w:r>
            <w:r>
              <w:rPr>
                <w:color w:val="000000" w:themeColor="text1"/>
                <w:sz w:val="24"/>
                <w:vertAlign w:val="subscript"/>
                <w14:textFill>
                  <w14:solidFill>
                    <w14:schemeClr w14:val="tx1"/>
                  </w14:solidFill>
                </w14:textFill>
              </w:rPr>
              <w:t>2.5</w:t>
            </w:r>
            <w:r>
              <w:rPr>
                <w:color w:val="000000" w:themeColor="text1"/>
                <w:sz w:val="24"/>
                <w14:textFill>
                  <w14:solidFill>
                    <w14:schemeClr w14:val="tx1"/>
                  </w14:solidFill>
                </w14:textFill>
              </w:rPr>
              <w:t>、PM</w:t>
            </w:r>
            <w:r>
              <w:rPr>
                <w:color w:val="000000" w:themeColor="text1"/>
                <w:sz w:val="24"/>
                <w:vertAlign w:val="subscript"/>
                <w14:textFill>
                  <w14:solidFill>
                    <w14:schemeClr w14:val="tx1"/>
                  </w14:solidFill>
                </w14:textFill>
              </w:rPr>
              <w:t>10</w:t>
            </w:r>
            <w:r>
              <w:rPr>
                <w:color w:val="000000" w:themeColor="text1"/>
                <w:sz w:val="24"/>
                <w14:textFill>
                  <w14:solidFill>
                    <w14:schemeClr w14:val="tx1"/>
                  </w14:solidFill>
                </w14:textFill>
              </w:rPr>
              <w:t>监测数据中年均值可达到《环境空气质量标准》</w:t>
            </w:r>
            <w:r>
              <w:rPr>
                <w:rFonts w:hint="eastAsia"/>
                <w:color w:val="000000" w:themeColor="text1"/>
                <w:sz w:val="24"/>
                <w14:textFill>
                  <w14:solidFill>
                    <w14:schemeClr w14:val="tx1"/>
                  </w14:solidFill>
                </w14:textFill>
              </w:rPr>
              <w:t>（GB3095-2026）中过渡阶段浓度限值</w:t>
            </w:r>
            <w:r>
              <w:rPr>
                <w:color w:val="000000" w:themeColor="text1"/>
                <w:sz w:val="24"/>
                <w14:textFill>
                  <w14:solidFill>
                    <w14:schemeClr w14:val="tx1"/>
                  </w14:solidFill>
                </w14:textFill>
              </w:rPr>
              <w:t>，为达标区。</w:t>
            </w:r>
          </w:p>
          <w:p w14:paraId="4BCF4213">
            <w:pPr>
              <w:tabs>
                <w:tab w:val="left" w:pos="690"/>
              </w:tabs>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其他</w:t>
            </w:r>
            <w:r>
              <w:rPr>
                <w:color w:val="000000" w:themeColor="text1"/>
                <w:sz w:val="24"/>
                <w14:textFill>
                  <w14:solidFill>
                    <w14:schemeClr w14:val="tx1"/>
                  </w14:solidFill>
                </w14:textFill>
              </w:rPr>
              <w:t>污染物</w:t>
            </w:r>
          </w:p>
          <w:p w14:paraId="6926B1C2">
            <w:pPr>
              <w:autoSpaceDE w:val="0"/>
              <w:autoSpaceDN w:val="0"/>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根据《建设项目环境影响报告表编制技术指南（污染影响类）》，“排放国家、地方环境空气质量标准中有标准限值要求的特征污染物时，引用建设项目周边5千米范围内近3年的现有监测数据，无相关数据的选择当季主导风向下风向1个点位补充不少于3天的监测数据。”本项目特征污染物为TSP。本项目需对TSP进行现状调查。</w:t>
            </w:r>
            <w:r>
              <w:rPr>
                <w:rFonts w:hint="eastAsia"/>
                <w:color w:val="000000" w:themeColor="text1"/>
                <w:sz w:val="24"/>
                <w14:textFill>
                  <w14:solidFill>
                    <w14:schemeClr w14:val="tx1"/>
                  </w14:solidFill>
                </w14:textFill>
              </w:rPr>
              <w:t>因此</w:t>
            </w:r>
            <w:bookmarkStart w:id="46" w:name="_Hlk198827522"/>
            <w:r>
              <w:rPr>
                <w:rFonts w:hint="eastAsia"/>
                <w:color w:val="000000" w:themeColor="text1"/>
                <w:sz w:val="24"/>
                <w14:textFill>
                  <w14:solidFill>
                    <w14:schemeClr w14:val="tx1"/>
                  </w14:solidFill>
                </w14:textFill>
              </w:rPr>
              <w:t>本项目于</w:t>
            </w:r>
            <w:r>
              <w:rPr>
                <w:color w:val="000000" w:themeColor="text1"/>
                <w:sz w:val="24"/>
                <w14:textFill>
                  <w14:solidFill>
                    <w14:schemeClr w14:val="tx1"/>
                  </w14:solidFill>
                </w14:textFill>
              </w:rPr>
              <w:t>202</w:t>
            </w:r>
            <w:r>
              <w:rPr>
                <w:rFonts w:hint="eastAsia"/>
                <w:color w:val="000000" w:themeColor="text1"/>
                <w:sz w:val="24"/>
                <w14:textFill>
                  <w14:solidFill>
                    <w14:schemeClr w14:val="tx1"/>
                  </w14:solidFill>
                </w14:textFill>
              </w:rPr>
              <w:t>5年9月8日</w:t>
            </w:r>
            <w:r>
              <w:rPr>
                <w:color w:val="000000" w:themeColor="text1"/>
                <w:sz w:val="24"/>
                <w14:textFill>
                  <w14:solidFill>
                    <w14:schemeClr w14:val="tx1"/>
                  </w14:solidFill>
                </w14:textFill>
              </w:rPr>
              <w:t>~202</w:t>
            </w:r>
            <w:r>
              <w:rPr>
                <w:rFonts w:hint="eastAsia"/>
                <w:color w:val="000000" w:themeColor="text1"/>
                <w:sz w:val="24"/>
                <w14:textFill>
                  <w14:solidFill>
                    <w14:schemeClr w14:val="tx1"/>
                  </w14:solidFill>
                </w14:textFill>
              </w:rPr>
              <w:t>5年9月</w:t>
            </w:r>
            <w:r>
              <w:rPr>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0日委托江西升源检测技术有限公司在项目西侧2.9km处的梅冲（A</w:t>
            </w:r>
            <w:r>
              <w:rPr>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）点位开展</w:t>
            </w:r>
            <w:r>
              <w:rPr>
                <w:color w:val="000000" w:themeColor="text1"/>
                <w:sz w:val="24"/>
                <w14:textFill>
                  <w14:solidFill>
                    <w14:schemeClr w14:val="tx1"/>
                  </w14:solidFill>
                </w14:textFill>
              </w:rPr>
              <w:t>TSP现状调查</w:t>
            </w:r>
            <w:bookmarkEnd w:id="46"/>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检测结果见下表：</w:t>
            </w:r>
          </w:p>
          <w:p w14:paraId="0C7E5E09">
            <w:pPr>
              <w:autoSpaceDE w:val="0"/>
              <w:autoSpaceDN w:val="0"/>
              <w:adjustRightInd w:val="0"/>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表3-2   特征污染物监测评价结果一览表</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113"/>
              <w:gridCol w:w="2210"/>
              <w:gridCol w:w="1146"/>
              <w:gridCol w:w="1336"/>
              <w:gridCol w:w="1363"/>
              <w:gridCol w:w="760"/>
              <w:gridCol w:w="1183"/>
            </w:tblGrid>
            <w:tr w14:paraId="27C2014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3" w:hRule="atLeast"/>
                <w:jc w:val="center"/>
              </w:trPr>
              <w:tc>
                <w:tcPr>
                  <w:tcW w:w="611" w:type="pct"/>
                  <w:vAlign w:val="center"/>
                </w:tcPr>
                <w:p w14:paraId="66EA2ABA">
                  <w:pPr>
                    <w:autoSpaceDE w:val="0"/>
                    <w:autoSpaceDN w:val="0"/>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监测点位</w:t>
                  </w:r>
                </w:p>
              </w:tc>
              <w:tc>
                <w:tcPr>
                  <w:tcW w:w="1213" w:type="pct"/>
                  <w:vAlign w:val="center"/>
                </w:tcPr>
                <w:p w14:paraId="407608E6">
                  <w:pPr>
                    <w:autoSpaceDE w:val="0"/>
                    <w:autoSpaceDN w:val="0"/>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监测时间</w:t>
                  </w:r>
                </w:p>
              </w:tc>
              <w:tc>
                <w:tcPr>
                  <w:tcW w:w="629" w:type="pct"/>
                  <w:vAlign w:val="center"/>
                </w:tcPr>
                <w:p w14:paraId="0B40258B">
                  <w:pPr>
                    <w:autoSpaceDE w:val="0"/>
                    <w:autoSpaceDN w:val="0"/>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检测项目</w:t>
                  </w:r>
                </w:p>
              </w:tc>
              <w:tc>
                <w:tcPr>
                  <w:tcW w:w="733" w:type="pct"/>
                  <w:vAlign w:val="center"/>
                </w:tcPr>
                <w:p w14:paraId="36ECEBA3">
                  <w:pPr>
                    <w:autoSpaceDE w:val="0"/>
                    <w:autoSpaceDN w:val="0"/>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检测值（ug/m</w:t>
                  </w:r>
                  <w:r>
                    <w:rPr>
                      <w:color w:val="000000" w:themeColor="text1"/>
                      <w:sz w:val="18"/>
                      <w:szCs w:val="18"/>
                      <w:vertAlign w:val="superscript"/>
                      <w14:textFill>
                        <w14:solidFill>
                          <w14:schemeClr w14:val="tx1"/>
                        </w14:solidFill>
                      </w14:textFill>
                    </w:rPr>
                    <w:t>3</w:t>
                  </w:r>
                  <w:r>
                    <w:rPr>
                      <w:color w:val="000000" w:themeColor="text1"/>
                      <w:sz w:val="18"/>
                      <w:szCs w:val="18"/>
                      <w14:textFill>
                        <w14:solidFill>
                          <w14:schemeClr w14:val="tx1"/>
                        </w14:solidFill>
                      </w14:textFill>
                    </w:rPr>
                    <w:t>）</w:t>
                  </w:r>
                </w:p>
              </w:tc>
              <w:tc>
                <w:tcPr>
                  <w:tcW w:w="748" w:type="pct"/>
                  <w:vAlign w:val="center"/>
                </w:tcPr>
                <w:p w14:paraId="3A189126">
                  <w:pPr>
                    <w:autoSpaceDE w:val="0"/>
                    <w:autoSpaceDN w:val="0"/>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标准值（ug/m</w:t>
                  </w:r>
                  <w:r>
                    <w:rPr>
                      <w:color w:val="000000" w:themeColor="text1"/>
                      <w:sz w:val="18"/>
                      <w:szCs w:val="18"/>
                      <w:vertAlign w:val="superscript"/>
                      <w14:textFill>
                        <w14:solidFill>
                          <w14:schemeClr w14:val="tx1"/>
                        </w14:solidFill>
                      </w14:textFill>
                    </w:rPr>
                    <w:t>3</w:t>
                  </w:r>
                  <w:r>
                    <w:rPr>
                      <w:color w:val="000000" w:themeColor="text1"/>
                      <w:sz w:val="18"/>
                      <w:szCs w:val="18"/>
                      <w14:textFill>
                        <w14:solidFill>
                          <w14:schemeClr w14:val="tx1"/>
                        </w14:solidFill>
                      </w14:textFill>
                    </w:rPr>
                    <w:t>）</w:t>
                  </w:r>
                </w:p>
              </w:tc>
              <w:tc>
                <w:tcPr>
                  <w:tcW w:w="417" w:type="pct"/>
                  <w:vAlign w:val="center"/>
                </w:tcPr>
                <w:p w14:paraId="5B853CD7">
                  <w:pPr>
                    <w:autoSpaceDE w:val="0"/>
                    <w:autoSpaceDN w:val="0"/>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超标率%</w:t>
                  </w:r>
                </w:p>
              </w:tc>
              <w:tc>
                <w:tcPr>
                  <w:tcW w:w="649" w:type="pct"/>
                  <w:vAlign w:val="center"/>
                </w:tcPr>
                <w:p w14:paraId="217BDC60">
                  <w:pPr>
                    <w:autoSpaceDE w:val="0"/>
                    <w:autoSpaceDN w:val="0"/>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占标率%</w:t>
                  </w:r>
                </w:p>
              </w:tc>
            </w:tr>
            <w:tr w14:paraId="033F9DD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3" w:hRule="atLeast"/>
                <w:jc w:val="center"/>
              </w:trPr>
              <w:tc>
                <w:tcPr>
                  <w:tcW w:w="611" w:type="pct"/>
                  <w:vAlign w:val="center"/>
                </w:tcPr>
                <w:p w14:paraId="58B8CA2D">
                  <w:pPr>
                    <w:autoSpaceDE w:val="0"/>
                    <w:autoSpaceDN w:val="0"/>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A</w:t>
                  </w:r>
                  <w:r>
                    <w:rPr>
                      <w:color w:val="000000" w:themeColor="text1"/>
                      <w:sz w:val="18"/>
                      <w:szCs w:val="18"/>
                      <w14:textFill>
                        <w14:solidFill>
                          <w14:schemeClr w14:val="tx1"/>
                        </w14:solidFill>
                      </w14:textFill>
                    </w:rPr>
                    <w:t>1</w:t>
                  </w:r>
                </w:p>
              </w:tc>
              <w:tc>
                <w:tcPr>
                  <w:tcW w:w="1213" w:type="pct"/>
                  <w:vAlign w:val="center"/>
                </w:tcPr>
                <w:p w14:paraId="44310D12">
                  <w:pPr>
                    <w:autoSpaceDE w:val="0"/>
                    <w:autoSpaceDN w:val="0"/>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202</w:t>
                  </w:r>
                  <w:r>
                    <w:rPr>
                      <w:rFonts w:hint="eastAsia"/>
                      <w:color w:val="000000" w:themeColor="text1"/>
                      <w:sz w:val="18"/>
                      <w:szCs w:val="18"/>
                      <w14:textFill>
                        <w14:solidFill>
                          <w14:schemeClr w14:val="tx1"/>
                        </w14:solidFill>
                      </w14:textFill>
                    </w:rPr>
                    <w:t>5</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9</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8</w:t>
                  </w:r>
                  <w:r>
                    <w:rPr>
                      <w:color w:val="000000" w:themeColor="text1"/>
                      <w:sz w:val="18"/>
                      <w:szCs w:val="18"/>
                      <w14:textFill>
                        <w14:solidFill>
                          <w14:schemeClr w14:val="tx1"/>
                        </w14:solidFill>
                      </w14:textFill>
                    </w:rPr>
                    <w:t>~202</w:t>
                  </w:r>
                  <w:r>
                    <w:rPr>
                      <w:rFonts w:hint="eastAsia"/>
                      <w:color w:val="000000" w:themeColor="text1"/>
                      <w:sz w:val="18"/>
                      <w:szCs w:val="18"/>
                      <w14:textFill>
                        <w14:solidFill>
                          <w14:schemeClr w14:val="tx1"/>
                        </w14:solidFill>
                      </w14:textFill>
                    </w:rPr>
                    <w:t>5</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9</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10</w:t>
                  </w:r>
                </w:p>
              </w:tc>
              <w:tc>
                <w:tcPr>
                  <w:tcW w:w="629" w:type="pct"/>
                  <w:vAlign w:val="center"/>
                </w:tcPr>
                <w:p w14:paraId="28CF3485">
                  <w:pPr>
                    <w:autoSpaceDE w:val="0"/>
                    <w:autoSpaceDN w:val="0"/>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TSP</w:t>
                  </w:r>
                </w:p>
              </w:tc>
              <w:tc>
                <w:tcPr>
                  <w:tcW w:w="733" w:type="pct"/>
                  <w:vAlign w:val="center"/>
                </w:tcPr>
                <w:p w14:paraId="301EA902">
                  <w:pPr>
                    <w:autoSpaceDE w:val="0"/>
                    <w:autoSpaceDN w:val="0"/>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116-140</w:t>
                  </w:r>
                </w:p>
              </w:tc>
              <w:tc>
                <w:tcPr>
                  <w:tcW w:w="748" w:type="pct"/>
                  <w:vAlign w:val="center"/>
                </w:tcPr>
                <w:p w14:paraId="234691A3">
                  <w:pPr>
                    <w:autoSpaceDE w:val="0"/>
                    <w:autoSpaceDN w:val="0"/>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w:t>
                  </w:r>
                  <w:r>
                    <w:rPr>
                      <w:color w:val="000000" w:themeColor="text1"/>
                      <w:sz w:val="18"/>
                      <w:szCs w:val="18"/>
                      <w14:textFill>
                        <w14:solidFill>
                          <w14:schemeClr w14:val="tx1"/>
                        </w14:solidFill>
                      </w14:textFill>
                    </w:rPr>
                    <w:t>00</w:t>
                  </w:r>
                </w:p>
              </w:tc>
              <w:tc>
                <w:tcPr>
                  <w:tcW w:w="417" w:type="pct"/>
                  <w:vAlign w:val="center"/>
                </w:tcPr>
                <w:p w14:paraId="654DE0DF">
                  <w:pPr>
                    <w:autoSpaceDE w:val="0"/>
                    <w:autoSpaceDN w:val="0"/>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w:t>
                  </w:r>
                </w:p>
              </w:tc>
              <w:tc>
                <w:tcPr>
                  <w:tcW w:w="649" w:type="pct"/>
                  <w:vAlign w:val="center"/>
                </w:tcPr>
                <w:p w14:paraId="77B8AFDD">
                  <w:pPr>
                    <w:autoSpaceDE w:val="0"/>
                    <w:autoSpaceDN w:val="0"/>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38.7</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46.7</w:t>
                  </w:r>
                </w:p>
              </w:tc>
            </w:tr>
          </w:tbl>
          <w:p w14:paraId="3A97BC0A">
            <w:pPr>
              <w:autoSpaceDE w:val="0"/>
              <w:autoSpaceDN w:val="0"/>
              <w:adjustRightInd w:val="0"/>
              <w:snapToGrid w:val="0"/>
              <w:spacing w:line="360" w:lineRule="auto"/>
              <w:ind w:firstLine="480" w:firstLineChars="200"/>
              <w:rPr>
                <w:b/>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根据监测结果，</w:t>
            </w:r>
            <w:r>
              <w:rPr>
                <w:color w:val="000000" w:themeColor="text1"/>
                <w:sz w:val="24"/>
                <w14:textFill>
                  <w14:solidFill>
                    <w14:schemeClr w14:val="tx1"/>
                  </w14:solidFill>
                </w14:textFill>
              </w:rPr>
              <w:t>TSP</w:t>
            </w:r>
            <w:r>
              <w:rPr>
                <w:rFonts w:hint="eastAsia"/>
                <w:color w:val="000000" w:themeColor="text1"/>
                <w:sz w:val="24"/>
                <w14:textFill>
                  <w14:solidFill>
                    <w14:schemeClr w14:val="tx1"/>
                  </w14:solidFill>
                </w14:textFill>
              </w:rPr>
              <w:t>区域浓度</w:t>
            </w:r>
            <w:r>
              <w:rPr>
                <w:color w:val="000000" w:themeColor="text1"/>
                <w:sz w:val="24"/>
                <w14:textFill>
                  <w14:solidFill>
                    <w14:schemeClr w14:val="tx1"/>
                  </w14:solidFill>
                </w14:textFill>
              </w:rPr>
              <w:t>符合《环境空气质量标准》（GB3095-2012）中二类区标准。</w:t>
            </w:r>
          </w:p>
          <w:p w14:paraId="6A15B189">
            <w:pPr>
              <w:tabs>
                <w:tab w:val="left" w:pos="690"/>
              </w:tabs>
              <w:spacing w:line="360" w:lineRule="auto"/>
              <w:ind w:firstLine="482" w:firstLineChars="200"/>
              <w:rPr>
                <w:b/>
                <w:color w:val="000000" w:themeColor="text1"/>
                <w:sz w:val="24"/>
                <w14:textFill>
                  <w14:solidFill>
                    <w14:schemeClr w14:val="tx1"/>
                  </w14:solidFill>
                </w14:textFill>
              </w:rPr>
            </w:pPr>
            <w:r>
              <w:rPr>
                <w:b/>
                <w:color w:val="000000" w:themeColor="text1"/>
                <w:sz w:val="24"/>
                <w14:textFill>
                  <w14:solidFill>
                    <w14:schemeClr w14:val="tx1"/>
                  </w14:solidFill>
                </w14:textFill>
              </w:rPr>
              <w:t>二、地表水环境质量</w:t>
            </w:r>
          </w:p>
          <w:p w14:paraId="5D48C6CF">
            <w:pPr>
              <w:adjustRightInd w:val="0"/>
              <w:snapToGrid w:val="0"/>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根据</w:t>
            </w:r>
            <w:r>
              <w:rPr>
                <w:rFonts w:hint="eastAsia"/>
                <w:color w:val="000000" w:themeColor="text1"/>
                <w:sz w:val="24"/>
                <w14:textFill>
                  <w14:solidFill>
                    <w14:schemeClr w14:val="tx1"/>
                  </w14:solidFill>
                </w14:textFill>
              </w:rPr>
              <w:t>景德镇</w:t>
            </w:r>
            <w:r>
              <w:rPr>
                <w:color w:val="000000" w:themeColor="text1"/>
                <w:sz w:val="24"/>
                <w14:textFill>
                  <w14:solidFill>
                    <w14:schemeClr w14:val="tx1"/>
                  </w14:solidFill>
                </w14:textFill>
              </w:rPr>
              <w:t>市生态环境局发布的</w:t>
            </w:r>
            <w:r>
              <w:rPr>
                <w:rFonts w:hint="eastAsia"/>
                <w:color w:val="000000" w:themeColor="text1"/>
                <w:sz w:val="24"/>
                <w14:textFill>
                  <w14:solidFill>
                    <w14:schemeClr w14:val="tx1"/>
                  </w14:solidFill>
                </w14:textFill>
              </w:rPr>
              <w:t>“景德镇</w:t>
            </w:r>
            <w:r>
              <w:rPr>
                <w:color w:val="000000" w:themeColor="text1"/>
                <w:sz w:val="24"/>
                <w14:textFill>
                  <w14:solidFill>
                    <w14:schemeClr w14:val="tx1"/>
                  </w14:solidFill>
                </w14:textFill>
              </w:rPr>
              <w:t>市地表水水质状况报告</w:t>
            </w:r>
            <w:r>
              <w:rPr>
                <w:rFonts w:hint="eastAsia"/>
                <w:color w:val="000000" w:themeColor="text1"/>
                <w:sz w:val="24"/>
                <w14:textFill>
                  <w14:solidFill>
                    <w14:schemeClr w14:val="tx1"/>
                  </w14:solidFill>
                </w14:textFill>
              </w:rPr>
              <w:t>”（2025年8月）</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网址：</w:t>
            </w:r>
            <w:r>
              <w:rPr>
                <w:color w:val="000000" w:themeColor="text1"/>
                <w:sz w:val="24"/>
                <w14:textFill>
                  <w14:solidFill>
                    <w14:schemeClr w14:val="tx1"/>
                  </w14:solidFill>
                </w14:textFill>
              </w:rPr>
              <w:t>https://hb.jdz.gov.cn/zwzx/hbzl/hjzlyb/），</w:t>
            </w:r>
            <w:r>
              <w:rPr>
                <w:rFonts w:hint="eastAsia"/>
                <w:color w:val="000000" w:themeColor="text1"/>
                <w:sz w:val="24"/>
                <w14:textFill>
                  <w14:solidFill>
                    <w14:schemeClr w14:val="tx1"/>
                  </w14:solidFill>
                </w14:textFill>
              </w:rPr>
              <w:t>本项目纳污水体乐安河监测断面为乐安河桃源，河流监测项目为《地表水环境质量标准》（GB3838-2002）表1基本项目（24项）及电导率，评价标准为《地表水环境质量标准》（GB3838-2002）</w:t>
            </w:r>
            <w:r>
              <w:rPr>
                <w:color w:val="000000" w:themeColor="text1"/>
                <w:sz w:val="24"/>
                <w14:textFill>
                  <w14:solidFill>
                    <w14:schemeClr w14:val="tx1"/>
                  </w14:solidFill>
                </w14:textFill>
              </w:rPr>
              <w:t>。</w:t>
            </w:r>
          </w:p>
          <w:p w14:paraId="4BFFDE92">
            <w:pPr>
              <w:pStyle w:val="44"/>
              <w:spacing w:after="0" w:line="240" w:lineRule="auto"/>
              <w:ind w:firstLine="198" w:firstLineChars="0"/>
              <w:jc w:val="center"/>
              <w:rPr>
                <w:rFonts w:ascii="Times New Roman" w:hAnsi="Times New Roman"/>
                <w:b/>
                <w:bCs/>
                <w:color w:val="000000" w:themeColor="text1"/>
                <w14:textFill>
                  <w14:solidFill>
                    <w14:schemeClr w14:val="tx1"/>
                  </w14:solidFill>
                </w14:textFill>
              </w:rPr>
            </w:pPr>
            <w:r>
              <w:rPr>
                <w:rFonts w:ascii="Times New Roman" w:hAnsi="Times New Roman"/>
                <w:b/>
                <w:bCs/>
                <w:color w:val="000000" w:themeColor="text1"/>
                <w14:textFill>
                  <w14:solidFill>
                    <w14:schemeClr w14:val="tx1"/>
                  </w14:solidFill>
                </w14:textFill>
              </w:rPr>
              <w:t>表3-</w:t>
            </w:r>
            <w:r>
              <w:rPr>
                <w:rFonts w:hint="eastAsia" w:ascii="Times New Roman" w:hAnsi="Times New Roman"/>
                <w:b/>
                <w:bCs/>
                <w:color w:val="000000" w:themeColor="text1"/>
                <w14:textFill>
                  <w14:solidFill>
                    <w14:schemeClr w14:val="tx1"/>
                  </w14:solidFill>
                </w14:textFill>
              </w:rPr>
              <w:t>3</w:t>
            </w:r>
            <w:r>
              <w:rPr>
                <w:rFonts w:ascii="Times New Roman" w:hAnsi="Times New Roman"/>
                <w:b/>
                <w:bCs/>
                <w:color w:val="000000" w:themeColor="text1"/>
                <w14:textFill>
                  <w14:solidFill>
                    <w14:schemeClr w14:val="tx1"/>
                  </w14:solidFill>
                </w14:textFill>
              </w:rPr>
              <w:t xml:space="preserve">   202</w:t>
            </w:r>
            <w:r>
              <w:rPr>
                <w:rFonts w:hint="eastAsia" w:ascii="Times New Roman" w:hAnsi="Times New Roman"/>
                <w:b/>
                <w:bCs/>
                <w:color w:val="000000" w:themeColor="text1"/>
                <w14:textFill>
                  <w14:solidFill>
                    <w14:schemeClr w14:val="tx1"/>
                  </w14:solidFill>
                </w14:textFill>
              </w:rPr>
              <w:t>5</w:t>
            </w:r>
            <w:r>
              <w:rPr>
                <w:rFonts w:ascii="Times New Roman" w:hAnsi="Times New Roman"/>
                <w:b/>
                <w:bCs/>
                <w:color w:val="000000" w:themeColor="text1"/>
                <w14:textFill>
                  <w14:solidFill>
                    <w14:schemeClr w14:val="tx1"/>
                  </w14:solidFill>
                </w14:textFill>
              </w:rPr>
              <w:t>年</w:t>
            </w:r>
            <w:r>
              <w:rPr>
                <w:rFonts w:hint="eastAsia" w:ascii="Times New Roman" w:hAnsi="Times New Roman"/>
                <w:b/>
                <w:bCs/>
                <w:color w:val="000000" w:themeColor="text1"/>
                <w14:textFill>
                  <w14:solidFill>
                    <w14:schemeClr w14:val="tx1"/>
                  </w14:solidFill>
                </w14:textFill>
              </w:rPr>
              <w:t>8</w:t>
            </w:r>
            <w:r>
              <w:rPr>
                <w:rFonts w:ascii="Times New Roman" w:hAnsi="Times New Roman"/>
                <w:b/>
                <w:bCs/>
                <w:color w:val="000000" w:themeColor="text1"/>
                <w14:textFill>
                  <w14:solidFill>
                    <w14:schemeClr w14:val="tx1"/>
                  </w14:solidFill>
                </w14:textFill>
              </w:rPr>
              <w:t>月景德镇市</w:t>
            </w:r>
            <w:r>
              <w:rPr>
                <w:rFonts w:hint="eastAsia" w:ascii="Times New Roman" w:hAnsi="Times New Roman"/>
                <w:b/>
                <w:bCs/>
                <w:color w:val="000000" w:themeColor="text1"/>
                <w14:textFill>
                  <w14:solidFill>
                    <w14:schemeClr w14:val="tx1"/>
                  </w14:solidFill>
                </w14:textFill>
              </w:rPr>
              <w:t>地表水</w:t>
            </w:r>
            <w:r>
              <w:rPr>
                <w:rFonts w:ascii="Times New Roman" w:hAnsi="Times New Roman"/>
                <w:b/>
                <w:bCs/>
                <w:color w:val="000000" w:themeColor="text1"/>
                <w14:textFill>
                  <w14:solidFill>
                    <w14:schemeClr w14:val="tx1"/>
                  </w14:solidFill>
                </w14:textFill>
              </w:rPr>
              <w:t>水质监测评价结果一览表</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738"/>
              <w:gridCol w:w="2141"/>
              <w:gridCol w:w="1030"/>
              <w:gridCol w:w="1297"/>
              <w:gridCol w:w="1301"/>
              <w:gridCol w:w="1301"/>
              <w:gridCol w:w="1303"/>
            </w:tblGrid>
            <w:tr w14:paraId="2805475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1580" w:type="pct"/>
                  <w:gridSpan w:val="2"/>
                  <w:vMerge w:val="restart"/>
                  <w:vAlign w:val="center"/>
                </w:tcPr>
                <w:p w14:paraId="320A6C0B">
                  <w:pPr>
                    <w:pStyle w:val="479"/>
                    <w:tabs>
                      <w:tab w:val="left" w:pos="0"/>
                      <w:tab w:val="left" w:pos="360"/>
                    </w:tabs>
                    <w:adjustRightInd/>
                    <w:snapToGrid/>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断面名称及性质</w:t>
                  </w:r>
                </w:p>
              </w:tc>
              <w:tc>
                <w:tcPr>
                  <w:tcW w:w="565" w:type="pct"/>
                  <w:vMerge w:val="restart"/>
                  <w:vAlign w:val="center"/>
                </w:tcPr>
                <w:p w14:paraId="54DFB624">
                  <w:pPr>
                    <w:pStyle w:val="479"/>
                    <w:tabs>
                      <w:tab w:val="left" w:pos="0"/>
                      <w:tab w:val="left" w:pos="360"/>
                    </w:tabs>
                    <w:adjustRightInd/>
                    <w:snapToGrid/>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水质目标</w:t>
                  </w:r>
                </w:p>
              </w:tc>
              <w:tc>
                <w:tcPr>
                  <w:tcW w:w="1426" w:type="pct"/>
                  <w:gridSpan w:val="2"/>
                  <w:vAlign w:val="center"/>
                </w:tcPr>
                <w:p w14:paraId="255B5C3F">
                  <w:pPr>
                    <w:pStyle w:val="479"/>
                    <w:tabs>
                      <w:tab w:val="left" w:pos="0"/>
                      <w:tab w:val="left" w:pos="360"/>
                    </w:tabs>
                    <w:adjustRightInd/>
                    <w:snapToGrid/>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本月</w:t>
                  </w:r>
                </w:p>
              </w:tc>
              <w:tc>
                <w:tcPr>
                  <w:tcW w:w="1429" w:type="pct"/>
                  <w:gridSpan w:val="2"/>
                  <w:vAlign w:val="center"/>
                </w:tcPr>
                <w:p w14:paraId="3CEE9635">
                  <w:pPr>
                    <w:pStyle w:val="479"/>
                    <w:tabs>
                      <w:tab w:val="left" w:pos="0"/>
                      <w:tab w:val="left" w:pos="360"/>
                    </w:tabs>
                    <w:adjustRightInd/>
                    <w:snapToGrid/>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上年同期</w:t>
                  </w:r>
                </w:p>
              </w:tc>
            </w:tr>
            <w:tr w14:paraId="76C6B9E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1580" w:type="pct"/>
                  <w:gridSpan w:val="2"/>
                  <w:vMerge w:val="continue"/>
                  <w:vAlign w:val="center"/>
                </w:tcPr>
                <w:p w14:paraId="6D8FD25D">
                  <w:pPr>
                    <w:widowControl/>
                    <w:rPr>
                      <w:b/>
                      <w:color w:val="000000" w:themeColor="text1"/>
                      <w:sz w:val="18"/>
                      <w:szCs w:val="18"/>
                      <w14:textFill>
                        <w14:solidFill>
                          <w14:schemeClr w14:val="tx1"/>
                        </w14:solidFill>
                      </w14:textFill>
                    </w:rPr>
                  </w:pPr>
                </w:p>
              </w:tc>
              <w:tc>
                <w:tcPr>
                  <w:tcW w:w="565" w:type="pct"/>
                  <w:vMerge w:val="continue"/>
                  <w:vAlign w:val="center"/>
                </w:tcPr>
                <w:p w14:paraId="4186253C">
                  <w:pPr>
                    <w:widowControl/>
                    <w:rPr>
                      <w:b/>
                      <w:color w:val="000000" w:themeColor="text1"/>
                      <w:sz w:val="18"/>
                      <w:szCs w:val="18"/>
                      <w14:textFill>
                        <w14:solidFill>
                          <w14:schemeClr w14:val="tx1"/>
                        </w14:solidFill>
                      </w14:textFill>
                    </w:rPr>
                  </w:pPr>
                </w:p>
              </w:tc>
              <w:tc>
                <w:tcPr>
                  <w:tcW w:w="712" w:type="pct"/>
                  <w:vAlign w:val="center"/>
                </w:tcPr>
                <w:p w14:paraId="524F348E">
                  <w:pPr>
                    <w:pStyle w:val="479"/>
                    <w:tabs>
                      <w:tab w:val="left" w:pos="0"/>
                      <w:tab w:val="left" w:pos="360"/>
                    </w:tabs>
                    <w:adjustRightInd/>
                    <w:snapToGrid/>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水质类别</w:t>
                  </w:r>
                </w:p>
              </w:tc>
              <w:tc>
                <w:tcPr>
                  <w:tcW w:w="714" w:type="pct"/>
                  <w:vAlign w:val="center"/>
                </w:tcPr>
                <w:p w14:paraId="43A0098C">
                  <w:pPr>
                    <w:pStyle w:val="479"/>
                    <w:tabs>
                      <w:tab w:val="left" w:pos="0"/>
                      <w:tab w:val="left" w:pos="360"/>
                    </w:tabs>
                    <w:adjustRightInd/>
                    <w:snapToGrid/>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超标项目</w:t>
                  </w:r>
                </w:p>
              </w:tc>
              <w:tc>
                <w:tcPr>
                  <w:tcW w:w="714" w:type="pct"/>
                  <w:vAlign w:val="center"/>
                </w:tcPr>
                <w:p w14:paraId="6D9B1127">
                  <w:pPr>
                    <w:pStyle w:val="479"/>
                    <w:tabs>
                      <w:tab w:val="left" w:pos="0"/>
                      <w:tab w:val="left" w:pos="360"/>
                    </w:tabs>
                    <w:adjustRightInd/>
                    <w:snapToGrid/>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水质类别</w:t>
                  </w:r>
                </w:p>
              </w:tc>
              <w:tc>
                <w:tcPr>
                  <w:tcW w:w="715" w:type="pct"/>
                  <w:vAlign w:val="center"/>
                </w:tcPr>
                <w:p w14:paraId="70EE0871">
                  <w:pPr>
                    <w:pStyle w:val="479"/>
                    <w:tabs>
                      <w:tab w:val="left" w:pos="0"/>
                      <w:tab w:val="left" w:pos="360"/>
                    </w:tabs>
                    <w:adjustRightInd/>
                    <w:snapToGrid/>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超标项目</w:t>
                  </w:r>
                </w:p>
              </w:tc>
            </w:tr>
            <w:tr w14:paraId="133488A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05" w:type="pct"/>
                  <w:vMerge w:val="restart"/>
                  <w:vAlign w:val="center"/>
                </w:tcPr>
                <w:p w14:paraId="40D5DD0E">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昌江河</w:t>
                  </w:r>
                </w:p>
              </w:tc>
              <w:tc>
                <w:tcPr>
                  <w:tcW w:w="1175" w:type="pct"/>
                  <w:vAlign w:val="center"/>
                </w:tcPr>
                <w:p w14:paraId="678E46B6">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南河河口（国控）</w:t>
                  </w:r>
                </w:p>
              </w:tc>
              <w:tc>
                <w:tcPr>
                  <w:tcW w:w="565" w:type="pct"/>
                  <w:vAlign w:val="center"/>
                </w:tcPr>
                <w:p w14:paraId="583BB225">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Ⅲ</w:t>
                  </w:r>
                  <w:r>
                    <w:rPr>
                      <w:rFonts w:hint="eastAsia"/>
                      <w:b w:val="0"/>
                      <w:bCs/>
                      <w:color w:val="000000" w:themeColor="text1"/>
                      <w:sz w:val="18"/>
                      <w:szCs w:val="18"/>
                      <w14:textFill>
                        <w14:solidFill>
                          <w14:schemeClr w14:val="tx1"/>
                        </w14:solidFill>
                      </w14:textFill>
                    </w:rPr>
                    <w:t>类</w:t>
                  </w:r>
                </w:p>
              </w:tc>
              <w:tc>
                <w:tcPr>
                  <w:tcW w:w="712" w:type="pct"/>
                  <w:vAlign w:val="center"/>
                </w:tcPr>
                <w:p w14:paraId="052E2337">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Ⅲ</w:t>
                  </w:r>
                  <w:r>
                    <w:rPr>
                      <w:rFonts w:hint="eastAsia"/>
                      <w:b w:val="0"/>
                      <w:bCs/>
                      <w:color w:val="000000" w:themeColor="text1"/>
                      <w:sz w:val="18"/>
                      <w:szCs w:val="18"/>
                      <w14:textFill>
                        <w14:solidFill>
                          <w14:schemeClr w14:val="tx1"/>
                        </w14:solidFill>
                      </w14:textFill>
                    </w:rPr>
                    <w:t>类</w:t>
                  </w:r>
                </w:p>
              </w:tc>
              <w:tc>
                <w:tcPr>
                  <w:tcW w:w="714" w:type="pct"/>
                  <w:vAlign w:val="center"/>
                </w:tcPr>
                <w:p w14:paraId="5609AC6D">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lang w:val="en"/>
                      <w14:textFill>
                        <w14:solidFill>
                          <w14:schemeClr w14:val="tx1"/>
                        </w14:solidFill>
                      </w14:textFill>
                    </w:rPr>
                    <w:t>无</w:t>
                  </w:r>
                </w:p>
              </w:tc>
              <w:tc>
                <w:tcPr>
                  <w:tcW w:w="714" w:type="pct"/>
                  <w:vAlign w:val="center"/>
                </w:tcPr>
                <w:p w14:paraId="4C28BB52">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Ⅲ</w:t>
                  </w:r>
                  <w:r>
                    <w:rPr>
                      <w:rFonts w:hint="eastAsia"/>
                      <w:b w:val="0"/>
                      <w:bCs/>
                      <w:color w:val="000000" w:themeColor="text1"/>
                      <w:sz w:val="18"/>
                      <w:szCs w:val="18"/>
                      <w14:textFill>
                        <w14:solidFill>
                          <w14:schemeClr w14:val="tx1"/>
                        </w14:solidFill>
                      </w14:textFill>
                    </w:rPr>
                    <w:t>类</w:t>
                  </w:r>
                </w:p>
              </w:tc>
              <w:tc>
                <w:tcPr>
                  <w:tcW w:w="715" w:type="pct"/>
                  <w:vAlign w:val="center"/>
                </w:tcPr>
                <w:p w14:paraId="51A71DF1">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无</w:t>
                  </w:r>
                </w:p>
              </w:tc>
            </w:tr>
            <w:tr w14:paraId="0515810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05" w:type="pct"/>
                  <w:vMerge w:val="continue"/>
                  <w:vAlign w:val="center"/>
                </w:tcPr>
                <w:p w14:paraId="616A7FC6">
                  <w:pPr>
                    <w:widowControl/>
                    <w:rPr>
                      <w:bCs/>
                      <w:color w:val="000000" w:themeColor="text1"/>
                      <w:sz w:val="18"/>
                      <w:szCs w:val="18"/>
                      <w14:textFill>
                        <w14:solidFill>
                          <w14:schemeClr w14:val="tx1"/>
                        </w14:solidFill>
                      </w14:textFill>
                    </w:rPr>
                  </w:pPr>
                </w:p>
              </w:tc>
              <w:tc>
                <w:tcPr>
                  <w:tcW w:w="1175" w:type="pct"/>
                  <w:vAlign w:val="center"/>
                </w:tcPr>
                <w:p w14:paraId="4DB4AF5D">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关山村（国控）</w:t>
                  </w:r>
                </w:p>
              </w:tc>
              <w:tc>
                <w:tcPr>
                  <w:tcW w:w="565" w:type="pct"/>
                  <w:vAlign w:val="center"/>
                </w:tcPr>
                <w:p w14:paraId="27B853DC">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Ⅲ</w:t>
                  </w:r>
                  <w:r>
                    <w:rPr>
                      <w:rFonts w:hint="eastAsia"/>
                      <w:b w:val="0"/>
                      <w:bCs/>
                      <w:color w:val="000000" w:themeColor="text1"/>
                      <w:sz w:val="18"/>
                      <w:szCs w:val="18"/>
                      <w14:textFill>
                        <w14:solidFill>
                          <w14:schemeClr w14:val="tx1"/>
                        </w14:solidFill>
                      </w14:textFill>
                    </w:rPr>
                    <w:t>类</w:t>
                  </w:r>
                </w:p>
              </w:tc>
              <w:tc>
                <w:tcPr>
                  <w:tcW w:w="712" w:type="pct"/>
                  <w:vAlign w:val="center"/>
                </w:tcPr>
                <w:p w14:paraId="6575E6ED">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lang w:val="en"/>
                      <w14:textFill>
                        <w14:solidFill>
                          <w14:schemeClr w14:val="tx1"/>
                        </w14:solidFill>
                      </w14:textFill>
                    </w:rPr>
                    <w:t>Ⅱ</w:t>
                  </w:r>
                  <w:r>
                    <w:rPr>
                      <w:rFonts w:hint="eastAsia"/>
                      <w:b w:val="0"/>
                      <w:bCs/>
                      <w:color w:val="000000" w:themeColor="text1"/>
                      <w:sz w:val="18"/>
                      <w:szCs w:val="18"/>
                      <w:lang w:val="en"/>
                      <w14:textFill>
                        <w14:solidFill>
                          <w14:schemeClr w14:val="tx1"/>
                        </w14:solidFill>
                      </w14:textFill>
                    </w:rPr>
                    <w:t>类</w:t>
                  </w:r>
                </w:p>
              </w:tc>
              <w:tc>
                <w:tcPr>
                  <w:tcW w:w="714" w:type="pct"/>
                  <w:vAlign w:val="center"/>
                </w:tcPr>
                <w:p w14:paraId="7729014A">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lang w:val="en"/>
                      <w14:textFill>
                        <w14:solidFill>
                          <w14:schemeClr w14:val="tx1"/>
                        </w14:solidFill>
                      </w14:textFill>
                    </w:rPr>
                    <w:t>无</w:t>
                  </w:r>
                </w:p>
              </w:tc>
              <w:tc>
                <w:tcPr>
                  <w:tcW w:w="714" w:type="pct"/>
                  <w:vAlign w:val="center"/>
                </w:tcPr>
                <w:p w14:paraId="7B236300">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Ⅱ</w:t>
                  </w:r>
                  <w:r>
                    <w:rPr>
                      <w:rFonts w:hint="eastAsia"/>
                      <w:b w:val="0"/>
                      <w:bCs/>
                      <w:color w:val="000000" w:themeColor="text1"/>
                      <w:sz w:val="18"/>
                      <w:szCs w:val="18"/>
                      <w14:textFill>
                        <w14:solidFill>
                          <w14:schemeClr w14:val="tx1"/>
                        </w14:solidFill>
                      </w14:textFill>
                    </w:rPr>
                    <w:t>类</w:t>
                  </w:r>
                </w:p>
              </w:tc>
              <w:tc>
                <w:tcPr>
                  <w:tcW w:w="715" w:type="pct"/>
                  <w:vAlign w:val="center"/>
                </w:tcPr>
                <w:p w14:paraId="1799DF3A">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无</w:t>
                  </w:r>
                </w:p>
              </w:tc>
            </w:tr>
            <w:tr w14:paraId="023886F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05" w:type="pct"/>
                  <w:vMerge w:val="continue"/>
                  <w:vAlign w:val="center"/>
                </w:tcPr>
                <w:p w14:paraId="25038B90">
                  <w:pPr>
                    <w:widowControl/>
                    <w:rPr>
                      <w:bCs/>
                      <w:color w:val="000000" w:themeColor="text1"/>
                      <w:sz w:val="18"/>
                      <w:szCs w:val="18"/>
                      <w14:textFill>
                        <w14:solidFill>
                          <w14:schemeClr w14:val="tx1"/>
                        </w14:solidFill>
                      </w14:textFill>
                    </w:rPr>
                  </w:pPr>
                </w:p>
              </w:tc>
              <w:tc>
                <w:tcPr>
                  <w:tcW w:w="1175" w:type="pct"/>
                  <w:vAlign w:val="center"/>
                </w:tcPr>
                <w:p w14:paraId="140DD8A0">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鲇鱼山（国控）</w:t>
                  </w:r>
                </w:p>
              </w:tc>
              <w:tc>
                <w:tcPr>
                  <w:tcW w:w="565" w:type="pct"/>
                  <w:vAlign w:val="center"/>
                </w:tcPr>
                <w:p w14:paraId="723C2646">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Ⅲ</w:t>
                  </w:r>
                  <w:r>
                    <w:rPr>
                      <w:rFonts w:hint="eastAsia"/>
                      <w:b w:val="0"/>
                      <w:bCs/>
                      <w:color w:val="000000" w:themeColor="text1"/>
                      <w:sz w:val="18"/>
                      <w:szCs w:val="18"/>
                      <w14:textFill>
                        <w14:solidFill>
                          <w14:schemeClr w14:val="tx1"/>
                        </w14:solidFill>
                      </w14:textFill>
                    </w:rPr>
                    <w:t>类</w:t>
                  </w:r>
                </w:p>
              </w:tc>
              <w:tc>
                <w:tcPr>
                  <w:tcW w:w="712" w:type="pct"/>
                  <w:vAlign w:val="center"/>
                </w:tcPr>
                <w:p w14:paraId="08953575">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lang w:val="en"/>
                      <w14:textFill>
                        <w14:solidFill>
                          <w14:schemeClr w14:val="tx1"/>
                        </w14:solidFill>
                      </w14:textFill>
                    </w:rPr>
                    <w:t>Ⅱ</w:t>
                  </w:r>
                  <w:r>
                    <w:rPr>
                      <w:rFonts w:hint="eastAsia"/>
                      <w:b w:val="0"/>
                      <w:bCs/>
                      <w:color w:val="000000" w:themeColor="text1"/>
                      <w:sz w:val="18"/>
                      <w:szCs w:val="18"/>
                      <w:lang w:val="en"/>
                      <w14:textFill>
                        <w14:solidFill>
                          <w14:schemeClr w14:val="tx1"/>
                        </w14:solidFill>
                      </w14:textFill>
                    </w:rPr>
                    <w:t>类</w:t>
                  </w:r>
                </w:p>
              </w:tc>
              <w:tc>
                <w:tcPr>
                  <w:tcW w:w="714" w:type="pct"/>
                  <w:vAlign w:val="center"/>
                </w:tcPr>
                <w:p w14:paraId="5F307DE1">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lang w:val="en"/>
                      <w14:textFill>
                        <w14:solidFill>
                          <w14:schemeClr w14:val="tx1"/>
                        </w14:solidFill>
                      </w14:textFill>
                    </w:rPr>
                    <w:t>无</w:t>
                  </w:r>
                </w:p>
              </w:tc>
              <w:tc>
                <w:tcPr>
                  <w:tcW w:w="714" w:type="pct"/>
                  <w:vAlign w:val="center"/>
                </w:tcPr>
                <w:p w14:paraId="6259F94D">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Ⅱ</w:t>
                  </w:r>
                  <w:r>
                    <w:rPr>
                      <w:rFonts w:hint="eastAsia"/>
                      <w:b w:val="0"/>
                      <w:bCs/>
                      <w:color w:val="000000" w:themeColor="text1"/>
                      <w:sz w:val="18"/>
                      <w:szCs w:val="18"/>
                      <w14:textFill>
                        <w14:solidFill>
                          <w14:schemeClr w14:val="tx1"/>
                        </w14:solidFill>
                      </w14:textFill>
                    </w:rPr>
                    <w:t>类</w:t>
                  </w:r>
                </w:p>
              </w:tc>
              <w:tc>
                <w:tcPr>
                  <w:tcW w:w="715" w:type="pct"/>
                  <w:vAlign w:val="center"/>
                </w:tcPr>
                <w:p w14:paraId="30BDF3A3">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无</w:t>
                  </w:r>
                </w:p>
              </w:tc>
            </w:tr>
            <w:tr w14:paraId="6881C09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05" w:type="pct"/>
                  <w:vMerge w:val="continue"/>
                  <w:vAlign w:val="center"/>
                </w:tcPr>
                <w:p w14:paraId="4D9D6D0B">
                  <w:pPr>
                    <w:widowControl/>
                    <w:rPr>
                      <w:bCs/>
                      <w:color w:val="000000" w:themeColor="text1"/>
                      <w:sz w:val="18"/>
                      <w:szCs w:val="18"/>
                      <w14:textFill>
                        <w14:solidFill>
                          <w14:schemeClr w14:val="tx1"/>
                        </w14:solidFill>
                      </w14:textFill>
                    </w:rPr>
                  </w:pPr>
                </w:p>
              </w:tc>
              <w:tc>
                <w:tcPr>
                  <w:tcW w:w="1175" w:type="pct"/>
                  <w:vAlign w:val="center"/>
                </w:tcPr>
                <w:p w14:paraId="2B6D2042">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洋湖水厂（国控）</w:t>
                  </w:r>
                </w:p>
              </w:tc>
              <w:tc>
                <w:tcPr>
                  <w:tcW w:w="565" w:type="pct"/>
                  <w:vAlign w:val="center"/>
                </w:tcPr>
                <w:p w14:paraId="147B459E">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Ⅲ</w:t>
                  </w:r>
                  <w:r>
                    <w:rPr>
                      <w:rFonts w:hint="eastAsia"/>
                      <w:b w:val="0"/>
                      <w:bCs/>
                      <w:color w:val="000000" w:themeColor="text1"/>
                      <w:sz w:val="18"/>
                      <w:szCs w:val="18"/>
                      <w14:textFill>
                        <w14:solidFill>
                          <w14:schemeClr w14:val="tx1"/>
                        </w14:solidFill>
                      </w14:textFill>
                    </w:rPr>
                    <w:t>类</w:t>
                  </w:r>
                </w:p>
              </w:tc>
              <w:tc>
                <w:tcPr>
                  <w:tcW w:w="712" w:type="pct"/>
                  <w:vAlign w:val="center"/>
                </w:tcPr>
                <w:p w14:paraId="582A765E">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lang w:val="en"/>
                      <w14:textFill>
                        <w14:solidFill>
                          <w14:schemeClr w14:val="tx1"/>
                        </w14:solidFill>
                      </w14:textFill>
                    </w:rPr>
                    <w:t>Ⅱ</w:t>
                  </w:r>
                  <w:r>
                    <w:rPr>
                      <w:rFonts w:hint="eastAsia"/>
                      <w:b w:val="0"/>
                      <w:bCs/>
                      <w:color w:val="000000" w:themeColor="text1"/>
                      <w:sz w:val="18"/>
                      <w:szCs w:val="18"/>
                      <w:lang w:val="en"/>
                      <w14:textFill>
                        <w14:solidFill>
                          <w14:schemeClr w14:val="tx1"/>
                        </w14:solidFill>
                      </w14:textFill>
                    </w:rPr>
                    <w:t>类</w:t>
                  </w:r>
                </w:p>
              </w:tc>
              <w:tc>
                <w:tcPr>
                  <w:tcW w:w="714" w:type="pct"/>
                  <w:vAlign w:val="center"/>
                </w:tcPr>
                <w:p w14:paraId="700BE849">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lang w:val="en"/>
                      <w14:textFill>
                        <w14:solidFill>
                          <w14:schemeClr w14:val="tx1"/>
                        </w14:solidFill>
                      </w14:textFill>
                    </w:rPr>
                    <w:t>无</w:t>
                  </w:r>
                </w:p>
              </w:tc>
              <w:tc>
                <w:tcPr>
                  <w:tcW w:w="714" w:type="pct"/>
                  <w:vAlign w:val="center"/>
                </w:tcPr>
                <w:p w14:paraId="13DB2731">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Ⅱ</w:t>
                  </w:r>
                  <w:r>
                    <w:rPr>
                      <w:rFonts w:hint="eastAsia"/>
                      <w:b w:val="0"/>
                      <w:bCs/>
                      <w:color w:val="000000" w:themeColor="text1"/>
                      <w:sz w:val="18"/>
                      <w:szCs w:val="18"/>
                      <w14:textFill>
                        <w14:solidFill>
                          <w14:schemeClr w14:val="tx1"/>
                        </w14:solidFill>
                      </w14:textFill>
                    </w:rPr>
                    <w:t>类</w:t>
                  </w:r>
                </w:p>
              </w:tc>
              <w:tc>
                <w:tcPr>
                  <w:tcW w:w="715" w:type="pct"/>
                  <w:vAlign w:val="center"/>
                </w:tcPr>
                <w:p w14:paraId="597B4137">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无</w:t>
                  </w:r>
                </w:p>
              </w:tc>
            </w:tr>
            <w:tr w14:paraId="542F5A7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05" w:type="pct"/>
                  <w:vMerge w:val="continue"/>
                  <w:vAlign w:val="center"/>
                </w:tcPr>
                <w:p w14:paraId="54C5F9A8">
                  <w:pPr>
                    <w:widowControl/>
                    <w:rPr>
                      <w:bCs/>
                      <w:color w:val="000000" w:themeColor="text1"/>
                      <w:sz w:val="18"/>
                      <w:szCs w:val="18"/>
                      <w14:textFill>
                        <w14:solidFill>
                          <w14:schemeClr w14:val="tx1"/>
                        </w14:solidFill>
                      </w14:textFill>
                    </w:rPr>
                  </w:pPr>
                </w:p>
              </w:tc>
              <w:tc>
                <w:tcPr>
                  <w:tcW w:w="1175" w:type="pct"/>
                  <w:vAlign w:val="center"/>
                </w:tcPr>
                <w:p w14:paraId="4A078097">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吊鱼</w:t>
                  </w:r>
                  <w:r>
                    <w:rPr>
                      <w:b w:val="0"/>
                      <w:bCs/>
                      <w:color w:val="000000" w:themeColor="text1"/>
                      <w:sz w:val="18"/>
                      <w:szCs w:val="18"/>
                      <w14:textFill>
                        <w14:solidFill>
                          <w14:schemeClr w14:val="tx1"/>
                        </w14:solidFill>
                      </w14:textFill>
                    </w:rPr>
                    <w:t>(</w:t>
                  </w:r>
                  <w:r>
                    <w:rPr>
                      <w:rFonts w:hint="eastAsia"/>
                      <w:b w:val="0"/>
                      <w:bCs/>
                      <w:color w:val="000000" w:themeColor="text1"/>
                      <w:sz w:val="18"/>
                      <w:szCs w:val="18"/>
                      <w14:textFill>
                        <w14:solidFill>
                          <w14:schemeClr w14:val="tx1"/>
                        </w14:solidFill>
                      </w14:textFill>
                    </w:rPr>
                    <w:t>省控</w:t>
                  </w:r>
                  <w:r>
                    <w:rPr>
                      <w:b w:val="0"/>
                      <w:bCs/>
                      <w:color w:val="000000" w:themeColor="text1"/>
                      <w:sz w:val="18"/>
                      <w:szCs w:val="18"/>
                      <w14:textFill>
                        <w14:solidFill>
                          <w14:schemeClr w14:val="tx1"/>
                        </w14:solidFill>
                      </w14:textFill>
                    </w:rPr>
                    <w:t>)</w:t>
                  </w:r>
                </w:p>
              </w:tc>
              <w:tc>
                <w:tcPr>
                  <w:tcW w:w="565" w:type="pct"/>
                  <w:vAlign w:val="center"/>
                </w:tcPr>
                <w:p w14:paraId="1CDD038A">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Ⅲ</w:t>
                  </w:r>
                  <w:r>
                    <w:rPr>
                      <w:rFonts w:hint="eastAsia"/>
                      <w:b w:val="0"/>
                      <w:bCs/>
                      <w:color w:val="000000" w:themeColor="text1"/>
                      <w:sz w:val="18"/>
                      <w:szCs w:val="18"/>
                      <w14:textFill>
                        <w14:solidFill>
                          <w14:schemeClr w14:val="tx1"/>
                        </w14:solidFill>
                      </w14:textFill>
                    </w:rPr>
                    <w:t>类</w:t>
                  </w:r>
                </w:p>
              </w:tc>
              <w:tc>
                <w:tcPr>
                  <w:tcW w:w="712" w:type="pct"/>
                  <w:vAlign w:val="center"/>
                </w:tcPr>
                <w:p w14:paraId="65DD8113">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lang w:val="en"/>
                      <w14:textFill>
                        <w14:solidFill>
                          <w14:schemeClr w14:val="tx1"/>
                        </w14:solidFill>
                      </w14:textFill>
                    </w:rPr>
                    <w:t>Ⅰ</w:t>
                  </w:r>
                  <w:r>
                    <w:rPr>
                      <w:rFonts w:hint="eastAsia"/>
                      <w:b w:val="0"/>
                      <w:bCs/>
                      <w:color w:val="000000" w:themeColor="text1"/>
                      <w:sz w:val="18"/>
                      <w:szCs w:val="18"/>
                      <w:lang w:val="en"/>
                      <w14:textFill>
                        <w14:solidFill>
                          <w14:schemeClr w14:val="tx1"/>
                        </w14:solidFill>
                      </w14:textFill>
                    </w:rPr>
                    <w:t>类</w:t>
                  </w:r>
                </w:p>
              </w:tc>
              <w:tc>
                <w:tcPr>
                  <w:tcW w:w="714" w:type="pct"/>
                  <w:vAlign w:val="center"/>
                </w:tcPr>
                <w:p w14:paraId="7DAD9BBA">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lang w:val="en"/>
                      <w14:textFill>
                        <w14:solidFill>
                          <w14:schemeClr w14:val="tx1"/>
                        </w14:solidFill>
                      </w14:textFill>
                    </w:rPr>
                    <w:t>无</w:t>
                  </w:r>
                </w:p>
              </w:tc>
              <w:tc>
                <w:tcPr>
                  <w:tcW w:w="714" w:type="pct"/>
                  <w:vAlign w:val="center"/>
                </w:tcPr>
                <w:p w14:paraId="083C2902">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lang w:val="en"/>
                      <w14:textFill>
                        <w14:solidFill>
                          <w14:schemeClr w14:val="tx1"/>
                        </w14:solidFill>
                      </w14:textFill>
                    </w:rPr>
                    <w:t>Ⅰ</w:t>
                  </w:r>
                  <w:r>
                    <w:rPr>
                      <w:rFonts w:hint="eastAsia"/>
                      <w:b w:val="0"/>
                      <w:bCs/>
                      <w:color w:val="000000" w:themeColor="text1"/>
                      <w:sz w:val="18"/>
                      <w:szCs w:val="18"/>
                      <w:lang w:val="en"/>
                      <w14:textFill>
                        <w14:solidFill>
                          <w14:schemeClr w14:val="tx1"/>
                        </w14:solidFill>
                      </w14:textFill>
                    </w:rPr>
                    <w:t>类</w:t>
                  </w:r>
                </w:p>
              </w:tc>
              <w:tc>
                <w:tcPr>
                  <w:tcW w:w="715" w:type="pct"/>
                  <w:vAlign w:val="center"/>
                </w:tcPr>
                <w:p w14:paraId="06FDDDB7">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无</w:t>
                  </w:r>
                </w:p>
              </w:tc>
            </w:tr>
            <w:tr w14:paraId="2CB56EB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05" w:type="pct"/>
                  <w:vMerge w:val="continue"/>
                  <w:vAlign w:val="center"/>
                </w:tcPr>
                <w:p w14:paraId="37AF89A3">
                  <w:pPr>
                    <w:widowControl/>
                    <w:rPr>
                      <w:bCs/>
                      <w:color w:val="000000" w:themeColor="text1"/>
                      <w:sz w:val="18"/>
                      <w:szCs w:val="18"/>
                      <w14:textFill>
                        <w14:solidFill>
                          <w14:schemeClr w14:val="tx1"/>
                        </w14:solidFill>
                      </w14:textFill>
                    </w:rPr>
                  </w:pPr>
                </w:p>
              </w:tc>
              <w:tc>
                <w:tcPr>
                  <w:tcW w:w="1175" w:type="pct"/>
                  <w:vAlign w:val="center"/>
                </w:tcPr>
                <w:p w14:paraId="64400156">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昌江庄屋下</w:t>
                  </w:r>
                  <w:r>
                    <w:rPr>
                      <w:b w:val="0"/>
                      <w:bCs/>
                      <w:color w:val="000000" w:themeColor="text1"/>
                      <w:sz w:val="18"/>
                      <w:szCs w:val="18"/>
                      <w14:textFill>
                        <w14:solidFill>
                          <w14:schemeClr w14:val="tx1"/>
                        </w14:solidFill>
                      </w14:textFill>
                    </w:rPr>
                    <w:t>(</w:t>
                  </w:r>
                  <w:r>
                    <w:rPr>
                      <w:rFonts w:hint="eastAsia"/>
                      <w:b w:val="0"/>
                      <w:bCs/>
                      <w:color w:val="000000" w:themeColor="text1"/>
                      <w:sz w:val="18"/>
                      <w:szCs w:val="18"/>
                      <w14:textFill>
                        <w14:solidFill>
                          <w14:schemeClr w14:val="tx1"/>
                        </w14:solidFill>
                      </w14:textFill>
                    </w:rPr>
                    <w:t>省控</w:t>
                  </w:r>
                  <w:r>
                    <w:rPr>
                      <w:b w:val="0"/>
                      <w:bCs/>
                      <w:color w:val="000000" w:themeColor="text1"/>
                      <w:sz w:val="18"/>
                      <w:szCs w:val="18"/>
                      <w14:textFill>
                        <w14:solidFill>
                          <w14:schemeClr w14:val="tx1"/>
                        </w14:solidFill>
                      </w14:textFill>
                    </w:rPr>
                    <w:t>)</w:t>
                  </w:r>
                </w:p>
              </w:tc>
              <w:tc>
                <w:tcPr>
                  <w:tcW w:w="565" w:type="pct"/>
                  <w:vAlign w:val="center"/>
                </w:tcPr>
                <w:p w14:paraId="06803941">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Ⅲ</w:t>
                  </w:r>
                  <w:r>
                    <w:rPr>
                      <w:rFonts w:hint="eastAsia"/>
                      <w:b w:val="0"/>
                      <w:bCs/>
                      <w:color w:val="000000" w:themeColor="text1"/>
                      <w:sz w:val="18"/>
                      <w:szCs w:val="18"/>
                      <w14:textFill>
                        <w14:solidFill>
                          <w14:schemeClr w14:val="tx1"/>
                        </w14:solidFill>
                      </w14:textFill>
                    </w:rPr>
                    <w:t>类</w:t>
                  </w:r>
                </w:p>
              </w:tc>
              <w:tc>
                <w:tcPr>
                  <w:tcW w:w="712" w:type="pct"/>
                  <w:vAlign w:val="center"/>
                </w:tcPr>
                <w:p w14:paraId="00213381">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lang w:val="en"/>
                      <w14:textFill>
                        <w14:solidFill>
                          <w14:schemeClr w14:val="tx1"/>
                        </w14:solidFill>
                      </w14:textFill>
                    </w:rPr>
                    <w:t>Ⅱ</w:t>
                  </w:r>
                  <w:r>
                    <w:rPr>
                      <w:rFonts w:hint="eastAsia"/>
                      <w:b w:val="0"/>
                      <w:bCs/>
                      <w:color w:val="000000" w:themeColor="text1"/>
                      <w:sz w:val="18"/>
                      <w:szCs w:val="18"/>
                      <w:lang w:val="en"/>
                      <w14:textFill>
                        <w14:solidFill>
                          <w14:schemeClr w14:val="tx1"/>
                        </w14:solidFill>
                      </w14:textFill>
                    </w:rPr>
                    <w:t>类</w:t>
                  </w:r>
                </w:p>
              </w:tc>
              <w:tc>
                <w:tcPr>
                  <w:tcW w:w="714" w:type="pct"/>
                  <w:vAlign w:val="center"/>
                </w:tcPr>
                <w:p w14:paraId="14C19AE2">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lang w:val="en"/>
                      <w14:textFill>
                        <w14:solidFill>
                          <w14:schemeClr w14:val="tx1"/>
                        </w14:solidFill>
                      </w14:textFill>
                    </w:rPr>
                    <w:t>无</w:t>
                  </w:r>
                </w:p>
              </w:tc>
              <w:tc>
                <w:tcPr>
                  <w:tcW w:w="714" w:type="pct"/>
                  <w:vAlign w:val="center"/>
                </w:tcPr>
                <w:p w14:paraId="625F7A5C">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Ⅱ</w:t>
                  </w:r>
                  <w:r>
                    <w:rPr>
                      <w:rFonts w:hint="eastAsia"/>
                      <w:b w:val="0"/>
                      <w:bCs/>
                      <w:color w:val="000000" w:themeColor="text1"/>
                      <w:sz w:val="18"/>
                      <w:szCs w:val="18"/>
                      <w14:textFill>
                        <w14:solidFill>
                          <w14:schemeClr w14:val="tx1"/>
                        </w14:solidFill>
                      </w14:textFill>
                    </w:rPr>
                    <w:t>类</w:t>
                  </w:r>
                </w:p>
              </w:tc>
              <w:tc>
                <w:tcPr>
                  <w:tcW w:w="715" w:type="pct"/>
                  <w:vAlign w:val="center"/>
                </w:tcPr>
                <w:p w14:paraId="03E614B7">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无</w:t>
                  </w:r>
                </w:p>
              </w:tc>
            </w:tr>
            <w:tr w14:paraId="37E39C6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05" w:type="pct"/>
                  <w:vMerge w:val="continue"/>
                  <w:vAlign w:val="center"/>
                </w:tcPr>
                <w:p w14:paraId="47666D0D">
                  <w:pPr>
                    <w:widowControl/>
                    <w:rPr>
                      <w:bCs/>
                      <w:color w:val="000000" w:themeColor="text1"/>
                      <w:sz w:val="18"/>
                      <w:szCs w:val="18"/>
                      <w14:textFill>
                        <w14:solidFill>
                          <w14:schemeClr w14:val="tx1"/>
                        </w14:solidFill>
                      </w14:textFill>
                    </w:rPr>
                  </w:pPr>
                </w:p>
              </w:tc>
              <w:tc>
                <w:tcPr>
                  <w:tcW w:w="1175" w:type="pct"/>
                  <w:vAlign w:val="center"/>
                </w:tcPr>
                <w:p w14:paraId="3F72797E">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浮梁进坑村</w:t>
                  </w:r>
                  <w:r>
                    <w:rPr>
                      <w:b w:val="0"/>
                      <w:bCs/>
                      <w:color w:val="000000" w:themeColor="text1"/>
                      <w:sz w:val="18"/>
                      <w:szCs w:val="18"/>
                      <w14:textFill>
                        <w14:solidFill>
                          <w14:schemeClr w14:val="tx1"/>
                        </w14:solidFill>
                      </w14:textFill>
                    </w:rPr>
                    <w:t>(</w:t>
                  </w:r>
                  <w:r>
                    <w:rPr>
                      <w:rFonts w:hint="eastAsia"/>
                      <w:b w:val="0"/>
                      <w:bCs/>
                      <w:color w:val="000000" w:themeColor="text1"/>
                      <w:sz w:val="18"/>
                      <w:szCs w:val="18"/>
                      <w14:textFill>
                        <w14:solidFill>
                          <w14:schemeClr w14:val="tx1"/>
                        </w14:solidFill>
                      </w14:textFill>
                    </w:rPr>
                    <w:t>省控</w:t>
                  </w:r>
                  <w:r>
                    <w:rPr>
                      <w:b w:val="0"/>
                      <w:bCs/>
                      <w:color w:val="000000" w:themeColor="text1"/>
                      <w:sz w:val="18"/>
                      <w:szCs w:val="18"/>
                      <w14:textFill>
                        <w14:solidFill>
                          <w14:schemeClr w14:val="tx1"/>
                        </w14:solidFill>
                      </w14:textFill>
                    </w:rPr>
                    <w:t>)</w:t>
                  </w:r>
                </w:p>
              </w:tc>
              <w:tc>
                <w:tcPr>
                  <w:tcW w:w="565" w:type="pct"/>
                  <w:vAlign w:val="center"/>
                </w:tcPr>
                <w:p w14:paraId="25ABB496">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Ⅲ</w:t>
                  </w:r>
                  <w:r>
                    <w:rPr>
                      <w:rFonts w:hint="eastAsia"/>
                      <w:b w:val="0"/>
                      <w:bCs/>
                      <w:color w:val="000000" w:themeColor="text1"/>
                      <w:sz w:val="18"/>
                      <w:szCs w:val="18"/>
                      <w14:textFill>
                        <w14:solidFill>
                          <w14:schemeClr w14:val="tx1"/>
                        </w14:solidFill>
                      </w14:textFill>
                    </w:rPr>
                    <w:t>类</w:t>
                  </w:r>
                </w:p>
              </w:tc>
              <w:tc>
                <w:tcPr>
                  <w:tcW w:w="712" w:type="pct"/>
                  <w:vAlign w:val="center"/>
                </w:tcPr>
                <w:p w14:paraId="473BA1DA">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lang w:val="en"/>
                      <w14:textFill>
                        <w14:solidFill>
                          <w14:schemeClr w14:val="tx1"/>
                        </w14:solidFill>
                      </w14:textFill>
                    </w:rPr>
                    <w:t>Ⅱ</w:t>
                  </w:r>
                  <w:r>
                    <w:rPr>
                      <w:rFonts w:hint="eastAsia"/>
                      <w:b w:val="0"/>
                      <w:bCs/>
                      <w:color w:val="000000" w:themeColor="text1"/>
                      <w:sz w:val="18"/>
                      <w:szCs w:val="18"/>
                      <w:lang w:val="en"/>
                      <w14:textFill>
                        <w14:solidFill>
                          <w14:schemeClr w14:val="tx1"/>
                        </w14:solidFill>
                      </w14:textFill>
                    </w:rPr>
                    <w:t>类</w:t>
                  </w:r>
                </w:p>
              </w:tc>
              <w:tc>
                <w:tcPr>
                  <w:tcW w:w="714" w:type="pct"/>
                  <w:vAlign w:val="center"/>
                </w:tcPr>
                <w:p w14:paraId="55BD0D59">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lang w:val="en"/>
                      <w14:textFill>
                        <w14:solidFill>
                          <w14:schemeClr w14:val="tx1"/>
                        </w14:solidFill>
                      </w14:textFill>
                    </w:rPr>
                    <w:t>无</w:t>
                  </w:r>
                </w:p>
              </w:tc>
              <w:tc>
                <w:tcPr>
                  <w:tcW w:w="714" w:type="pct"/>
                  <w:vAlign w:val="center"/>
                </w:tcPr>
                <w:p w14:paraId="50B5F16A">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Ⅱ</w:t>
                  </w:r>
                  <w:r>
                    <w:rPr>
                      <w:rFonts w:hint="eastAsia"/>
                      <w:b w:val="0"/>
                      <w:bCs/>
                      <w:color w:val="000000" w:themeColor="text1"/>
                      <w:sz w:val="18"/>
                      <w:szCs w:val="18"/>
                      <w14:textFill>
                        <w14:solidFill>
                          <w14:schemeClr w14:val="tx1"/>
                        </w14:solidFill>
                      </w14:textFill>
                    </w:rPr>
                    <w:t>类</w:t>
                  </w:r>
                </w:p>
              </w:tc>
              <w:tc>
                <w:tcPr>
                  <w:tcW w:w="715" w:type="pct"/>
                  <w:vAlign w:val="center"/>
                </w:tcPr>
                <w:p w14:paraId="6EFB406E">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无</w:t>
                  </w:r>
                </w:p>
              </w:tc>
            </w:tr>
            <w:tr w14:paraId="1B1B076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05" w:type="pct"/>
                  <w:vMerge w:val="continue"/>
                  <w:vAlign w:val="center"/>
                </w:tcPr>
                <w:p w14:paraId="31F39FD7">
                  <w:pPr>
                    <w:widowControl/>
                    <w:rPr>
                      <w:bCs/>
                      <w:color w:val="000000" w:themeColor="text1"/>
                      <w:sz w:val="18"/>
                      <w:szCs w:val="18"/>
                      <w14:textFill>
                        <w14:solidFill>
                          <w14:schemeClr w14:val="tx1"/>
                        </w14:solidFill>
                      </w14:textFill>
                    </w:rPr>
                  </w:pPr>
                </w:p>
              </w:tc>
              <w:tc>
                <w:tcPr>
                  <w:tcW w:w="1175" w:type="pct"/>
                  <w:vAlign w:val="center"/>
                </w:tcPr>
                <w:p w14:paraId="6A47CA14">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浮梁罗家村</w:t>
                  </w:r>
                  <w:r>
                    <w:rPr>
                      <w:b w:val="0"/>
                      <w:bCs/>
                      <w:color w:val="000000" w:themeColor="text1"/>
                      <w:sz w:val="18"/>
                      <w:szCs w:val="18"/>
                      <w14:textFill>
                        <w14:solidFill>
                          <w14:schemeClr w14:val="tx1"/>
                        </w14:solidFill>
                      </w14:textFill>
                    </w:rPr>
                    <w:t>(</w:t>
                  </w:r>
                  <w:r>
                    <w:rPr>
                      <w:rFonts w:hint="eastAsia"/>
                      <w:b w:val="0"/>
                      <w:bCs/>
                      <w:color w:val="000000" w:themeColor="text1"/>
                      <w:sz w:val="18"/>
                      <w:szCs w:val="18"/>
                      <w14:textFill>
                        <w14:solidFill>
                          <w14:schemeClr w14:val="tx1"/>
                        </w14:solidFill>
                      </w14:textFill>
                    </w:rPr>
                    <w:t>省控</w:t>
                  </w:r>
                  <w:r>
                    <w:rPr>
                      <w:b w:val="0"/>
                      <w:bCs/>
                      <w:color w:val="000000" w:themeColor="text1"/>
                      <w:sz w:val="18"/>
                      <w:szCs w:val="18"/>
                      <w14:textFill>
                        <w14:solidFill>
                          <w14:schemeClr w14:val="tx1"/>
                        </w14:solidFill>
                      </w14:textFill>
                    </w:rPr>
                    <w:t>)</w:t>
                  </w:r>
                </w:p>
              </w:tc>
              <w:tc>
                <w:tcPr>
                  <w:tcW w:w="565" w:type="pct"/>
                  <w:vAlign w:val="center"/>
                </w:tcPr>
                <w:p w14:paraId="5F204C56">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Ⅲ</w:t>
                  </w:r>
                  <w:r>
                    <w:rPr>
                      <w:rFonts w:hint="eastAsia"/>
                      <w:b w:val="0"/>
                      <w:bCs/>
                      <w:color w:val="000000" w:themeColor="text1"/>
                      <w:sz w:val="18"/>
                      <w:szCs w:val="18"/>
                      <w14:textFill>
                        <w14:solidFill>
                          <w14:schemeClr w14:val="tx1"/>
                        </w14:solidFill>
                      </w14:textFill>
                    </w:rPr>
                    <w:t>类</w:t>
                  </w:r>
                </w:p>
              </w:tc>
              <w:tc>
                <w:tcPr>
                  <w:tcW w:w="712" w:type="pct"/>
                  <w:vAlign w:val="center"/>
                </w:tcPr>
                <w:p w14:paraId="751D6EBC">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lang w:val="en"/>
                      <w14:textFill>
                        <w14:solidFill>
                          <w14:schemeClr w14:val="tx1"/>
                        </w14:solidFill>
                      </w14:textFill>
                    </w:rPr>
                    <w:t>Ⅱ</w:t>
                  </w:r>
                  <w:r>
                    <w:rPr>
                      <w:rFonts w:hint="eastAsia"/>
                      <w:b w:val="0"/>
                      <w:bCs/>
                      <w:color w:val="000000" w:themeColor="text1"/>
                      <w:sz w:val="18"/>
                      <w:szCs w:val="18"/>
                      <w:lang w:val="en"/>
                      <w14:textFill>
                        <w14:solidFill>
                          <w14:schemeClr w14:val="tx1"/>
                        </w14:solidFill>
                      </w14:textFill>
                    </w:rPr>
                    <w:t>类</w:t>
                  </w:r>
                </w:p>
              </w:tc>
              <w:tc>
                <w:tcPr>
                  <w:tcW w:w="714" w:type="pct"/>
                  <w:vAlign w:val="center"/>
                </w:tcPr>
                <w:p w14:paraId="052E06EE">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lang w:val="en"/>
                      <w14:textFill>
                        <w14:solidFill>
                          <w14:schemeClr w14:val="tx1"/>
                        </w14:solidFill>
                      </w14:textFill>
                    </w:rPr>
                    <w:t>无</w:t>
                  </w:r>
                </w:p>
              </w:tc>
              <w:tc>
                <w:tcPr>
                  <w:tcW w:w="714" w:type="pct"/>
                  <w:vAlign w:val="center"/>
                </w:tcPr>
                <w:p w14:paraId="51CC89D7">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Ⅱ</w:t>
                  </w:r>
                  <w:r>
                    <w:rPr>
                      <w:rFonts w:hint="eastAsia"/>
                      <w:b w:val="0"/>
                      <w:bCs/>
                      <w:color w:val="000000" w:themeColor="text1"/>
                      <w:sz w:val="18"/>
                      <w:szCs w:val="18"/>
                      <w14:textFill>
                        <w14:solidFill>
                          <w14:schemeClr w14:val="tx1"/>
                        </w14:solidFill>
                      </w14:textFill>
                    </w:rPr>
                    <w:t>类</w:t>
                  </w:r>
                </w:p>
              </w:tc>
              <w:tc>
                <w:tcPr>
                  <w:tcW w:w="715" w:type="pct"/>
                  <w:vAlign w:val="center"/>
                </w:tcPr>
                <w:p w14:paraId="2ED0CB7B">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无</w:t>
                  </w:r>
                </w:p>
              </w:tc>
            </w:tr>
            <w:tr w14:paraId="41932EA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05" w:type="pct"/>
                  <w:vMerge w:val="restart"/>
                  <w:vAlign w:val="center"/>
                </w:tcPr>
                <w:p w14:paraId="76F6B19B">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乐安河</w:t>
                  </w:r>
                </w:p>
              </w:tc>
              <w:tc>
                <w:tcPr>
                  <w:tcW w:w="1175" w:type="pct"/>
                  <w:vAlign w:val="center"/>
                </w:tcPr>
                <w:p w14:paraId="71088F4D">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野鸡山村</w:t>
                  </w:r>
                  <w:r>
                    <w:rPr>
                      <w:b w:val="0"/>
                      <w:bCs/>
                      <w:color w:val="000000" w:themeColor="text1"/>
                      <w:sz w:val="18"/>
                      <w:szCs w:val="18"/>
                      <w14:textFill>
                        <w14:solidFill>
                          <w14:schemeClr w14:val="tx1"/>
                        </w14:solidFill>
                      </w14:textFill>
                    </w:rPr>
                    <w:t>(</w:t>
                  </w:r>
                  <w:r>
                    <w:rPr>
                      <w:rFonts w:hint="eastAsia"/>
                      <w:b w:val="0"/>
                      <w:bCs/>
                      <w:color w:val="000000" w:themeColor="text1"/>
                      <w:sz w:val="18"/>
                      <w:szCs w:val="18"/>
                      <w14:textFill>
                        <w14:solidFill>
                          <w14:schemeClr w14:val="tx1"/>
                        </w14:solidFill>
                      </w14:textFill>
                    </w:rPr>
                    <w:t>国控</w:t>
                  </w:r>
                  <w:r>
                    <w:rPr>
                      <w:b w:val="0"/>
                      <w:bCs/>
                      <w:color w:val="000000" w:themeColor="text1"/>
                      <w:sz w:val="18"/>
                      <w:szCs w:val="18"/>
                      <w14:textFill>
                        <w14:solidFill>
                          <w14:schemeClr w14:val="tx1"/>
                        </w14:solidFill>
                      </w14:textFill>
                    </w:rPr>
                    <w:t>)</w:t>
                  </w:r>
                </w:p>
              </w:tc>
              <w:tc>
                <w:tcPr>
                  <w:tcW w:w="565" w:type="pct"/>
                  <w:vAlign w:val="center"/>
                </w:tcPr>
                <w:p w14:paraId="706E70E2">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Ⅲ</w:t>
                  </w:r>
                  <w:r>
                    <w:rPr>
                      <w:rFonts w:hint="eastAsia"/>
                      <w:b w:val="0"/>
                      <w:bCs/>
                      <w:color w:val="000000" w:themeColor="text1"/>
                      <w:sz w:val="18"/>
                      <w:szCs w:val="18"/>
                      <w14:textFill>
                        <w14:solidFill>
                          <w14:schemeClr w14:val="tx1"/>
                        </w14:solidFill>
                      </w14:textFill>
                    </w:rPr>
                    <w:t>类</w:t>
                  </w:r>
                </w:p>
              </w:tc>
              <w:tc>
                <w:tcPr>
                  <w:tcW w:w="712" w:type="pct"/>
                  <w:vAlign w:val="center"/>
                </w:tcPr>
                <w:p w14:paraId="57ED8E4E">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lang w:val="en"/>
                      <w14:textFill>
                        <w14:solidFill>
                          <w14:schemeClr w14:val="tx1"/>
                        </w14:solidFill>
                      </w14:textFill>
                    </w:rPr>
                    <w:t>Ⅱ</w:t>
                  </w:r>
                  <w:r>
                    <w:rPr>
                      <w:rFonts w:hint="eastAsia"/>
                      <w:b w:val="0"/>
                      <w:bCs/>
                      <w:color w:val="000000" w:themeColor="text1"/>
                      <w:sz w:val="18"/>
                      <w:szCs w:val="18"/>
                      <w:lang w:val="en"/>
                      <w14:textFill>
                        <w14:solidFill>
                          <w14:schemeClr w14:val="tx1"/>
                        </w14:solidFill>
                      </w14:textFill>
                    </w:rPr>
                    <w:t>类</w:t>
                  </w:r>
                </w:p>
              </w:tc>
              <w:tc>
                <w:tcPr>
                  <w:tcW w:w="714" w:type="pct"/>
                  <w:vAlign w:val="center"/>
                </w:tcPr>
                <w:p w14:paraId="4F791815">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lang w:val="en"/>
                      <w14:textFill>
                        <w14:solidFill>
                          <w14:schemeClr w14:val="tx1"/>
                        </w14:solidFill>
                      </w14:textFill>
                    </w:rPr>
                    <w:t>无</w:t>
                  </w:r>
                </w:p>
              </w:tc>
              <w:tc>
                <w:tcPr>
                  <w:tcW w:w="714" w:type="pct"/>
                  <w:vAlign w:val="center"/>
                </w:tcPr>
                <w:p w14:paraId="739DBDFC">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Ⅱ</w:t>
                  </w:r>
                  <w:r>
                    <w:rPr>
                      <w:rFonts w:hint="eastAsia"/>
                      <w:b w:val="0"/>
                      <w:bCs/>
                      <w:color w:val="000000" w:themeColor="text1"/>
                      <w:sz w:val="18"/>
                      <w:szCs w:val="18"/>
                      <w14:textFill>
                        <w14:solidFill>
                          <w14:schemeClr w14:val="tx1"/>
                        </w14:solidFill>
                      </w14:textFill>
                    </w:rPr>
                    <w:t>类</w:t>
                  </w:r>
                </w:p>
              </w:tc>
              <w:tc>
                <w:tcPr>
                  <w:tcW w:w="715" w:type="pct"/>
                  <w:vAlign w:val="center"/>
                </w:tcPr>
                <w:p w14:paraId="058E5D05">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无</w:t>
                  </w:r>
                </w:p>
              </w:tc>
            </w:tr>
            <w:tr w14:paraId="5DFB94D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05" w:type="pct"/>
                  <w:vMerge w:val="continue"/>
                  <w:vAlign w:val="center"/>
                </w:tcPr>
                <w:p w14:paraId="4671B275">
                  <w:pPr>
                    <w:widowControl/>
                    <w:rPr>
                      <w:bCs/>
                      <w:color w:val="000000" w:themeColor="text1"/>
                      <w:sz w:val="18"/>
                      <w:szCs w:val="18"/>
                      <w14:textFill>
                        <w14:solidFill>
                          <w14:schemeClr w14:val="tx1"/>
                        </w14:solidFill>
                      </w14:textFill>
                    </w:rPr>
                  </w:pPr>
                </w:p>
              </w:tc>
              <w:tc>
                <w:tcPr>
                  <w:tcW w:w="1175" w:type="pct"/>
                  <w:vAlign w:val="center"/>
                </w:tcPr>
                <w:p w14:paraId="12D7FAAA">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桃源（国控）</w:t>
                  </w:r>
                </w:p>
              </w:tc>
              <w:tc>
                <w:tcPr>
                  <w:tcW w:w="565" w:type="pct"/>
                  <w:vAlign w:val="center"/>
                </w:tcPr>
                <w:p w14:paraId="02B7FC2A">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Ⅲ</w:t>
                  </w:r>
                  <w:r>
                    <w:rPr>
                      <w:rFonts w:hint="eastAsia"/>
                      <w:b w:val="0"/>
                      <w:bCs/>
                      <w:color w:val="000000" w:themeColor="text1"/>
                      <w:sz w:val="18"/>
                      <w:szCs w:val="18"/>
                      <w14:textFill>
                        <w14:solidFill>
                          <w14:schemeClr w14:val="tx1"/>
                        </w14:solidFill>
                      </w14:textFill>
                    </w:rPr>
                    <w:t>类</w:t>
                  </w:r>
                </w:p>
              </w:tc>
              <w:tc>
                <w:tcPr>
                  <w:tcW w:w="712" w:type="pct"/>
                  <w:vAlign w:val="center"/>
                </w:tcPr>
                <w:p w14:paraId="675197C5">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lang w:val="en"/>
                      <w14:textFill>
                        <w14:solidFill>
                          <w14:schemeClr w14:val="tx1"/>
                        </w14:solidFill>
                      </w14:textFill>
                    </w:rPr>
                    <w:t>Ⅱ</w:t>
                  </w:r>
                  <w:r>
                    <w:rPr>
                      <w:rFonts w:hint="eastAsia"/>
                      <w:b w:val="0"/>
                      <w:bCs/>
                      <w:color w:val="000000" w:themeColor="text1"/>
                      <w:sz w:val="18"/>
                      <w:szCs w:val="18"/>
                      <w:lang w:val="en"/>
                      <w14:textFill>
                        <w14:solidFill>
                          <w14:schemeClr w14:val="tx1"/>
                        </w14:solidFill>
                      </w14:textFill>
                    </w:rPr>
                    <w:t>类</w:t>
                  </w:r>
                </w:p>
              </w:tc>
              <w:tc>
                <w:tcPr>
                  <w:tcW w:w="714" w:type="pct"/>
                  <w:vAlign w:val="center"/>
                </w:tcPr>
                <w:p w14:paraId="40384978">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lang w:val="en"/>
                      <w14:textFill>
                        <w14:solidFill>
                          <w14:schemeClr w14:val="tx1"/>
                        </w14:solidFill>
                      </w14:textFill>
                    </w:rPr>
                    <w:t>无</w:t>
                  </w:r>
                </w:p>
              </w:tc>
              <w:tc>
                <w:tcPr>
                  <w:tcW w:w="714" w:type="pct"/>
                  <w:vAlign w:val="center"/>
                </w:tcPr>
                <w:p w14:paraId="4A675676">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Ⅱ</w:t>
                  </w:r>
                  <w:r>
                    <w:rPr>
                      <w:rFonts w:hint="eastAsia"/>
                      <w:b w:val="0"/>
                      <w:bCs/>
                      <w:color w:val="000000" w:themeColor="text1"/>
                      <w:sz w:val="18"/>
                      <w:szCs w:val="18"/>
                      <w14:textFill>
                        <w14:solidFill>
                          <w14:schemeClr w14:val="tx1"/>
                        </w14:solidFill>
                      </w14:textFill>
                    </w:rPr>
                    <w:t>类</w:t>
                  </w:r>
                </w:p>
              </w:tc>
              <w:tc>
                <w:tcPr>
                  <w:tcW w:w="715" w:type="pct"/>
                  <w:vAlign w:val="center"/>
                </w:tcPr>
                <w:p w14:paraId="796CCCD9">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无</w:t>
                  </w:r>
                </w:p>
              </w:tc>
            </w:tr>
            <w:tr w14:paraId="5DA9804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05" w:type="pct"/>
                  <w:vMerge w:val="continue"/>
                  <w:vAlign w:val="center"/>
                </w:tcPr>
                <w:p w14:paraId="17891D06">
                  <w:pPr>
                    <w:widowControl/>
                    <w:rPr>
                      <w:bCs/>
                      <w:color w:val="000000" w:themeColor="text1"/>
                      <w:sz w:val="18"/>
                      <w:szCs w:val="18"/>
                      <w14:textFill>
                        <w14:solidFill>
                          <w14:schemeClr w14:val="tx1"/>
                        </w14:solidFill>
                      </w14:textFill>
                    </w:rPr>
                  </w:pPr>
                </w:p>
              </w:tc>
              <w:tc>
                <w:tcPr>
                  <w:tcW w:w="1175" w:type="pct"/>
                  <w:vAlign w:val="center"/>
                </w:tcPr>
                <w:p w14:paraId="022B35C4">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韩家渡</w:t>
                  </w:r>
                  <w:r>
                    <w:rPr>
                      <w:b w:val="0"/>
                      <w:bCs/>
                      <w:color w:val="000000" w:themeColor="text1"/>
                      <w:sz w:val="18"/>
                      <w:szCs w:val="18"/>
                      <w14:textFill>
                        <w14:solidFill>
                          <w14:schemeClr w14:val="tx1"/>
                        </w14:solidFill>
                      </w14:textFill>
                    </w:rPr>
                    <w:t>(</w:t>
                  </w:r>
                  <w:r>
                    <w:rPr>
                      <w:rFonts w:hint="eastAsia"/>
                      <w:b w:val="0"/>
                      <w:bCs/>
                      <w:color w:val="000000" w:themeColor="text1"/>
                      <w:sz w:val="18"/>
                      <w:szCs w:val="18"/>
                      <w14:textFill>
                        <w14:solidFill>
                          <w14:schemeClr w14:val="tx1"/>
                        </w14:solidFill>
                      </w14:textFill>
                    </w:rPr>
                    <w:t>省控</w:t>
                  </w:r>
                  <w:r>
                    <w:rPr>
                      <w:b w:val="0"/>
                      <w:bCs/>
                      <w:color w:val="000000" w:themeColor="text1"/>
                      <w:sz w:val="18"/>
                      <w:szCs w:val="18"/>
                      <w14:textFill>
                        <w14:solidFill>
                          <w14:schemeClr w14:val="tx1"/>
                        </w14:solidFill>
                      </w14:textFill>
                    </w:rPr>
                    <w:t>)</w:t>
                  </w:r>
                </w:p>
              </w:tc>
              <w:tc>
                <w:tcPr>
                  <w:tcW w:w="565" w:type="pct"/>
                  <w:vAlign w:val="center"/>
                </w:tcPr>
                <w:p w14:paraId="4EBA57B9">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Ⅲ</w:t>
                  </w:r>
                  <w:r>
                    <w:rPr>
                      <w:rFonts w:hint="eastAsia"/>
                      <w:b w:val="0"/>
                      <w:bCs/>
                      <w:color w:val="000000" w:themeColor="text1"/>
                      <w:sz w:val="18"/>
                      <w:szCs w:val="18"/>
                      <w14:textFill>
                        <w14:solidFill>
                          <w14:schemeClr w14:val="tx1"/>
                        </w14:solidFill>
                      </w14:textFill>
                    </w:rPr>
                    <w:t>类</w:t>
                  </w:r>
                </w:p>
              </w:tc>
              <w:tc>
                <w:tcPr>
                  <w:tcW w:w="712" w:type="pct"/>
                  <w:vAlign w:val="center"/>
                </w:tcPr>
                <w:p w14:paraId="5DC444E6">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lang w:val="en"/>
                      <w14:textFill>
                        <w14:solidFill>
                          <w14:schemeClr w14:val="tx1"/>
                        </w14:solidFill>
                      </w14:textFill>
                    </w:rPr>
                    <w:t>Ⅱ</w:t>
                  </w:r>
                  <w:r>
                    <w:rPr>
                      <w:rFonts w:hint="eastAsia"/>
                      <w:b w:val="0"/>
                      <w:bCs/>
                      <w:color w:val="000000" w:themeColor="text1"/>
                      <w:sz w:val="18"/>
                      <w:szCs w:val="18"/>
                      <w:lang w:val="en"/>
                      <w14:textFill>
                        <w14:solidFill>
                          <w14:schemeClr w14:val="tx1"/>
                        </w14:solidFill>
                      </w14:textFill>
                    </w:rPr>
                    <w:t>类</w:t>
                  </w:r>
                </w:p>
              </w:tc>
              <w:tc>
                <w:tcPr>
                  <w:tcW w:w="714" w:type="pct"/>
                  <w:vAlign w:val="center"/>
                </w:tcPr>
                <w:p w14:paraId="4D942397">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lang w:val="en"/>
                      <w14:textFill>
                        <w14:solidFill>
                          <w14:schemeClr w14:val="tx1"/>
                        </w14:solidFill>
                      </w14:textFill>
                    </w:rPr>
                    <w:t>无</w:t>
                  </w:r>
                </w:p>
              </w:tc>
              <w:tc>
                <w:tcPr>
                  <w:tcW w:w="714" w:type="pct"/>
                  <w:vAlign w:val="center"/>
                </w:tcPr>
                <w:p w14:paraId="4726313F">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Ⅱ</w:t>
                  </w:r>
                  <w:r>
                    <w:rPr>
                      <w:rFonts w:hint="eastAsia"/>
                      <w:b w:val="0"/>
                      <w:bCs/>
                      <w:color w:val="000000" w:themeColor="text1"/>
                      <w:sz w:val="18"/>
                      <w:szCs w:val="18"/>
                      <w14:textFill>
                        <w14:solidFill>
                          <w14:schemeClr w14:val="tx1"/>
                        </w14:solidFill>
                      </w14:textFill>
                    </w:rPr>
                    <w:t>类</w:t>
                  </w:r>
                </w:p>
              </w:tc>
              <w:tc>
                <w:tcPr>
                  <w:tcW w:w="715" w:type="pct"/>
                  <w:vAlign w:val="center"/>
                </w:tcPr>
                <w:p w14:paraId="1F3C0C1D">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无</w:t>
                  </w:r>
                </w:p>
              </w:tc>
            </w:tr>
            <w:tr w14:paraId="7D82609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405" w:type="pct"/>
                  <w:vMerge w:val="continue"/>
                  <w:vAlign w:val="center"/>
                </w:tcPr>
                <w:p w14:paraId="4AAB62DC">
                  <w:pPr>
                    <w:widowControl/>
                    <w:rPr>
                      <w:bCs/>
                      <w:color w:val="000000" w:themeColor="text1"/>
                      <w:sz w:val="18"/>
                      <w:szCs w:val="18"/>
                      <w14:textFill>
                        <w14:solidFill>
                          <w14:schemeClr w14:val="tx1"/>
                        </w14:solidFill>
                      </w14:textFill>
                    </w:rPr>
                  </w:pPr>
                </w:p>
              </w:tc>
              <w:tc>
                <w:tcPr>
                  <w:tcW w:w="1175" w:type="pct"/>
                  <w:vAlign w:val="center"/>
                </w:tcPr>
                <w:p w14:paraId="2BFC72CE">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乐平共产主义水库</w:t>
                  </w:r>
                  <w:r>
                    <w:rPr>
                      <w:b w:val="0"/>
                      <w:bCs/>
                      <w:color w:val="000000" w:themeColor="text1"/>
                      <w:sz w:val="18"/>
                      <w:szCs w:val="18"/>
                      <w14:textFill>
                        <w14:solidFill>
                          <w14:schemeClr w14:val="tx1"/>
                        </w14:solidFill>
                      </w14:textFill>
                    </w:rPr>
                    <w:t>(</w:t>
                  </w:r>
                  <w:r>
                    <w:rPr>
                      <w:rFonts w:hint="eastAsia"/>
                      <w:b w:val="0"/>
                      <w:bCs/>
                      <w:color w:val="000000" w:themeColor="text1"/>
                      <w:sz w:val="18"/>
                      <w:szCs w:val="18"/>
                      <w14:textFill>
                        <w14:solidFill>
                          <w14:schemeClr w14:val="tx1"/>
                        </w14:solidFill>
                      </w14:textFill>
                    </w:rPr>
                    <w:t>省控</w:t>
                  </w:r>
                  <w:r>
                    <w:rPr>
                      <w:b w:val="0"/>
                      <w:bCs/>
                      <w:color w:val="000000" w:themeColor="text1"/>
                      <w:sz w:val="18"/>
                      <w:szCs w:val="18"/>
                      <w14:textFill>
                        <w14:solidFill>
                          <w14:schemeClr w14:val="tx1"/>
                        </w14:solidFill>
                      </w14:textFill>
                    </w:rPr>
                    <w:t>)</w:t>
                  </w:r>
                </w:p>
              </w:tc>
              <w:tc>
                <w:tcPr>
                  <w:tcW w:w="565" w:type="pct"/>
                  <w:vAlign w:val="center"/>
                </w:tcPr>
                <w:p w14:paraId="0ECD1D5C">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Ⅲ</w:t>
                  </w:r>
                  <w:r>
                    <w:rPr>
                      <w:rFonts w:hint="eastAsia"/>
                      <w:b w:val="0"/>
                      <w:bCs/>
                      <w:color w:val="000000" w:themeColor="text1"/>
                      <w:sz w:val="18"/>
                      <w:szCs w:val="18"/>
                      <w14:textFill>
                        <w14:solidFill>
                          <w14:schemeClr w14:val="tx1"/>
                        </w14:solidFill>
                      </w14:textFill>
                    </w:rPr>
                    <w:t>类</w:t>
                  </w:r>
                </w:p>
              </w:tc>
              <w:tc>
                <w:tcPr>
                  <w:tcW w:w="712" w:type="pct"/>
                  <w:vAlign w:val="center"/>
                </w:tcPr>
                <w:p w14:paraId="6DEC01B3">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lang w:val="en"/>
                      <w14:textFill>
                        <w14:solidFill>
                          <w14:schemeClr w14:val="tx1"/>
                        </w14:solidFill>
                      </w14:textFill>
                    </w:rPr>
                    <w:t>Ⅱ</w:t>
                  </w:r>
                  <w:r>
                    <w:rPr>
                      <w:rFonts w:hint="eastAsia"/>
                      <w:b w:val="0"/>
                      <w:bCs/>
                      <w:color w:val="000000" w:themeColor="text1"/>
                      <w:sz w:val="18"/>
                      <w:szCs w:val="18"/>
                      <w:lang w:val="en"/>
                      <w14:textFill>
                        <w14:solidFill>
                          <w14:schemeClr w14:val="tx1"/>
                        </w14:solidFill>
                      </w14:textFill>
                    </w:rPr>
                    <w:t>类</w:t>
                  </w:r>
                </w:p>
              </w:tc>
              <w:tc>
                <w:tcPr>
                  <w:tcW w:w="714" w:type="pct"/>
                  <w:vAlign w:val="center"/>
                </w:tcPr>
                <w:p w14:paraId="120A2179">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lang w:val="en"/>
                      <w14:textFill>
                        <w14:solidFill>
                          <w14:schemeClr w14:val="tx1"/>
                        </w14:solidFill>
                      </w14:textFill>
                    </w:rPr>
                    <w:t>无</w:t>
                  </w:r>
                </w:p>
              </w:tc>
              <w:tc>
                <w:tcPr>
                  <w:tcW w:w="714" w:type="pct"/>
                  <w:vAlign w:val="center"/>
                </w:tcPr>
                <w:p w14:paraId="29B2D2BC">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b w:val="0"/>
                      <w:bCs/>
                      <w:color w:val="000000" w:themeColor="text1"/>
                      <w:sz w:val="18"/>
                      <w:szCs w:val="18"/>
                      <w14:textFill>
                        <w14:solidFill>
                          <w14:schemeClr w14:val="tx1"/>
                        </w14:solidFill>
                      </w14:textFill>
                    </w:rPr>
                    <w:t>Ⅱ</w:t>
                  </w:r>
                  <w:r>
                    <w:rPr>
                      <w:rFonts w:hint="eastAsia"/>
                      <w:b w:val="0"/>
                      <w:bCs/>
                      <w:color w:val="000000" w:themeColor="text1"/>
                      <w:sz w:val="18"/>
                      <w:szCs w:val="18"/>
                      <w14:textFill>
                        <w14:solidFill>
                          <w14:schemeClr w14:val="tx1"/>
                        </w14:solidFill>
                      </w14:textFill>
                    </w:rPr>
                    <w:t>类</w:t>
                  </w:r>
                </w:p>
              </w:tc>
              <w:tc>
                <w:tcPr>
                  <w:tcW w:w="715" w:type="pct"/>
                  <w:vAlign w:val="center"/>
                </w:tcPr>
                <w:p w14:paraId="4C4B3D7A">
                  <w:pPr>
                    <w:pStyle w:val="479"/>
                    <w:tabs>
                      <w:tab w:val="left" w:pos="0"/>
                      <w:tab w:val="left" w:pos="360"/>
                    </w:tabs>
                    <w:adjustRightInd/>
                    <w:snapToGrid/>
                    <w:spacing w:line="240" w:lineRule="auto"/>
                    <w:ind w:firstLine="0" w:firstLineChars="0"/>
                    <w:rPr>
                      <w:b w:val="0"/>
                      <w:bCs/>
                      <w:color w:val="000000" w:themeColor="text1"/>
                      <w:sz w:val="18"/>
                      <w:szCs w:val="18"/>
                      <w14:textFill>
                        <w14:solidFill>
                          <w14:schemeClr w14:val="tx1"/>
                        </w14:solidFill>
                      </w14:textFill>
                    </w:rPr>
                  </w:pPr>
                  <w:r>
                    <w:rPr>
                      <w:rFonts w:hint="eastAsia"/>
                      <w:b w:val="0"/>
                      <w:bCs/>
                      <w:color w:val="000000" w:themeColor="text1"/>
                      <w:sz w:val="18"/>
                      <w:szCs w:val="18"/>
                      <w14:textFill>
                        <w14:solidFill>
                          <w14:schemeClr w14:val="tx1"/>
                        </w14:solidFill>
                      </w14:textFill>
                    </w:rPr>
                    <w:t>无</w:t>
                  </w:r>
                </w:p>
              </w:tc>
            </w:tr>
          </w:tbl>
          <w:p w14:paraId="0DC05095">
            <w:pPr>
              <w:spacing w:line="360" w:lineRule="auto"/>
              <w:ind w:firstLine="480" w:firstLineChars="200"/>
              <w:rPr>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由以上数据可知，乐安河桃源的地表水现状能满足《地表水环境质量标准》（</w:t>
            </w:r>
            <w:r>
              <w:rPr>
                <w:bCs/>
                <w:color w:val="000000" w:themeColor="text1"/>
                <w:sz w:val="24"/>
                <w14:textFill>
                  <w14:solidFill>
                    <w14:schemeClr w14:val="tx1"/>
                  </w14:solidFill>
                </w14:textFill>
              </w:rPr>
              <w:t>GB3838-2002</w:t>
            </w:r>
            <w:r>
              <w:rPr>
                <w:rFonts w:hint="eastAsia"/>
                <w:bCs/>
                <w:color w:val="000000" w:themeColor="text1"/>
                <w:sz w:val="24"/>
                <w14:textFill>
                  <w14:solidFill>
                    <w14:schemeClr w14:val="tx1"/>
                  </w14:solidFill>
                </w14:textFill>
              </w:rPr>
              <w:t>）中</w:t>
            </w:r>
            <w:r>
              <w:rPr>
                <w:bCs/>
                <w:color w:val="000000" w:themeColor="text1"/>
                <w:sz w:val="24"/>
                <w14:textFill>
                  <w14:solidFill>
                    <w14:schemeClr w14:val="tx1"/>
                  </w14:solidFill>
                </w14:textFill>
              </w:rPr>
              <w:t>Ш</w:t>
            </w:r>
            <w:r>
              <w:rPr>
                <w:rFonts w:hint="eastAsia"/>
                <w:bCs/>
                <w:color w:val="000000" w:themeColor="text1"/>
                <w:sz w:val="24"/>
                <w14:textFill>
                  <w14:solidFill>
                    <w14:schemeClr w14:val="tx1"/>
                  </w14:solidFill>
                </w14:textFill>
              </w:rPr>
              <w:t>类标准要求，项目区域地表水水体水质良好</w:t>
            </w:r>
            <w:r>
              <w:rPr>
                <w:color w:val="000000" w:themeColor="text1"/>
                <w:sz w:val="24"/>
                <w14:textFill>
                  <w14:solidFill>
                    <w14:schemeClr w14:val="tx1"/>
                  </w14:solidFill>
                </w14:textFill>
              </w:rPr>
              <w:t>。</w:t>
            </w:r>
          </w:p>
          <w:p w14:paraId="25E021CC">
            <w:pPr>
              <w:spacing w:line="360" w:lineRule="auto"/>
              <w:ind w:firstLine="480"/>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三、声环境质量</w:t>
            </w:r>
          </w:p>
          <w:p w14:paraId="227D5565">
            <w:pPr>
              <w:spacing w:line="360" w:lineRule="auto"/>
              <w:ind w:firstLine="496" w:firstLineChars="200"/>
              <w:jc w:val="left"/>
              <w:rPr>
                <w:snapToGrid w:val="0"/>
                <w:color w:val="000000" w:themeColor="text1"/>
                <w:spacing w:val="4"/>
                <w:kern w:val="0"/>
                <w:sz w:val="24"/>
                <w14:textFill>
                  <w14:solidFill>
                    <w14:schemeClr w14:val="tx1"/>
                  </w14:solidFill>
                </w14:textFill>
              </w:rPr>
            </w:pPr>
            <w:r>
              <w:rPr>
                <w:snapToGrid w:val="0"/>
                <w:color w:val="000000" w:themeColor="text1"/>
                <w:spacing w:val="4"/>
                <w:kern w:val="0"/>
                <w:sz w:val="24"/>
                <w14:textFill>
                  <w14:solidFill>
                    <w14:schemeClr w14:val="tx1"/>
                  </w14:solidFill>
                </w14:textFill>
              </w:rPr>
              <w:t>根据现场调查了解可知，周边50米范围无环境敏感点，因此本次评价不开展声环境现状调查。</w:t>
            </w:r>
          </w:p>
          <w:p w14:paraId="3D41C5B4">
            <w:pPr>
              <w:spacing w:line="360" w:lineRule="auto"/>
              <w:ind w:firstLine="480"/>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四、</w:t>
            </w:r>
            <w:r>
              <w:rPr>
                <w:b/>
                <w:bCs/>
                <w:color w:val="000000" w:themeColor="text1"/>
                <w:sz w:val="24"/>
                <w14:textFill>
                  <w14:solidFill>
                    <w14:schemeClr w14:val="tx1"/>
                  </w14:solidFill>
                </w14:textFill>
              </w:rPr>
              <w:t>地下水、土壤环境</w:t>
            </w:r>
          </w:p>
          <w:p w14:paraId="1F4A6535">
            <w:pPr>
              <w:spacing w:line="360" w:lineRule="auto"/>
              <w:ind w:firstLine="480" w:firstLineChars="200"/>
              <w:rPr>
                <w:color w:val="000000" w:themeColor="text1"/>
                <w:kern w:val="0"/>
                <w:sz w:val="24"/>
                <w14:textFill>
                  <w14:solidFill>
                    <w14:schemeClr w14:val="tx1"/>
                  </w14:solidFill>
                </w14:textFill>
              </w:rPr>
            </w:pPr>
            <w:r>
              <w:rPr>
                <w:rFonts w:ascii="宋体" w:hAnsi="宋体"/>
                <w:color w:val="000000" w:themeColor="text1"/>
                <w:sz w:val="24"/>
                <w14:textFill>
                  <w14:solidFill>
                    <w14:schemeClr w14:val="tx1"/>
                  </w14:solidFill>
                </w14:textFill>
              </w:rPr>
              <w:t>本项目位于</w:t>
            </w:r>
            <w:r>
              <w:rPr>
                <w:rFonts w:hint="eastAsia" w:ascii="宋体" w:hAnsi="宋体"/>
                <w:color w:val="000000" w:themeColor="text1"/>
                <w:sz w:val="24"/>
                <w14:textFill>
                  <w14:solidFill>
                    <w14:schemeClr w14:val="tx1"/>
                  </w14:solidFill>
                </w14:textFill>
              </w:rPr>
              <w:t>江西省景德镇市乐平市金山工业园金一路CH-1地块内</w:t>
            </w:r>
            <w:r>
              <w:rPr>
                <w:rFonts w:ascii="宋体" w:hAnsi="宋体"/>
                <w:color w:val="000000" w:themeColor="text1"/>
                <w:sz w:val="24"/>
                <w14:textFill>
                  <w14:solidFill>
                    <w14:schemeClr w14:val="tx1"/>
                  </w14:solidFill>
                </w14:textFill>
              </w:rPr>
              <w:t>，项目厂界范围外</w:t>
            </w:r>
            <w:r>
              <w:rPr>
                <w:color w:val="000000" w:themeColor="text1"/>
                <w:sz w:val="24"/>
                <w14:textFill>
                  <w14:solidFill>
                    <w14:schemeClr w14:val="tx1"/>
                  </w14:solidFill>
                </w14:textFill>
              </w:rPr>
              <w:t>500</w:t>
            </w:r>
            <w:r>
              <w:rPr>
                <w:rFonts w:ascii="宋体" w:hAnsi="宋体"/>
                <w:color w:val="000000" w:themeColor="text1"/>
                <w:sz w:val="24"/>
                <w14:textFill>
                  <w14:solidFill>
                    <w14:schemeClr w14:val="tx1"/>
                  </w14:solidFill>
                </w14:textFill>
              </w:rPr>
              <w:t>米范围内无集中式饮用水水源和热水、矿泉水、温泉等特殊地下水资源，故不开展地下水、土壤环境现状调查。</w:t>
            </w:r>
          </w:p>
          <w:p w14:paraId="04195B6E">
            <w:pPr>
              <w:spacing w:line="360" w:lineRule="auto"/>
              <w:ind w:firstLine="480"/>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五</w:t>
            </w:r>
            <w:r>
              <w:rPr>
                <w:b/>
                <w:bCs/>
                <w:color w:val="000000" w:themeColor="text1"/>
                <w:sz w:val="24"/>
                <w14:textFill>
                  <w14:solidFill>
                    <w14:schemeClr w14:val="tx1"/>
                  </w14:solidFill>
                </w14:textFill>
              </w:rPr>
              <w:t>、生态环境现状</w:t>
            </w:r>
          </w:p>
          <w:p w14:paraId="5BD52EC6">
            <w:pPr>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经过调查和现场踏勘，本项目评价范围不属于自然保护区、风景名胜区、农田保护区、水源保护区、无文物保护点，同时无探明的矿床和珍稀动、植物资源。</w:t>
            </w:r>
          </w:p>
        </w:tc>
      </w:tr>
      <w:tr w14:paraId="2C169E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61" w:hRule="atLeast"/>
          <w:jc w:val="center"/>
        </w:trPr>
        <w:tc>
          <w:tcPr>
            <w:tcW w:w="243" w:type="pct"/>
            <w:vAlign w:val="center"/>
          </w:tcPr>
          <w:p w14:paraId="1D6ECFAA">
            <w:pPr>
              <w:adjustRightInd w:val="0"/>
              <w:snapToGrid w:val="0"/>
              <w:jc w:val="center"/>
              <w:rPr>
                <w:b/>
                <w:bCs/>
                <w:color w:val="000000" w:themeColor="text1"/>
                <w:kern w:val="0"/>
                <w:sz w:val="28"/>
                <w:szCs w:val="28"/>
                <w14:textFill>
                  <w14:solidFill>
                    <w14:schemeClr w14:val="tx1"/>
                  </w14:solidFill>
                </w14:textFill>
              </w:rPr>
            </w:pPr>
            <w:r>
              <w:rPr>
                <w:b/>
                <w:bCs/>
                <w:color w:val="000000" w:themeColor="text1"/>
                <w:kern w:val="0"/>
                <w:sz w:val="28"/>
                <w:szCs w:val="28"/>
                <w14:textFill>
                  <w14:solidFill>
                    <w14:schemeClr w14:val="tx1"/>
                  </w14:solidFill>
                </w14:textFill>
              </w:rPr>
              <w:t>环境</w:t>
            </w:r>
          </w:p>
          <w:p w14:paraId="3F217969">
            <w:pPr>
              <w:adjustRightInd w:val="0"/>
              <w:snapToGrid w:val="0"/>
              <w:jc w:val="center"/>
              <w:rPr>
                <w:b/>
                <w:bCs/>
                <w:color w:val="000000" w:themeColor="text1"/>
                <w:kern w:val="0"/>
                <w:sz w:val="28"/>
                <w:szCs w:val="28"/>
                <w14:textFill>
                  <w14:solidFill>
                    <w14:schemeClr w14:val="tx1"/>
                  </w14:solidFill>
                </w14:textFill>
              </w:rPr>
            </w:pPr>
            <w:r>
              <w:rPr>
                <w:b/>
                <w:bCs/>
                <w:color w:val="000000" w:themeColor="text1"/>
                <w:kern w:val="0"/>
                <w:sz w:val="28"/>
                <w:szCs w:val="28"/>
                <w14:textFill>
                  <w14:solidFill>
                    <w14:schemeClr w14:val="tx1"/>
                  </w14:solidFill>
                </w14:textFill>
              </w:rPr>
              <w:t>保护</w:t>
            </w:r>
          </w:p>
          <w:p w14:paraId="023B8405">
            <w:pPr>
              <w:adjustRightInd w:val="0"/>
              <w:snapToGrid w:val="0"/>
              <w:jc w:val="center"/>
              <w:rPr>
                <w:b/>
                <w:bCs/>
                <w:color w:val="000000" w:themeColor="text1"/>
                <w:kern w:val="0"/>
                <w:sz w:val="28"/>
                <w:szCs w:val="28"/>
                <w14:textFill>
                  <w14:solidFill>
                    <w14:schemeClr w14:val="tx1"/>
                  </w14:solidFill>
                </w14:textFill>
              </w:rPr>
            </w:pPr>
            <w:r>
              <w:rPr>
                <w:b/>
                <w:bCs/>
                <w:color w:val="000000" w:themeColor="text1"/>
                <w:kern w:val="0"/>
                <w:sz w:val="28"/>
                <w:szCs w:val="28"/>
                <w14:textFill>
                  <w14:solidFill>
                    <w14:schemeClr w14:val="tx1"/>
                  </w14:solidFill>
                </w14:textFill>
              </w:rPr>
              <w:t>目标</w:t>
            </w:r>
          </w:p>
        </w:tc>
        <w:tc>
          <w:tcPr>
            <w:tcW w:w="4757" w:type="pct"/>
            <w:vAlign w:val="center"/>
          </w:tcPr>
          <w:tbl>
            <w:tblPr>
              <w:tblStyle w:val="45"/>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9121"/>
            </w:tblGrid>
            <w:tr w14:paraId="79863F6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5000" w:type="pct"/>
                  <w:tcBorders>
                    <w:top w:val="nil"/>
                    <w:left w:val="nil"/>
                    <w:bottom w:val="nil"/>
                    <w:right w:val="nil"/>
                  </w:tcBorders>
                </w:tcPr>
                <w:p w14:paraId="4044633F">
                  <w:pPr>
                    <w:tabs>
                      <w:tab w:val="left" w:pos="0"/>
                    </w:tabs>
                    <w:spacing w:line="360" w:lineRule="auto"/>
                    <w:ind w:firstLine="482" w:firstLineChars="200"/>
                    <w:rPr>
                      <w:b/>
                      <w:bCs/>
                      <w:color w:val="000000" w:themeColor="text1"/>
                      <w:kern w:val="21"/>
                      <w:sz w:val="24"/>
                      <w14:textFill>
                        <w14:solidFill>
                          <w14:schemeClr w14:val="tx1"/>
                        </w14:solidFill>
                      </w14:textFill>
                    </w:rPr>
                  </w:pPr>
                  <w:r>
                    <w:rPr>
                      <w:b/>
                      <w:bCs/>
                      <w:color w:val="000000" w:themeColor="text1"/>
                      <w:sz w:val="24"/>
                      <w14:textFill>
                        <w14:solidFill>
                          <w14:schemeClr w14:val="tx1"/>
                        </w14:solidFill>
                      </w14:textFill>
                    </w:rPr>
                    <w:t>环境保护目标</w:t>
                  </w:r>
                </w:p>
                <w:p w14:paraId="1AA040E8">
                  <w:pPr>
                    <w:tabs>
                      <w:tab w:val="left" w:pos="0"/>
                    </w:tabs>
                    <w:jc w:val="center"/>
                    <w:rPr>
                      <w:b/>
                      <w:bCs/>
                      <w:color w:val="000000" w:themeColor="text1"/>
                      <w:kern w:val="21"/>
                      <w:sz w:val="24"/>
                      <w14:textFill>
                        <w14:solidFill>
                          <w14:schemeClr w14:val="tx1"/>
                        </w14:solidFill>
                      </w14:textFill>
                    </w:rPr>
                  </w:pPr>
                  <w:r>
                    <w:rPr>
                      <w:b/>
                      <w:bCs/>
                      <w:color w:val="000000" w:themeColor="text1"/>
                      <w:kern w:val="21"/>
                      <w:sz w:val="24"/>
                      <w14:textFill>
                        <w14:solidFill>
                          <w14:schemeClr w14:val="tx1"/>
                        </w14:solidFill>
                      </w14:textFill>
                    </w:rPr>
                    <w:t>表3-</w:t>
                  </w:r>
                  <w:r>
                    <w:rPr>
                      <w:rFonts w:hint="eastAsia"/>
                      <w:b/>
                      <w:bCs/>
                      <w:color w:val="000000" w:themeColor="text1"/>
                      <w:kern w:val="21"/>
                      <w:sz w:val="24"/>
                      <w14:textFill>
                        <w14:solidFill>
                          <w14:schemeClr w14:val="tx1"/>
                        </w14:solidFill>
                      </w14:textFill>
                    </w:rPr>
                    <w:t>4</w:t>
                  </w:r>
                  <w:r>
                    <w:rPr>
                      <w:b/>
                      <w:bCs/>
                      <w:color w:val="000000" w:themeColor="text1"/>
                      <w:kern w:val="21"/>
                      <w:sz w:val="24"/>
                      <w14:textFill>
                        <w14:solidFill>
                          <w14:schemeClr w14:val="tx1"/>
                        </w14:solidFill>
                      </w14:textFill>
                    </w:rPr>
                    <w:t xml:space="preserve">   环境保护目标一览表</w:t>
                  </w:r>
                </w:p>
                <w:tbl>
                  <w:tblPr>
                    <w:tblStyle w:val="45"/>
                    <w:tblW w:w="4940"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28" w:type="dxa"/>
                      <w:bottom w:w="0" w:type="dxa"/>
                      <w:right w:w="28" w:type="dxa"/>
                    </w:tblCellMar>
                  </w:tblPr>
                  <w:tblGrid>
                    <w:gridCol w:w="924"/>
                    <w:gridCol w:w="882"/>
                    <w:gridCol w:w="465"/>
                    <w:gridCol w:w="549"/>
                    <w:gridCol w:w="1042"/>
                    <w:gridCol w:w="1110"/>
                    <w:gridCol w:w="1529"/>
                    <w:gridCol w:w="824"/>
                    <w:gridCol w:w="1444"/>
                  </w:tblGrid>
                  <w:tr w14:paraId="306EE05D">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28" w:type="dxa"/>
                        <w:bottom w:w="0" w:type="dxa"/>
                        <w:right w:w="28" w:type="dxa"/>
                      </w:tblCellMar>
                    </w:tblPrEx>
                    <w:trPr>
                      <w:cantSplit/>
                      <w:trHeight w:val="23" w:hRule="atLeast"/>
                      <w:jc w:val="center"/>
                    </w:trPr>
                    <w:tc>
                      <w:tcPr>
                        <w:tcW w:w="527" w:type="pct"/>
                        <w:vMerge w:val="restart"/>
                        <w:tcBorders>
                          <w:top w:val="single" w:color="000000" w:sz="12" w:space="0"/>
                          <w:left w:val="single" w:color="000000" w:sz="12" w:space="0"/>
                          <w:bottom w:val="single" w:color="000000" w:sz="12" w:space="0"/>
                          <w:right w:val="single" w:color="000000" w:sz="12" w:space="0"/>
                        </w:tcBorders>
                        <w:tcMar>
                          <w:top w:w="0" w:type="dxa"/>
                          <w:left w:w="0" w:type="dxa"/>
                          <w:bottom w:w="0" w:type="dxa"/>
                          <w:right w:w="0" w:type="dxa"/>
                        </w:tcMar>
                        <w:vAlign w:val="center"/>
                      </w:tcPr>
                      <w:p w14:paraId="10E6C6AC">
                        <w:pPr>
                          <w:pStyle w:val="40"/>
                          <w:widowControl w:val="0"/>
                          <w:spacing w:before="0" w:beforeAutospacing="0" w:after="0" w:afterAutospacing="0" w:line="240" w:lineRule="exact"/>
                          <w:jc w:val="center"/>
                          <w:rPr>
                            <w:rFonts w:ascii="Times New Roman" w:hAnsi="Times New Roman"/>
                            <w:b/>
                            <w:bCs/>
                            <w:color w:val="000000" w:themeColor="text1"/>
                            <w:sz w:val="18"/>
                            <w:szCs w:val="18"/>
                            <w14:textFill>
                              <w14:solidFill>
                                <w14:schemeClr w14:val="tx1"/>
                              </w14:solidFill>
                            </w14:textFill>
                          </w:rPr>
                        </w:pPr>
                        <w:r>
                          <w:rPr>
                            <w:rFonts w:ascii="Times New Roman" w:hAnsi="Times New Roman"/>
                            <w:b/>
                            <w:bCs/>
                            <w:color w:val="000000" w:themeColor="text1"/>
                            <w:kern w:val="18"/>
                            <w:sz w:val="18"/>
                            <w:szCs w:val="18"/>
                            <w14:textFill>
                              <w14:solidFill>
                                <w14:schemeClr w14:val="tx1"/>
                              </w14:solidFill>
                            </w14:textFill>
                          </w:rPr>
                          <w:t>环境要素</w:t>
                        </w:r>
                      </w:p>
                    </w:tc>
                    <w:tc>
                      <w:tcPr>
                        <w:tcW w:w="503" w:type="pct"/>
                        <w:vMerge w:val="restar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0060656B">
                        <w:pPr>
                          <w:pStyle w:val="40"/>
                          <w:widowControl w:val="0"/>
                          <w:spacing w:before="0" w:beforeAutospacing="0" w:after="0" w:afterAutospacing="0" w:line="240" w:lineRule="exact"/>
                          <w:jc w:val="center"/>
                          <w:rPr>
                            <w:rFonts w:ascii="Times New Roman" w:hAnsi="Times New Roman"/>
                            <w:b/>
                            <w:bCs/>
                            <w:color w:val="000000" w:themeColor="text1"/>
                            <w:sz w:val="18"/>
                            <w:szCs w:val="18"/>
                            <w14:textFill>
                              <w14:solidFill>
                                <w14:schemeClr w14:val="tx1"/>
                              </w14:solidFill>
                            </w14:textFill>
                          </w:rPr>
                        </w:pPr>
                        <w:r>
                          <w:rPr>
                            <w:rFonts w:ascii="Times New Roman" w:hAnsi="Times New Roman"/>
                            <w:b/>
                            <w:bCs/>
                            <w:color w:val="000000" w:themeColor="text1"/>
                            <w:kern w:val="18"/>
                            <w:sz w:val="18"/>
                            <w:szCs w:val="18"/>
                            <w14:textFill>
                              <w14:solidFill>
                                <w14:schemeClr w14:val="tx1"/>
                              </w14:solidFill>
                            </w14:textFill>
                          </w:rPr>
                          <w:t>保护目标名称</w:t>
                        </w:r>
                      </w:p>
                    </w:tc>
                    <w:tc>
                      <w:tcPr>
                        <w:tcW w:w="578" w:type="pct"/>
                        <w:gridSpan w:val="2"/>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0D1F5E71">
                        <w:pPr>
                          <w:snapToGrid w:val="0"/>
                          <w:jc w:val="center"/>
                          <w:rPr>
                            <w:bCs/>
                            <w:color w:val="000000" w:themeColor="text1"/>
                            <w:sz w:val="18"/>
                            <w:szCs w:val="18"/>
                            <w:lang w:val="zh-CN"/>
                            <w14:textFill>
                              <w14:solidFill>
                                <w14:schemeClr w14:val="tx1"/>
                              </w14:solidFill>
                            </w14:textFill>
                          </w:rPr>
                        </w:pPr>
                        <w:r>
                          <w:rPr>
                            <w:bCs/>
                            <w:color w:val="000000" w:themeColor="text1"/>
                            <w:sz w:val="18"/>
                            <w:szCs w:val="18"/>
                            <w:lang w:val="zh-CN"/>
                            <w14:textFill>
                              <w14:solidFill>
                                <w14:schemeClr w14:val="tx1"/>
                              </w14:solidFill>
                            </w14:textFill>
                          </w:rPr>
                          <w:t>坐标</w:t>
                        </w:r>
                      </w:p>
                    </w:tc>
                    <w:tc>
                      <w:tcPr>
                        <w:tcW w:w="594" w:type="pct"/>
                        <w:vMerge w:val="restar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0776BABF">
                        <w:pPr>
                          <w:pStyle w:val="40"/>
                          <w:widowControl w:val="0"/>
                          <w:spacing w:before="0" w:beforeAutospacing="0" w:after="0" w:afterAutospacing="0" w:line="240" w:lineRule="exact"/>
                          <w:jc w:val="center"/>
                          <w:rPr>
                            <w:rFonts w:ascii="Times New Roman" w:hAnsi="Times New Roman"/>
                            <w:b/>
                            <w:bCs/>
                            <w:color w:val="000000" w:themeColor="text1"/>
                            <w:sz w:val="18"/>
                            <w:szCs w:val="18"/>
                            <w14:textFill>
                              <w14:solidFill>
                                <w14:schemeClr w14:val="tx1"/>
                              </w14:solidFill>
                            </w14:textFill>
                          </w:rPr>
                        </w:pPr>
                        <w:r>
                          <w:rPr>
                            <w:rFonts w:ascii="Times New Roman" w:hAnsi="Times New Roman"/>
                            <w:b/>
                            <w:bCs/>
                            <w:color w:val="000000" w:themeColor="text1"/>
                            <w:kern w:val="18"/>
                            <w:sz w:val="18"/>
                            <w:szCs w:val="18"/>
                            <w14:textFill>
                              <w14:solidFill>
                                <w14:schemeClr w14:val="tx1"/>
                              </w14:solidFill>
                            </w14:textFill>
                          </w:rPr>
                          <w:t>保护对象</w:t>
                        </w:r>
                      </w:p>
                    </w:tc>
                    <w:tc>
                      <w:tcPr>
                        <w:tcW w:w="633" w:type="pct"/>
                        <w:vMerge w:val="restar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70E6DAE3">
                        <w:pPr>
                          <w:pStyle w:val="40"/>
                          <w:widowControl w:val="0"/>
                          <w:spacing w:before="0" w:beforeAutospacing="0" w:after="0" w:afterAutospacing="0" w:line="240" w:lineRule="exact"/>
                          <w:jc w:val="center"/>
                          <w:rPr>
                            <w:rFonts w:ascii="Times New Roman" w:hAnsi="Times New Roman"/>
                            <w:b/>
                            <w:bCs/>
                            <w:color w:val="000000" w:themeColor="text1"/>
                            <w:sz w:val="18"/>
                            <w:szCs w:val="18"/>
                            <w14:textFill>
                              <w14:solidFill>
                                <w14:schemeClr w14:val="tx1"/>
                              </w14:solidFill>
                            </w14:textFill>
                          </w:rPr>
                        </w:pPr>
                        <w:r>
                          <w:rPr>
                            <w:rFonts w:ascii="Times New Roman" w:hAnsi="Times New Roman"/>
                            <w:b/>
                            <w:bCs/>
                            <w:color w:val="000000" w:themeColor="text1"/>
                            <w:kern w:val="18"/>
                            <w:sz w:val="18"/>
                            <w:szCs w:val="18"/>
                            <w14:textFill>
                              <w14:solidFill>
                                <w14:schemeClr w14:val="tx1"/>
                              </w14:solidFill>
                            </w14:textFill>
                          </w:rPr>
                          <w:t>保护内容</w:t>
                        </w:r>
                      </w:p>
                    </w:tc>
                    <w:tc>
                      <w:tcPr>
                        <w:tcW w:w="872" w:type="pct"/>
                        <w:vMerge w:val="restar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6368192C">
                        <w:pPr>
                          <w:pStyle w:val="40"/>
                          <w:widowControl w:val="0"/>
                          <w:spacing w:before="0" w:beforeAutospacing="0" w:after="0" w:afterAutospacing="0" w:line="240" w:lineRule="exact"/>
                          <w:jc w:val="center"/>
                          <w:rPr>
                            <w:rFonts w:ascii="Times New Roman" w:hAnsi="Times New Roman"/>
                            <w:b/>
                            <w:bCs/>
                            <w:color w:val="000000" w:themeColor="text1"/>
                            <w:sz w:val="18"/>
                            <w:szCs w:val="18"/>
                            <w14:textFill>
                              <w14:solidFill>
                                <w14:schemeClr w14:val="tx1"/>
                              </w14:solidFill>
                            </w14:textFill>
                          </w:rPr>
                        </w:pPr>
                        <w:r>
                          <w:rPr>
                            <w:rFonts w:ascii="Times New Roman" w:hAnsi="Times New Roman"/>
                            <w:b/>
                            <w:bCs/>
                            <w:color w:val="000000" w:themeColor="text1"/>
                            <w:kern w:val="18"/>
                            <w:sz w:val="18"/>
                            <w:szCs w:val="18"/>
                            <w14:textFill>
                              <w14:solidFill>
                                <w14:schemeClr w14:val="tx1"/>
                              </w14:solidFill>
                            </w14:textFill>
                          </w:rPr>
                          <w:t>环境功能区</w:t>
                        </w:r>
                      </w:p>
                    </w:tc>
                    <w:tc>
                      <w:tcPr>
                        <w:tcW w:w="470" w:type="pct"/>
                        <w:vMerge w:val="restar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2B9A96B6">
                        <w:pPr>
                          <w:pStyle w:val="40"/>
                          <w:widowControl w:val="0"/>
                          <w:spacing w:before="0" w:beforeAutospacing="0" w:after="0" w:afterAutospacing="0" w:line="240" w:lineRule="exact"/>
                          <w:jc w:val="center"/>
                          <w:rPr>
                            <w:rFonts w:ascii="Times New Roman" w:hAnsi="Times New Roman"/>
                            <w:b/>
                            <w:bCs/>
                            <w:color w:val="000000" w:themeColor="text1"/>
                            <w:sz w:val="18"/>
                            <w:szCs w:val="18"/>
                            <w14:textFill>
                              <w14:solidFill>
                                <w14:schemeClr w14:val="tx1"/>
                              </w14:solidFill>
                            </w14:textFill>
                          </w:rPr>
                        </w:pPr>
                        <w:r>
                          <w:rPr>
                            <w:rFonts w:ascii="Times New Roman" w:hAnsi="Times New Roman"/>
                            <w:b/>
                            <w:bCs/>
                            <w:color w:val="000000" w:themeColor="text1"/>
                            <w:kern w:val="18"/>
                            <w:sz w:val="18"/>
                            <w:szCs w:val="18"/>
                            <w14:textFill>
                              <w14:solidFill>
                                <w14:schemeClr w14:val="tx1"/>
                              </w14:solidFill>
                            </w14:textFill>
                          </w:rPr>
                          <w:t>相对厂址方位</w:t>
                        </w:r>
                      </w:p>
                    </w:tc>
                    <w:tc>
                      <w:tcPr>
                        <w:tcW w:w="823" w:type="pct"/>
                        <w:vMerge w:val="restar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649482E8">
                        <w:pPr>
                          <w:pStyle w:val="40"/>
                          <w:widowControl w:val="0"/>
                          <w:spacing w:before="0" w:beforeAutospacing="0" w:after="0" w:afterAutospacing="0" w:line="240" w:lineRule="exact"/>
                          <w:jc w:val="center"/>
                          <w:rPr>
                            <w:rFonts w:ascii="Times New Roman" w:hAnsi="Times New Roman"/>
                            <w:b/>
                            <w:bCs/>
                            <w:color w:val="000000" w:themeColor="text1"/>
                            <w:sz w:val="18"/>
                            <w:szCs w:val="18"/>
                            <w14:textFill>
                              <w14:solidFill>
                                <w14:schemeClr w14:val="tx1"/>
                              </w14:solidFill>
                            </w14:textFill>
                          </w:rPr>
                        </w:pPr>
                        <w:r>
                          <w:rPr>
                            <w:rFonts w:ascii="Times New Roman" w:hAnsi="Times New Roman"/>
                            <w:b/>
                            <w:bCs/>
                            <w:color w:val="000000" w:themeColor="text1"/>
                            <w:kern w:val="18"/>
                            <w:sz w:val="18"/>
                            <w:szCs w:val="18"/>
                            <w14:textFill>
                              <w14:solidFill>
                                <w14:schemeClr w14:val="tx1"/>
                              </w14:solidFill>
                            </w14:textFill>
                          </w:rPr>
                          <w:t>相对厂界距离（m）</w:t>
                        </w:r>
                      </w:p>
                    </w:tc>
                  </w:tr>
                  <w:tr w14:paraId="3E2D6BBD">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28" w:type="dxa"/>
                        <w:bottom w:w="0" w:type="dxa"/>
                        <w:right w:w="28" w:type="dxa"/>
                      </w:tblCellMar>
                    </w:tblPrEx>
                    <w:trPr>
                      <w:cantSplit/>
                      <w:trHeight w:val="23" w:hRule="atLeast"/>
                      <w:jc w:val="center"/>
                    </w:trPr>
                    <w:tc>
                      <w:tcPr>
                        <w:tcW w:w="527" w:type="pct"/>
                        <w:vMerge w:val="continue"/>
                        <w:tcBorders>
                          <w:top w:val="single" w:color="000000" w:sz="12" w:space="0"/>
                          <w:left w:val="single" w:color="000000" w:sz="12" w:space="0"/>
                          <w:bottom w:val="single" w:color="000000" w:sz="12" w:space="0"/>
                          <w:right w:val="single" w:color="000000" w:sz="12" w:space="0"/>
                        </w:tcBorders>
                        <w:vAlign w:val="center"/>
                      </w:tcPr>
                      <w:p w14:paraId="28A220B6">
                        <w:pPr>
                          <w:rPr>
                            <w:b/>
                            <w:bCs/>
                            <w:color w:val="000000" w:themeColor="text1"/>
                            <w:sz w:val="18"/>
                            <w:szCs w:val="18"/>
                            <w14:textFill>
                              <w14:solidFill>
                                <w14:schemeClr w14:val="tx1"/>
                              </w14:solidFill>
                            </w14:textFill>
                          </w:rPr>
                        </w:pPr>
                      </w:p>
                    </w:tc>
                    <w:tc>
                      <w:tcPr>
                        <w:tcW w:w="503" w:type="pct"/>
                        <w:vMerge w:val="continue"/>
                        <w:tcBorders>
                          <w:top w:val="single" w:color="000000" w:sz="12" w:space="0"/>
                          <w:left w:val="nil"/>
                          <w:bottom w:val="single" w:color="000000" w:sz="12" w:space="0"/>
                          <w:right w:val="single" w:color="000000" w:sz="12" w:space="0"/>
                        </w:tcBorders>
                        <w:vAlign w:val="center"/>
                      </w:tcPr>
                      <w:p w14:paraId="6ECDA02F">
                        <w:pPr>
                          <w:rPr>
                            <w:b/>
                            <w:bCs/>
                            <w:color w:val="000000" w:themeColor="text1"/>
                            <w:sz w:val="18"/>
                            <w:szCs w:val="18"/>
                            <w14:textFill>
                              <w14:solidFill>
                                <w14:schemeClr w14:val="tx1"/>
                              </w14:solidFill>
                            </w14:textFill>
                          </w:rPr>
                        </w:pPr>
                      </w:p>
                    </w:tc>
                    <w:tc>
                      <w:tcPr>
                        <w:tcW w:w="265"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61872282">
                        <w:pPr>
                          <w:snapToGrid w:val="0"/>
                          <w:jc w:val="center"/>
                          <w:rPr>
                            <w:bCs/>
                            <w:color w:val="000000" w:themeColor="text1"/>
                            <w:sz w:val="18"/>
                            <w:szCs w:val="18"/>
                            <w:lang w:val="zh-CN"/>
                            <w14:textFill>
                              <w14:solidFill>
                                <w14:schemeClr w14:val="tx1"/>
                              </w14:solidFill>
                            </w14:textFill>
                          </w:rPr>
                        </w:pPr>
                        <w:r>
                          <w:rPr>
                            <w:bCs/>
                            <w:color w:val="000000" w:themeColor="text1"/>
                            <w:sz w:val="18"/>
                            <w:szCs w:val="18"/>
                            <w:lang w:val="zh-CN"/>
                            <w14:textFill>
                              <w14:solidFill>
                                <w14:schemeClr w14:val="tx1"/>
                              </w14:solidFill>
                            </w14:textFill>
                          </w:rPr>
                          <w:t>X</w:t>
                        </w:r>
                      </w:p>
                    </w:tc>
                    <w:tc>
                      <w:tcPr>
                        <w:tcW w:w="313"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1843C3C0">
                        <w:pPr>
                          <w:snapToGrid w:val="0"/>
                          <w:jc w:val="center"/>
                          <w:rPr>
                            <w:bCs/>
                            <w:color w:val="000000" w:themeColor="text1"/>
                            <w:sz w:val="18"/>
                            <w:szCs w:val="18"/>
                            <w:lang w:val="zh-CN"/>
                            <w14:textFill>
                              <w14:solidFill>
                                <w14:schemeClr w14:val="tx1"/>
                              </w14:solidFill>
                            </w14:textFill>
                          </w:rPr>
                        </w:pPr>
                        <w:r>
                          <w:rPr>
                            <w:bCs/>
                            <w:color w:val="000000" w:themeColor="text1"/>
                            <w:sz w:val="18"/>
                            <w:szCs w:val="18"/>
                            <w:lang w:val="zh-CN"/>
                            <w14:textFill>
                              <w14:solidFill>
                                <w14:schemeClr w14:val="tx1"/>
                              </w14:solidFill>
                            </w14:textFill>
                          </w:rPr>
                          <w:t>Y</w:t>
                        </w:r>
                      </w:p>
                    </w:tc>
                    <w:tc>
                      <w:tcPr>
                        <w:tcW w:w="0" w:type="auto"/>
                        <w:vMerge w:val="continue"/>
                        <w:tcBorders>
                          <w:top w:val="single" w:color="000000" w:sz="12" w:space="0"/>
                          <w:left w:val="nil"/>
                          <w:bottom w:val="single" w:color="000000" w:sz="12" w:space="0"/>
                          <w:right w:val="single" w:color="000000" w:sz="12" w:space="0"/>
                        </w:tcBorders>
                        <w:vAlign w:val="center"/>
                      </w:tcPr>
                      <w:p w14:paraId="7AB94D27">
                        <w:pPr>
                          <w:rPr>
                            <w:b/>
                            <w:bCs/>
                            <w:color w:val="000000" w:themeColor="text1"/>
                            <w:sz w:val="18"/>
                            <w:szCs w:val="18"/>
                            <w14:textFill>
                              <w14:solidFill>
                                <w14:schemeClr w14:val="tx1"/>
                              </w14:solidFill>
                            </w14:textFill>
                          </w:rPr>
                        </w:pPr>
                      </w:p>
                    </w:tc>
                    <w:tc>
                      <w:tcPr>
                        <w:tcW w:w="0" w:type="auto"/>
                        <w:vMerge w:val="continue"/>
                        <w:tcBorders>
                          <w:top w:val="single" w:color="000000" w:sz="12" w:space="0"/>
                          <w:left w:val="nil"/>
                          <w:bottom w:val="single" w:color="000000" w:sz="12" w:space="0"/>
                          <w:right w:val="single" w:color="000000" w:sz="12" w:space="0"/>
                        </w:tcBorders>
                        <w:vAlign w:val="center"/>
                      </w:tcPr>
                      <w:p w14:paraId="31D1B80C">
                        <w:pPr>
                          <w:rPr>
                            <w:b/>
                            <w:bCs/>
                            <w:color w:val="000000" w:themeColor="text1"/>
                            <w:sz w:val="18"/>
                            <w:szCs w:val="18"/>
                            <w14:textFill>
                              <w14:solidFill>
                                <w14:schemeClr w14:val="tx1"/>
                              </w14:solidFill>
                            </w14:textFill>
                          </w:rPr>
                        </w:pPr>
                      </w:p>
                    </w:tc>
                    <w:tc>
                      <w:tcPr>
                        <w:tcW w:w="872" w:type="pct"/>
                        <w:vMerge w:val="continue"/>
                        <w:tcBorders>
                          <w:top w:val="single" w:color="000000" w:sz="12" w:space="0"/>
                          <w:left w:val="nil"/>
                          <w:bottom w:val="single" w:color="000000" w:sz="12" w:space="0"/>
                          <w:right w:val="single" w:color="000000" w:sz="12" w:space="0"/>
                        </w:tcBorders>
                        <w:vAlign w:val="center"/>
                      </w:tcPr>
                      <w:p w14:paraId="558E66F8">
                        <w:pPr>
                          <w:rPr>
                            <w:b/>
                            <w:bCs/>
                            <w:color w:val="000000" w:themeColor="text1"/>
                            <w:sz w:val="18"/>
                            <w:szCs w:val="18"/>
                            <w14:textFill>
                              <w14:solidFill>
                                <w14:schemeClr w14:val="tx1"/>
                              </w14:solidFill>
                            </w14:textFill>
                          </w:rPr>
                        </w:pPr>
                      </w:p>
                    </w:tc>
                    <w:tc>
                      <w:tcPr>
                        <w:tcW w:w="470" w:type="pct"/>
                        <w:vMerge w:val="continue"/>
                        <w:tcBorders>
                          <w:top w:val="single" w:color="000000" w:sz="12" w:space="0"/>
                          <w:left w:val="nil"/>
                          <w:bottom w:val="single" w:color="000000" w:sz="12" w:space="0"/>
                          <w:right w:val="single" w:color="000000" w:sz="12" w:space="0"/>
                        </w:tcBorders>
                        <w:vAlign w:val="center"/>
                      </w:tcPr>
                      <w:p w14:paraId="5311244A">
                        <w:pPr>
                          <w:rPr>
                            <w:b/>
                            <w:bCs/>
                            <w:color w:val="000000" w:themeColor="text1"/>
                            <w:sz w:val="18"/>
                            <w:szCs w:val="18"/>
                            <w14:textFill>
                              <w14:solidFill>
                                <w14:schemeClr w14:val="tx1"/>
                              </w14:solidFill>
                            </w14:textFill>
                          </w:rPr>
                        </w:pPr>
                      </w:p>
                    </w:tc>
                    <w:tc>
                      <w:tcPr>
                        <w:tcW w:w="0" w:type="auto"/>
                        <w:vMerge w:val="continue"/>
                        <w:tcBorders>
                          <w:top w:val="single" w:color="000000" w:sz="12" w:space="0"/>
                          <w:left w:val="nil"/>
                          <w:bottom w:val="single" w:color="000000" w:sz="12" w:space="0"/>
                          <w:right w:val="single" w:color="000000" w:sz="12" w:space="0"/>
                        </w:tcBorders>
                        <w:vAlign w:val="center"/>
                      </w:tcPr>
                      <w:p w14:paraId="53AA0FCF">
                        <w:pPr>
                          <w:rPr>
                            <w:b/>
                            <w:bCs/>
                            <w:color w:val="000000" w:themeColor="text1"/>
                            <w:sz w:val="18"/>
                            <w:szCs w:val="18"/>
                            <w14:textFill>
                              <w14:solidFill>
                                <w14:schemeClr w14:val="tx1"/>
                              </w14:solidFill>
                            </w14:textFill>
                          </w:rPr>
                        </w:pPr>
                      </w:p>
                    </w:tc>
                  </w:tr>
                  <w:tr w14:paraId="54A235DB">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28" w:type="dxa"/>
                        <w:bottom w:w="0" w:type="dxa"/>
                        <w:right w:w="28" w:type="dxa"/>
                      </w:tblCellMar>
                    </w:tblPrEx>
                    <w:trPr>
                      <w:cantSplit/>
                      <w:trHeight w:val="23" w:hRule="atLeast"/>
                      <w:jc w:val="center"/>
                    </w:trPr>
                    <w:tc>
                      <w:tcPr>
                        <w:tcW w:w="527" w:type="pct"/>
                        <w:vMerge w:val="continue"/>
                        <w:tcBorders>
                          <w:left w:val="single" w:color="000000" w:sz="12" w:space="0"/>
                          <w:right w:val="single" w:color="000000" w:sz="12" w:space="0"/>
                        </w:tcBorders>
                        <w:tcMar>
                          <w:top w:w="0" w:type="dxa"/>
                          <w:left w:w="0" w:type="dxa"/>
                          <w:bottom w:w="0" w:type="dxa"/>
                          <w:right w:w="0" w:type="dxa"/>
                        </w:tcMar>
                        <w:vAlign w:val="center"/>
                      </w:tcPr>
                      <w:p w14:paraId="6F8B0EF1">
                        <w:pPr>
                          <w:snapToGrid w:val="0"/>
                          <w:jc w:val="center"/>
                          <w:rPr>
                            <w:bCs/>
                            <w:color w:val="000000" w:themeColor="text1"/>
                            <w:sz w:val="18"/>
                            <w:szCs w:val="18"/>
                            <w14:textFill>
                              <w14:solidFill>
                                <w14:schemeClr w14:val="tx1"/>
                              </w14:solidFill>
                            </w14:textFill>
                          </w:rPr>
                        </w:pPr>
                      </w:p>
                    </w:tc>
                    <w:tc>
                      <w:tcPr>
                        <w:tcW w:w="503"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44C93939">
                        <w:pPr>
                          <w:snapToGrid w:val="0"/>
                          <w:jc w:val="center"/>
                          <w:rPr>
                            <w:bCs/>
                            <w:color w:val="000000" w:themeColor="text1"/>
                            <w:sz w:val="18"/>
                            <w:szCs w:val="18"/>
                            <w:lang w:val="zh-CN"/>
                            <w14:textFill>
                              <w14:solidFill>
                                <w14:schemeClr w14:val="tx1"/>
                              </w14:solidFill>
                            </w14:textFill>
                          </w:rPr>
                        </w:pPr>
                        <w:r>
                          <w:rPr>
                            <w:rFonts w:hint="eastAsia"/>
                            <w:bCs/>
                            <w:color w:val="000000" w:themeColor="text1"/>
                            <w:sz w:val="18"/>
                            <w:szCs w:val="18"/>
                            <w14:textFill>
                              <w14:solidFill>
                                <w14:schemeClr w14:val="tx1"/>
                              </w14:solidFill>
                            </w14:textFill>
                          </w:rPr>
                          <w:t>张家边</w:t>
                        </w:r>
                      </w:p>
                    </w:tc>
                    <w:tc>
                      <w:tcPr>
                        <w:tcW w:w="265"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76A51B57">
                        <w:pPr>
                          <w:snapToGrid w:val="0"/>
                          <w:jc w:val="center"/>
                          <w:rPr>
                            <w:color w:val="000000" w:themeColor="text1"/>
                            <w:sz w:val="18"/>
                            <w:szCs w:val="18"/>
                            <w:lang w:bidi="ar"/>
                            <w14:textFill>
                              <w14:solidFill>
                                <w14:schemeClr w14:val="tx1"/>
                              </w14:solidFill>
                            </w14:textFill>
                          </w:rPr>
                        </w:pPr>
                        <w:r>
                          <w:rPr>
                            <w:rFonts w:hint="eastAsia"/>
                            <w:snapToGrid w:val="0"/>
                            <w:color w:val="000000" w:themeColor="text1"/>
                            <w:sz w:val="18"/>
                            <w:szCs w:val="18"/>
                            <w14:textFill>
                              <w14:solidFill>
                                <w14:schemeClr w14:val="tx1"/>
                              </w14:solidFill>
                            </w14:textFill>
                          </w:rPr>
                          <w:t>0</w:t>
                        </w:r>
                      </w:p>
                    </w:tc>
                    <w:tc>
                      <w:tcPr>
                        <w:tcW w:w="313"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3716DE6E">
                        <w:pPr>
                          <w:snapToGrid w:val="0"/>
                          <w:jc w:val="center"/>
                          <w:rPr>
                            <w:color w:val="000000" w:themeColor="text1"/>
                            <w:sz w:val="18"/>
                            <w:szCs w:val="18"/>
                            <w:lang w:bidi="ar"/>
                            <w14:textFill>
                              <w14:solidFill>
                                <w14:schemeClr w14:val="tx1"/>
                              </w14:solidFill>
                            </w14:textFill>
                          </w:rPr>
                        </w:pPr>
                        <w:r>
                          <w:rPr>
                            <w:rFonts w:hint="eastAsia"/>
                            <w:snapToGrid w:val="0"/>
                            <w:color w:val="000000" w:themeColor="text1"/>
                            <w:sz w:val="18"/>
                            <w:szCs w:val="18"/>
                            <w14:textFill>
                              <w14:solidFill>
                                <w14:schemeClr w14:val="tx1"/>
                              </w14:solidFill>
                            </w14:textFill>
                          </w:rPr>
                          <w:t>80</w:t>
                        </w:r>
                      </w:p>
                    </w:tc>
                    <w:tc>
                      <w:tcPr>
                        <w:tcW w:w="594"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035FE553">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居民</w:t>
                        </w:r>
                      </w:p>
                    </w:tc>
                    <w:tc>
                      <w:tcPr>
                        <w:tcW w:w="633"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10ED5FF2">
                        <w:pPr>
                          <w:snapToGrid w:val="0"/>
                          <w:jc w:val="center"/>
                          <w:rPr>
                            <w:bCs/>
                            <w:color w:val="000000" w:themeColor="text1"/>
                            <w:sz w:val="18"/>
                            <w:szCs w:val="18"/>
                            <w:lang w:val="zh-CN"/>
                            <w14:textFill>
                              <w14:solidFill>
                                <w14:schemeClr w14:val="tx1"/>
                              </w14:solidFill>
                            </w14:textFill>
                          </w:rPr>
                        </w:pPr>
                        <w:r>
                          <w:rPr>
                            <w:bCs/>
                            <w:color w:val="000000" w:themeColor="text1"/>
                            <w:sz w:val="18"/>
                            <w:szCs w:val="18"/>
                            <w:lang w:val="zh-CN"/>
                            <w14:textFill>
                              <w14:solidFill>
                                <w14:schemeClr w14:val="tx1"/>
                              </w14:solidFill>
                            </w14:textFill>
                          </w:rPr>
                          <w:t>约</w:t>
                        </w:r>
                        <w:r>
                          <w:rPr>
                            <w:rFonts w:hint="eastAsia"/>
                            <w:bCs/>
                            <w:color w:val="000000" w:themeColor="text1"/>
                            <w:sz w:val="18"/>
                            <w:szCs w:val="18"/>
                            <w14:textFill>
                              <w14:solidFill>
                                <w14:schemeClr w14:val="tx1"/>
                              </w14:solidFill>
                            </w14:textFill>
                          </w:rPr>
                          <w:t>900</w:t>
                        </w:r>
                        <w:r>
                          <w:rPr>
                            <w:bCs/>
                            <w:color w:val="000000" w:themeColor="text1"/>
                            <w:sz w:val="18"/>
                            <w:szCs w:val="18"/>
                            <w14:textFill>
                              <w14:solidFill>
                                <w14:schemeClr w14:val="tx1"/>
                              </w14:solidFill>
                            </w14:textFill>
                          </w:rPr>
                          <w:t>人</w:t>
                        </w:r>
                      </w:p>
                    </w:tc>
                    <w:tc>
                      <w:tcPr>
                        <w:tcW w:w="872" w:type="pct"/>
                        <w:vMerge w:val="continue"/>
                        <w:tcBorders>
                          <w:left w:val="nil"/>
                          <w:right w:val="single" w:color="000000" w:sz="12" w:space="0"/>
                        </w:tcBorders>
                        <w:tcMar>
                          <w:top w:w="0" w:type="dxa"/>
                          <w:left w:w="0" w:type="dxa"/>
                          <w:bottom w:w="0" w:type="dxa"/>
                          <w:right w:w="0" w:type="dxa"/>
                        </w:tcMar>
                        <w:vAlign w:val="center"/>
                      </w:tcPr>
                      <w:p w14:paraId="7D8682A1">
                        <w:pPr>
                          <w:snapToGrid w:val="0"/>
                          <w:jc w:val="center"/>
                          <w:rPr>
                            <w:bCs/>
                            <w:color w:val="000000" w:themeColor="text1"/>
                            <w:sz w:val="18"/>
                            <w:szCs w:val="18"/>
                            <w:lang w:val="zh-CN"/>
                            <w14:textFill>
                              <w14:solidFill>
                                <w14:schemeClr w14:val="tx1"/>
                              </w14:solidFill>
                            </w14:textFill>
                          </w:rPr>
                        </w:pPr>
                      </w:p>
                    </w:tc>
                    <w:tc>
                      <w:tcPr>
                        <w:tcW w:w="470"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2C4E51C7">
                        <w:pPr>
                          <w:snapToGrid w:val="0"/>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北</w:t>
                        </w:r>
                      </w:p>
                    </w:tc>
                    <w:tc>
                      <w:tcPr>
                        <w:tcW w:w="823"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53A3F95D">
                        <w:pPr>
                          <w:snapToGrid w:val="0"/>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80</w:t>
                        </w:r>
                      </w:p>
                    </w:tc>
                  </w:tr>
                  <w:tr w14:paraId="392EEC7C">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28" w:type="dxa"/>
                        <w:bottom w:w="0" w:type="dxa"/>
                        <w:right w:w="28" w:type="dxa"/>
                      </w:tblCellMar>
                    </w:tblPrEx>
                    <w:trPr>
                      <w:cantSplit/>
                      <w:trHeight w:val="23" w:hRule="atLeast"/>
                      <w:jc w:val="center"/>
                    </w:trPr>
                    <w:tc>
                      <w:tcPr>
                        <w:tcW w:w="527" w:type="pct"/>
                        <w:tcBorders>
                          <w:top w:val="single" w:color="000000" w:sz="12" w:space="0"/>
                          <w:left w:val="single" w:color="000000" w:sz="12" w:space="0"/>
                          <w:right w:val="single" w:color="000000" w:sz="12" w:space="0"/>
                        </w:tcBorders>
                        <w:tcMar>
                          <w:top w:w="0" w:type="dxa"/>
                          <w:left w:w="0" w:type="dxa"/>
                          <w:bottom w:w="0" w:type="dxa"/>
                          <w:right w:w="0" w:type="dxa"/>
                        </w:tcMar>
                        <w:vAlign w:val="center"/>
                      </w:tcPr>
                      <w:p w14:paraId="6DF900ED">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水环境</w:t>
                        </w:r>
                      </w:p>
                    </w:tc>
                    <w:tc>
                      <w:tcPr>
                        <w:tcW w:w="503"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04A5734C">
                        <w:pPr>
                          <w:snapToGrid w:val="0"/>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乐安河</w:t>
                        </w:r>
                      </w:p>
                    </w:tc>
                    <w:tc>
                      <w:tcPr>
                        <w:tcW w:w="265"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5A44CD00">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w:t>
                        </w:r>
                      </w:p>
                    </w:tc>
                    <w:tc>
                      <w:tcPr>
                        <w:tcW w:w="313"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1C796127">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w:t>
                        </w:r>
                      </w:p>
                    </w:tc>
                    <w:tc>
                      <w:tcPr>
                        <w:tcW w:w="594"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7790DB13">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河流</w:t>
                        </w:r>
                      </w:p>
                    </w:tc>
                    <w:tc>
                      <w:tcPr>
                        <w:tcW w:w="633"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0B3153CD">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中河</w:t>
                        </w:r>
                      </w:p>
                    </w:tc>
                    <w:tc>
                      <w:tcPr>
                        <w:tcW w:w="872"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7E68A886">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（GB3838-2002）中Ⅲ类</w:t>
                        </w:r>
                      </w:p>
                    </w:tc>
                    <w:tc>
                      <w:tcPr>
                        <w:tcW w:w="470"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101620B5">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南</w:t>
                        </w:r>
                      </w:p>
                    </w:tc>
                    <w:tc>
                      <w:tcPr>
                        <w:tcW w:w="823"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3BF17554">
                        <w:pPr>
                          <w:snapToGrid w:val="0"/>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3700</w:t>
                        </w:r>
                      </w:p>
                    </w:tc>
                  </w:tr>
                  <w:tr w14:paraId="45456131">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28" w:type="dxa"/>
                        <w:bottom w:w="0" w:type="dxa"/>
                        <w:right w:w="28" w:type="dxa"/>
                      </w:tblCellMar>
                    </w:tblPrEx>
                    <w:trPr>
                      <w:cantSplit/>
                      <w:trHeight w:val="341" w:hRule="atLeast"/>
                      <w:jc w:val="center"/>
                    </w:trPr>
                    <w:tc>
                      <w:tcPr>
                        <w:tcW w:w="527" w:type="pct"/>
                        <w:tcBorders>
                          <w:top w:val="single" w:color="000000" w:sz="12" w:space="0"/>
                          <w:left w:val="single" w:color="000000" w:sz="12" w:space="0"/>
                          <w:bottom w:val="single" w:color="000000" w:sz="12" w:space="0"/>
                          <w:right w:val="single" w:color="000000" w:sz="12" w:space="0"/>
                        </w:tcBorders>
                        <w:tcMar>
                          <w:top w:w="0" w:type="dxa"/>
                          <w:left w:w="0" w:type="dxa"/>
                          <w:bottom w:w="0" w:type="dxa"/>
                          <w:right w:w="0" w:type="dxa"/>
                        </w:tcMar>
                        <w:vAlign w:val="center"/>
                      </w:tcPr>
                      <w:p w14:paraId="58332A23">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声环境</w:t>
                        </w:r>
                      </w:p>
                    </w:tc>
                    <w:tc>
                      <w:tcPr>
                        <w:tcW w:w="503"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3DE4596E">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厂界四周</w:t>
                        </w:r>
                      </w:p>
                    </w:tc>
                    <w:tc>
                      <w:tcPr>
                        <w:tcW w:w="265"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7C47AD32">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w:t>
                        </w:r>
                      </w:p>
                    </w:tc>
                    <w:tc>
                      <w:tcPr>
                        <w:tcW w:w="313"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64CC4801">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w:t>
                        </w:r>
                      </w:p>
                    </w:tc>
                    <w:tc>
                      <w:tcPr>
                        <w:tcW w:w="594"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0BF33D7C">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厂界噪声</w:t>
                        </w:r>
                      </w:p>
                    </w:tc>
                    <w:tc>
                      <w:tcPr>
                        <w:tcW w:w="633"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0D8A7FD6">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声环境质量</w:t>
                        </w:r>
                      </w:p>
                    </w:tc>
                    <w:tc>
                      <w:tcPr>
                        <w:tcW w:w="872"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1556FAA7">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（GB3096-2008）</w:t>
                        </w:r>
                        <w:r>
                          <w:rPr>
                            <w:rFonts w:hint="eastAsia"/>
                            <w:bCs/>
                            <w:color w:val="000000" w:themeColor="text1"/>
                            <w:sz w:val="18"/>
                            <w:szCs w:val="18"/>
                            <w14:textFill>
                              <w14:solidFill>
                                <w14:schemeClr w14:val="tx1"/>
                              </w14:solidFill>
                            </w14:textFill>
                          </w:rPr>
                          <w:t>3</w:t>
                        </w:r>
                        <w:r>
                          <w:rPr>
                            <w:bCs/>
                            <w:color w:val="000000" w:themeColor="text1"/>
                            <w:sz w:val="18"/>
                            <w:szCs w:val="18"/>
                            <w14:textFill>
                              <w14:solidFill>
                                <w14:schemeClr w14:val="tx1"/>
                              </w14:solidFill>
                            </w14:textFill>
                          </w:rPr>
                          <w:t>类区标准</w:t>
                        </w:r>
                      </w:p>
                    </w:tc>
                    <w:tc>
                      <w:tcPr>
                        <w:tcW w:w="470"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44DA9E34">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厂界</w:t>
                        </w:r>
                      </w:p>
                      <w:p w14:paraId="11F3F9F3">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四周</w:t>
                        </w:r>
                      </w:p>
                    </w:tc>
                    <w:tc>
                      <w:tcPr>
                        <w:tcW w:w="823" w:type="pct"/>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57C89693">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w:t>
                        </w:r>
                      </w:p>
                    </w:tc>
                  </w:tr>
                  <w:tr w14:paraId="20CAAD1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28" w:type="dxa"/>
                        <w:bottom w:w="0" w:type="dxa"/>
                        <w:right w:w="28" w:type="dxa"/>
                      </w:tblCellMar>
                    </w:tblPrEx>
                    <w:trPr>
                      <w:cantSplit/>
                      <w:trHeight w:val="23" w:hRule="atLeast"/>
                      <w:jc w:val="center"/>
                    </w:trPr>
                    <w:tc>
                      <w:tcPr>
                        <w:tcW w:w="527" w:type="pct"/>
                        <w:tcBorders>
                          <w:top w:val="single" w:color="000000" w:sz="12" w:space="0"/>
                          <w:left w:val="single" w:color="000000" w:sz="12" w:space="0"/>
                          <w:bottom w:val="single" w:color="000000" w:sz="12" w:space="0"/>
                          <w:right w:val="single" w:color="000000" w:sz="12" w:space="0"/>
                        </w:tcBorders>
                        <w:tcMar>
                          <w:top w:w="0" w:type="dxa"/>
                          <w:left w:w="0" w:type="dxa"/>
                          <w:bottom w:w="0" w:type="dxa"/>
                          <w:right w:w="0" w:type="dxa"/>
                        </w:tcMar>
                        <w:vAlign w:val="center"/>
                      </w:tcPr>
                      <w:p w14:paraId="11AE5BD6">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地下水环境</w:t>
                        </w:r>
                      </w:p>
                    </w:tc>
                    <w:tc>
                      <w:tcPr>
                        <w:tcW w:w="4473" w:type="pct"/>
                        <w:gridSpan w:val="8"/>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6905DBB5">
                        <w:pPr>
                          <w:snapToGrid w:val="0"/>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厂界外500m范围内无地下水集中式饮用水水源和热水、矿泉水、温泉等特殊地下水资源</w:t>
                        </w:r>
                      </w:p>
                    </w:tc>
                  </w:tr>
                  <w:tr w14:paraId="304D3951">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28" w:type="dxa"/>
                        <w:bottom w:w="0" w:type="dxa"/>
                        <w:right w:w="28" w:type="dxa"/>
                      </w:tblCellMar>
                    </w:tblPrEx>
                    <w:trPr>
                      <w:cantSplit/>
                      <w:trHeight w:val="23" w:hRule="atLeast"/>
                      <w:jc w:val="center"/>
                    </w:trPr>
                    <w:tc>
                      <w:tcPr>
                        <w:tcW w:w="527" w:type="pct"/>
                        <w:tcBorders>
                          <w:top w:val="single" w:color="000000" w:sz="12" w:space="0"/>
                          <w:left w:val="single" w:color="000000" w:sz="12" w:space="0"/>
                          <w:bottom w:val="single" w:color="000000" w:sz="12" w:space="0"/>
                          <w:right w:val="single" w:color="000000" w:sz="12" w:space="0"/>
                        </w:tcBorders>
                        <w:tcMar>
                          <w:top w:w="0" w:type="dxa"/>
                          <w:left w:w="0" w:type="dxa"/>
                          <w:bottom w:w="0" w:type="dxa"/>
                          <w:right w:w="0" w:type="dxa"/>
                        </w:tcMar>
                        <w:vAlign w:val="center"/>
                      </w:tcPr>
                      <w:p w14:paraId="1A5EE1E9">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生态环境</w:t>
                        </w:r>
                      </w:p>
                    </w:tc>
                    <w:tc>
                      <w:tcPr>
                        <w:tcW w:w="4473" w:type="pct"/>
                        <w:gridSpan w:val="8"/>
                        <w:tcBorders>
                          <w:top w:val="single" w:color="000000" w:sz="12" w:space="0"/>
                          <w:left w:val="nil"/>
                          <w:bottom w:val="single" w:color="000000" w:sz="12" w:space="0"/>
                          <w:right w:val="single" w:color="000000" w:sz="12" w:space="0"/>
                        </w:tcBorders>
                        <w:tcMar>
                          <w:top w:w="0" w:type="dxa"/>
                          <w:left w:w="0" w:type="dxa"/>
                          <w:bottom w:w="0" w:type="dxa"/>
                          <w:right w:w="0" w:type="dxa"/>
                        </w:tcMar>
                        <w:vAlign w:val="center"/>
                      </w:tcPr>
                      <w:p w14:paraId="450D74F8">
                        <w:pPr>
                          <w:snapToGrid w:val="0"/>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用地范围不存在生态环境保护目标</w:t>
                        </w:r>
                      </w:p>
                    </w:tc>
                  </w:tr>
                  <w:tr w14:paraId="1F05512A">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28" w:type="dxa"/>
                        <w:bottom w:w="0" w:type="dxa"/>
                        <w:right w:w="28" w:type="dxa"/>
                      </w:tblCellMar>
                    </w:tblPrEx>
                    <w:trPr>
                      <w:cantSplit/>
                      <w:trHeight w:val="23" w:hRule="atLeast"/>
                      <w:jc w:val="center"/>
                    </w:trPr>
                    <w:tc>
                      <w:tcPr>
                        <w:tcW w:w="5000" w:type="pct"/>
                        <w:gridSpan w:val="9"/>
                        <w:tcBorders>
                          <w:top w:val="single" w:color="000000" w:sz="12" w:space="0"/>
                          <w:left w:val="single" w:color="000000" w:sz="12" w:space="0"/>
                          <w:bottom w:val="single" w:color="000000" w:sz="12" w:space="0"/>
                          <w:right w:val="single" w:color="000000" w:sz="12" w:space="0"/>
                        </w:tcBorders>
                        <w:tcMar>
                          <w:top w:w="0" w:type="dxa"/>
                          <w:left w:w="0" w:type="dxa"/>
                          <w:bottom w:w="0" w:type="dxa"/>
                          <w:right w:w="0" w:type="dxa"/>
                        </w:tcMar>
                        <w:vAlign w:val="center"/>
                      </w:tcPr>
                      <w:p w14:paraId="1D9CAF7F">
                        <w:pPr>
                          <w:snapToGrid w:val="0"/>
                          <w:rPr>
                            <w:bCs/>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备注：</w:t>
                        </w:r>
                        <w:r>
                          <w:rPr>
                            <w:rFonts w:ascii="Cambria Math" w:hAnsi="Cambria Math" w:cs="Cambria Math"/>
                            <w:color w:val="000000" w:themeColor="text1"/>
                            <w:sz w:val="18"/>
                            <w:szCs w:val="18"/>
                            <w14:textFill>
                              <w14:solidFill>
                                <w14:schemeClr w14:val="tx1"/>
                              </w14:solidFill>
                            </w14:textFill>
                          </w:rPr>
                          <w:t>①</w:t>
                        </w:r>
                        <w:r>
                          <w:rPr>
                            <w:color w:val="000000" w:themeColor="text1"/>
                            <w:sz w:val="18"/>
                            <w:szCs w:val="18"/>
                            <w14:textFill>
                              <w14:solidFill>
                                <w14:schemeClr w14:val="tx1"/>
                              </w14:solidFill>
                            </w14:textFill>
                          </w:rPr>
                          <w:t>本次评价以厂区中心E 11</w:t>
                        </w:r>
                        <w:r>
                          <w:rPr>
                            <w:rFonts w:hint="eastAsia"/>
                            <w:color w:val="000000" w:themeColor="text1"/>
                            <w:sz w:val="18"/>
                            <w:szCs w:val="18"/>
                            <w14:textFill>
                              <w14:solidFill>
                                <w14:schemeClr w14:val="tx1"/>
                              </w14:solidFill>
                            </w14:textFill>
                          </w:rPr>
                          <w:t>7</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11</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40.568</w:t>
                        </w:r>
                        <w:r>
                          <w:rPr>
                            <w:color w:val="000000" w:themeColor="text1"/>
                            <w:sz w:val="18"/>
                            <w:szCs w:val="18"/>
                            <w14:textFill>
                              <w14:solidFill>
                                <w14:schemeClr w14:val="tx1"/>
                              </w14:solidFill>
                            </w14:textFill>
                          </w:rPr>
                          <w:t>″，N 2</w:t>
                        </w:r>
                        <w:r>
                          <w:rPr>
                            <w:rFonts w:hint="eastAsia"/>
                            <w:color w:val="000000" w:themeColor="text1"/>
                            <w:sz w:val="18"/>
                            <w:szCs w:val="18"/>
                            <w14:textFill>
                              <w14:solidFill>
                                <w14:schemeClr w14:val="tx1"/>
                              </w14:solidFill>
                            </w14:textFill>
                          </w:rPr>
                          <w:t>9</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0</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4.682</w:t>
                        </w:r>
                        <w:r>
                          <w:rPr>
                            <w:color w:val="000000" w:themeColor="text1"/>
                            <w:sz w:val="18"/>
                            <w:szCs w:val="18"/>
                            <w14:textFill>
                              <w14:solidFill>
                                <w14:schemeClr w14:val="tx1"/>
                              </w14:solidFill>
                            </w14:textFill>
                          </w:rPr>
                          <w:t>″为原点坐标（0，0），正东X轴为正方向，正北Y轴为正方向建立直角坐标系。</w:t>
                        </w:r>
                      </w:p>
                    </w:tc>
                  </w:tr>
                </w:tbl>
                <w:p w14:paraId="2A076A50">
                  <w:pPr>
                    <w:adjustRightInd w:val="0"/>
                    <w:snapToGrid w:val="0"/>
                    <w:ind w:firstLine="480" w:firstLineChars="200"/>
                    <w:rPr>
                      <w:color w:val="000000" w:themeColor="text1"/>
                      <w:sz w:val="24"/>
                      <w14:textFill>
                        <w14:solidFill>
                          <w14:schemeClr w14:val="tx1"/>
                        </w14:solidFill>
                      </w14:textFill>
                    </w:rPr>
                  </w:pPr>
                </w:p>
              </w:tc>
            </w:tr>
            <w:tr w14:paraId="51C742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tcBorders>
                    <w:top w:val="nil"/>
                    <w:left w:val="nil"/>
                    <w:bottom w:val="nil"/>
                    <w:right w:val="nil"/>
                  </w:tcBorders>
                </w:tcPr>
                <w:p w14:paraId="2E3C1390">
                  <w:pPr>
                    <w:tabs>
                      <w:tab w:val="left" w:pos="0"/>
                    </w:tabs>
                    <w:spacing w:line="360" w:lineRule="auto"/>
                    <w:jc w:val="left"/>
                    <w:rPr>
                      <w:b/>
                      <w:bCs/>
                      <w:color w:val="000000" w:themeColor="text1"/>
                      <w:sz w:val="24"/>
                      <w14:textFill>
                        <w14:solidFill>
                          <w14:schemeClr w14:val="tx1"/>
                        </w14:solidFill>
                      </w14:textFill>
                    </w:rPr>
                  </w:pPr>
                </w:p>
              </w:tc>
            </w:tr>
          </w:tbl>
          <w:p w14:paraId="6451AAE9">
            <w:pPr>
              <w:adjustRightInd w:val="0"/>
              <w:snapToGrid w:val="0"/>
              <w:spacing w:line="360" w:lineRule="auto"/>
              <w:rPr>
                <w:color w:val="000000" w:themeColor="text1"/>
                <w:kern w:val="0"/>
                <w:szCs w:val="21"/>
                <w14:textFill>
                  <w14:solidFill>
                    <w14:schemeClr w14:val="tx1"/>
                  </w14:solidFill>
                </w14:textFill>
              </w:rPr>
            </w:pPr>
          </w:p>
        </w:tc>
      </w:tr>
      <w:tr w14:paraId="49DC393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243" w:type="pct"/>
            <w:tcMar>
              <w:left w:w="28" w:type="dxa"/>
              <w:right w:w="28" w:type="dxa"/>
            </w:tcMar>
            <w:vAlign w:val="center"/>
          </w:tcPr>
          <w:p w14:paraId="7ACFAB13">
            <w:pPr>
              <w:adjustRightInd w:val="0"/>
              <w:snapToGrid w:val="0"/>
              <w:jc w:val="center"/>
              <w:rPr>
                <w:b/>
                <w:bCs/>
                <w:color w:val="000000" w:themeColor="text1"/>
                <w:kern w:val="0"/>
                <w:sz w:val="28"/>
                <w:szCs w:val="28"/>
                <w14:textFill>
                  <w14:solidFill>
                    <w14:schemeClr w14:val="tx1"/>
                  </w14:solidFill>
                </w14:textFill>
              </w:rPr>
            </w:pPr>
            <w:r>
              <w:rPr>
                <w:b/>
                <w:bCs/>
                <w:color w:val="000000" w:themeColor="text1"/>
                <w:kern w:val="0"/>
                <w:sz w:val="28"/>
                <w:szCs w:val="28"/>
                <w14:textFill>
                  <w14:solidFill>
                    <w14:schemeClr w14:val="tx1"/>
                  </w14:solidFill>
                </w14:textFill>
              </w:rPr>
              <w:t>污染</w:t>
            </w:r>
          </w:p>
          <w:p w14:paraId="0BE2E108">
            <w:pPr>
              <w:adjustRightInd w:val="0"/>
              <w:snapToGrid w:val="0"/>
              <w:jc w:val="center"/>
              <w:rPr>
                <w:b/>
                <w:bCs/>
                <w:color w:val="000000" w:themeColor="text1"/>
                <w:kern w:val="0"/>
                <w:sz w:val="28"/>
                <w:szCs w:val="28"/>
                <w14:textFill>
                  <w14:solidFill>
                    <w14:schemeClr w14:val="tx1"/>
                  </w14:solidFill>
                </w14:textFill>
              </w:rPr>
            </w:pPr>
            <w:r>
              <w:rPr>
                <w:b/>
                <w:bCs/>
                <w:color w:val="000000" w:themeColor="text1"/>
                <w:kern w:val="0"/>
                <w:sz w:val="28"/>
                <w:szCs w:val="28"/>
                <w14:textFill>
                  <w14:solidFill>
                    <w14:schemeClr w14:val="tx1"/>
                  </w14:solidFill>
                </w14:textFill>
              </w:rPr>
              <w:t>物排</w:t>
            </w:r>
          </w:p>
          <w:p w14:paraId="19DF9D64">
            <w:pPr>
              <w:adjustRightInd w:val="0"/>
              <w:snapToGrid w:val="0"/>
              <w:jc w:val="center"/>
              <w:rPr>
                <w:b/>
                <w:bCs/>
                <w:color w:val="000000" w:themeColor="text1"/>
                <w:kern w:val="0"/>
                <w:sz w:val="28"/>
                <w:szCs w:val="28"/>
                <w14:textFill>
                  <w14:solidFill>
                    <w14:schemeClr w14:val="tx1"/>
                  </w14:solidFill>
                </w14:textFill>
              </w:rPr>
            </w:pPr>
            <w:r>
              <w:rPr>
                <w:b/>
                <w:bCs/>
                <w:color w:val="000000" w:themeColor="text1"/>
                <w:kern w:val="0"/>
                <w:sz w:val="28"/>
                <w:szCs w:val="28"/>
                <w14:textFill>
                  <w14:solidFill>
                    <w14:schemeClr w14:val="tx1"/>
                  </w14:solidFill>
                </w14:textFill>
              </w:rPr>
              <w:t>放控</w:t>
            </w:r>
          </w:p>
          <w:p w14:paraId="32A5C29F">
            <w:pPr>
              <w:adjustRightInd w:val="0"/>
              <w:snapToGrid w:val="0"/>
              <w:jc w:val="center"/>
              <w:rPr>
                <w:b/>
                <w:bCs/>
                <w:color w:val="000000" w:themeColor="text1"/>
                <w:kern w:val="0"/>
                <w:sz w:val="28"/>
                <w:szCs w:val="28"/>
                <w14:textFill>
                  <w14:solidFill>
                    <w14:schemeClr w14:val="tx1"/>
                  </w14:solidFill>
                </w14:textFill>
              </w:rPr>
            </w:pPr>
            <w:r>
              <w:rPr>
                <w:b/>
                <w:bCs/>
                <w:color w:val="000000" w:themeColor="text1"/>
                <w:kern w:val="0"/>
                <w:sz w:val="28"/>
                <w:szCs w:val="28"/>
                <w14:textFill>
                  <w14:solidFill>
                    <w14:schemeClr w14:val="tx1"/>
                  </w14:solidFill>
                </w14:textFill>
              </w:rPr>
              <w:t>制标</w:t>
            </w:r>
          </w:p>
          <w:p w14:paraId="1C281792">
            <w:pPr>
              <w:adjustRightInd w:val="0"/>
              <w:snapToGrid w:val="0"/>
              <w:jc w:val="center"/>
              <w:rPr>
                <w:b/>
                <w:bCs/>
                <w:color w:val="000000" w:themeColor="text1"/>
                <w:kern w:val="0"/>
                <w:sz w:val="28"/>
                <w:szCs w:val="28"/>
                <w14:textFill>
                  <w14:solidFill>
                    <w14:schemeClr w14:val="tx1"/>
                  </w14:solidFill>
                </w14:textFill>
              </w:rPr>
            </w:pPr>
            <w:r>
              <w:rPr>
                <w:b/>
                <w:bCs/>
                <w:color w:val="000000" w:themeColor="text1"/>
                <w:kern w:val="0"/>
                <w:sz w:val="28"/>
                <w:szCs w:val="28"/>
                <w14:textFill>
                  <w14:solidFill>
                    <w14:schemeClr w14:val="tx1"/>
                  </w14:solidFill>
                </w14:textFill>
              </w:rPr>
              <w:t>准</w:t>
            </w:r>
          </w:p>
        </w:tc>
        <w:tc>
          <w:tcPr>
            <w:tcW w:w="4757" w:type="pct"/>
            <w:vAlign w:val="bottom"/>
          </w:tcPr>
          <w:p w14:paraId="491CEC4B">
            <w:pPr>
              <w:pStyle w:val="347"/>
              <w:ind w:firstLine="482"/>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一、水污染物排放标准</w:t>
            </w:r>
          </w:p>
          <w:p w14:paraId="75A1D22F">
            <w:pPr>
              <w:widowControl/>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本项目无生产废水外排，外排废水主要为生活污水，生活污水近期依托现有隔油池+化粪池处理后满足</w:t>
            </w:r>
            <w:r>
              <w:rPr>
                <w:bCs/>
                <w:color w:val="000000" w:themeColor="text1"/>
                <w:sz w:val="24"/>
                <w14:textFill>
                  <w14:solidFill>
                    <w14:schemeClr w14:val="tx1"/>
                  </w14:solidFill>
                </w14:textFill>
              </w:rPr>
              <w:t>《污水综合排放标准》（GB8978-1996）表4中三级标准</w:t>
            </w:r>
            <w:r>
              <w:rPr>
                <w:rFonts w:hint="eastAsia"/>
                <w:bCs/>
                <w:color w:val="000000" w:themeColor="text1"/>
                <w:sz w:val="24"/>
                <w14:textFill>
                  <w14:solidFill>
                    <w14:schemeClr w14:val="tx1"/>
                  </w14:solidFill>
                </w14:textFill>
              </w:rPr>
              <w:t>后</w:t>
            </w:r>
            <w:r>
              <w:rPr>
                <w:bCs/>
                <w:color w:val="000000" w:themeColor="text1"/>
                <w:sz w:val="24"/>
                <w14:textFill>
                  <w14:solidFill>
                    <w14:schemeClr w14:val="tx1"/>
                  </w14:solidFill>
                </w14:textFill>
              </w:rPr>
              <w:t>通过管网进入乐平市金山</w:t>
            </w:r>
            <w:r>
              <w:rPr>
                <w:rFonts w:hint="eastAsia"/>
                <w:bCs/>
                <w:color w:val="000000" w:themeColor="text1"/>
                <w:sz w:val="24"/>
                <w14:textFill>
                  <w14:solidFill>
                    <w14:schemeClr w14:val="tx1"/>
                  </w14:solidFill>
                </w14:textFill>
              </w:rPr>
              <w:t>工业园</w:t>
            </w:r>
            <w:r>
              <w:rPr>
                <w:bCs/>
                <w:color w:val="000000" w:themeColor="text1"/>
                <w:sz w:val="24"/>
                <w14:textFill>
                  <w14:solidFill>
                    <w14:schemeClr w14:val="tx1"/>
                  </w14:solidFill>
                </w14:textFill>
              </w:rPr>
              <w:t>区一期一体化污水处理站进一步处理达到《城镇污水处理厂污染物排放标准》（GB18918-2002）中一级A标准后，尾水最终汇入乐安河；远期待金山工业园污水处理厂正式投运后，排入金山工业园污水处理厂，处理达到《城镇污水处理厂污染物排放标准》（GB18918-2002）一级A标准后外排至乐安河</w:t>
            </w:r>
            <w:r>
              <w:rPr>
                <w:rFonts w:hint="eastAsia"/>
                <w:bCs/>
                <w:color w:val="000000" w:themeColor="text1"/>
                <w:sz w:val="24"/>
                <w14:textFill>
                  <w14:solidFill>
                    <w14:schemeClr w14:val="tx1"/>
                  </w14:solidFill>
                </w14:textFill>
              </w:rPr>
              <w:t>。生产废水经沉淀池处理后回用于生产，回用水执行</w:t>
            </w:r>
            <w:bookmarkStart w:id="47" w:name="OLE_LINK14"/>
            <w:r>
              <w:rPr>
                <w:rFonts w:hint="eastAsia"/>
                <w:bCs/>
                <w:color w:val="000000" w:themeColor="text1"/>
                <w:sz w:val="24"/>
                <w14:textFill>
                  <w14:solidFill>
                    <w14:schemeClr w14:val="tx1"/>
                  </w14:solidFill>
                </w14:textFill>
              </w:rPr>
              <w:t>《城市污水再生利用 工业用水水质》</w:t>
            </w:r>
            <w:bookmarkEnd w:id="47"/>
            <w:r>
              <w:rPr>
                <w:rFonts w:hint="eastAsia"/>
                <w:bCs/>
                <w:color w:val="000000" w:themeColor="text1"/>
                <w:sz w:val="24"/>
                <w14:textFill>
                  <w14:solidFill>
                    <w14:schemeClr w14:val="tx1"/>
                  </w14:solidFill>
                </w14:textFill>
              </w:rPr>
              <w:t>（GBT19923-2024）中表1洗涤用水标准</w:t>
            </w:r>
            <w:r>
              <w:rPr>
                <w:color w:val="000000" w:themeColor="text1"/>
                <w:sz w:val="24"/>
                <w14:textFill>
                  <w14:solidFill>
                    <w14:schemeClr w14:val="tx1"/>
                  </w14:solidFill>
                </w14:textFill>
              </w:rPr>
              <w:t>。</w:t>
            </w:r>
          </w:p>
          <w:p w14:paraId="5C094637">
            <w:pPr>
              <w:adjustRightInd w:val="0"/>
              <w:snapToGrid w:val="0"/>
              <w:jc w:val="center"/>
              <w:rPr>
                <w:b/>
                <w:bCs/>
                <w:color w:val="000000" w:themeColor="text1"/>
                <w:sz w:val="24"/>
                <w:lang w:val="zh-CN"/>
                <w14:textFill>
                  <w14:solidFill>
                    <w14:schemeClr w14:val="tx1"/>
                  </w14:solidFill>
                </w14:textFill>
              </w:rPr>
            </w:pPr>
            <w:r>
              <w:rPr>
                <w:b/>
                <w:bCs/>
                <w:color w:val="000000" w:themeColor="text1"/>
                <w:sz w:val="24"/>
                <w:lang w:val="zh-CN"/>
                <w14:textFill>
                  <w14:solidFill>
                    <w14:schemeClr w14:val="tx1"/>
                  </w14:solidFill>
                </w14:textFill>
              </w:rPr>
              <w:t>表</w:t>
            </w:r>
            <w:r>
              <w:rPr>
                <w:b/>
                <w:bCs/>
                <w:color w:val="000000" w:themeColor="text1"/>
                <w:sz w:val="24"/>
                <w14:textFill>
                  <w14:solidFill>
                    <w14:schemeClr w14:val="tx1"/>
                  </w14:solidFill>
                </w14:textFill>
              </w:rPr>
              <w:t xml:space="preserve">3-4 </w:t>
            </w:r>
            <w:r>
              <w:rPr>
                <w:b/>
                <w:bCs/>
                <w:color w:val="000000" w:themeColor="text1"/>
                <w:sz w:val="24"/>
                <w:lang w:val="zh-CN"/>
                <w14:textFill>
                  <w14:solidFill>
                    <w14:schemeClr w14:val="tx1"/>
                  </w14:solidFill>
                </w14:textFill>
              </w:rPr>
              <w:t>本项目废水排放标准 单位：mg/L（pH除外）</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616"/>
              <w:gridCol w:w="3424"/>
              <w:gridCol w:w="4071"/>
            </w:tblGrid>
            <w:tr w14:paraId="4BF7C5B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87" w:type="pct"/>
                  <w:vAlign w:val="center"/>
                </w:tcPr>
                <w:p w14:paraId="6AD7909B">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eastAsia="宋体"/>
                      <w:b/>
                      <w:bCs/>
                      <w:snapToGrid w:val="0"/>
                      <w:color w:val="000000" w:themeColor="text1"/>
                      <w:sz w:val="18"/>
                      <w:szCs w:val="18"/>
                      <w14:textFill>
                        <w14:solidFill>
                          <w14:schemeClr w14:val="tx1"/>
                        </w14:solidFill>
                      </w14:textFill>
                    </w:rPr>
                    <w:t>项目</w:t>
                  </w:r>
                </w:p>
              </w:tc>
              <w:tc>
                <w:tcPr>
                  <w:tcW w:w="1879" w:type="pct"/>
                  <w:vAlign w:val="center"/>
                </w:tcPr>
                <w:p w14:paraId="6AD38856">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hint="eastAsia" w:eastAsia="宋体"/>
                      <w:b/>
                      <w:bCs/>
                      <w:color w:val="000000" w:themeColor="text1"/>
                      <w:sz w:val="18"/>
                      <w:szCs w:val="18"/>
                      <w14:textFill>
                        <w14:solidFill>
                          <w14:schemeClr w14:val="tx1"/>
                        </w14:solidFill>
                      </w14:textFill>
                    </w:rPr>
                    <w:t>项目废水排口排放标准</w:t>
                  </w:r>
                </w:p>
              </w:tc>
              <w:tc>
                <w:tcPr>
                  <w:tcW w:w="2234" w:type="pct"/>
                  <w:vAlign w:val="center"/>
                </w:tcPr>
                <w:p w14:paraId="50223929">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hint="eastAsia" w:eastAsia="宋体"/>
                      <w:b/>
                      <w:bCs/>
                      <w:color w:val="000000" w:themeColor="text1"/>
                      <w:sz w:val="18"/>
                      <w:szCs w:val="18"/>
                      <w14:textFill>
                        <w14:solidFill>
                          <w14:schemeClr w14:val="tx1"/>
                        </w14:solidFill>
                      </w14:textFill>
                    </w:rPr>
                    <w:t>金山工业园污水处理厂排放标准</w:t>
                  </w:r>
                </w:p>
              </w:tc>
            </w:tr>
            <w:tr w14:paraId="7B2B779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87" w:type="pct"/>
                  <w:vAlign w:val="center"/>
                </w:tcPr>
                <w:p w14:paraId="7B68E5ED">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eastAsia="宋体"/>
                      <w:snapToGrid w:val="0"/>
                      <w:color w:val="000000" w:themeColor="text1"/>
                      <w:sz w:val="18"/>
                      <w:szCs w:val="18"/>
                      <w14:textFill>
                        <w14:solidFill>
                          <w14:schemeClr w14:val="tx1"/>
                        </w14:solidFill>
                      </w14:textFill>
                    </w:rPr>
                    <w:t>pH</w:t>
                  </w:r>
                </w:p>
              </w:tc>
              <w:tc>
                <w:tcPr>
                  <w:tcW w:w="1879" w:type="pct"/>
                  <w:vAlign w:val="center"/>
                </w:tcPr>
                <w:p w14:paraId="0249BD3F">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eastAsia="宋体"/>
                      <w:snapToGrid w:val="0"/>
                      <w:color w:val="000000" w:themeColor="text1"/>
                      <w:sz w:val="18"/>
                      <w:szCs w:val="18"/>
                      <w14:textFill>
                        <w14:solidFill>
                          <w14:schemeClr w14:val="tx1"/>
                        </w14:solidFill>
                      </w14:textFill>
                    </w:rPr>
                    <w:t>6</w:t>
                  </w:r>
                  <w:r>
                    <w:rPr>
                      <w:rFonts w:eastAsia="宋体"/>
                      <w:color w:val="000000" w:themeColor="text1"/>
                      <w:kern w:val="10"/>
                      <w:sz w:val="18"/>
                      <w:szCs w:val="18"/>
                      <w14:textFill>
                        <w14:solidFill>
                          <w14:schemeClr w14:val="tx1"/>
                        </w14:solidFill>
                      </w14:textFill>
                    </w:rPr>
                    <w:t>～9</w:t>
                  </w:r>
                </w:p>
              </w:tc>
              <w:tc>
                <w:tcPr>
                  <w:tcW w:w="2234" w:type="pct"/>
                  <w:vAlign w:val="center"/>
                </w:tcPr>
                <w:p w14:paraId="61EDCF02">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eastAsia="宋体"/>
                      <w:snapToGrid w:val="0"/>
                      <w:color w:val="000000" w:themeColor="text1"/>
                      <w:sz w:val="18"/>
                      <w:szCs w:val="18"/>
                      <w14:textFill>
                        <w14:solidFill>
                          <w14:schemeClr w14:val="tx1"/>
                        </w14:solidFill>
                      </w14:textFill>
                    </w:rPr>
                    <w:t>6</w:t>
                  </w:r>
                  <w:r>
                    <w:rPr>
                      <w:rFonts w:eastAsia="宋体"/>
                      <w:color w:val="000000" w:themeColor="text1"/>
                      <w:kern w:val="10"/>
                      <w:sz w:val="18"/>
                      <w:szCs w:val="18"/>
                      <w14:textFill>
                        <w14:solidFill>
                          <w14:schemeClr w14:val="tx1"/>
                        </w14:solidFill>
                      </w14:textFill>
                    </w:rPr>
                    <w:t>～9</w:t>
                  </w:r>
                </w:p>
              </w:tc>
            </w:tr>
            <w:tr w14:paraId="6564223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87" w:type="pct"/>
                  <w:vAlign w:val="center"/>
                </w:tcPr>
                <w:p w14:paraId="4D98A47E">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eastAsia="宋体"/>
                      <w:snapToGrid w:val="0"/>
                      <w:color w:val="000000" w:themeColor="text1"/>
                      <w:sz w:val="18"/>
                      <w:szCs w:val="18"/>
                      <w14:textFill>
                        <w14:solidFill>
                          <w14:schemeClr w14:val="tx1"/>
                        </w14:solidFill>
                      </w14:textFill>
                    </w:rPr>
                    <w:t>CODcr</w:t>
                  </w:r>
                </w:p>
              </w:tc>
              <w:tc>
                <w:tcPr>
                  <w:tcW w:w="1879" w:type="pct"/>
                  <w:vAlign w:val="center"/>
                </w:tcPr>
                <w:p w14:paraId="73EB4352">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hint="eastAsia" w:eastAsia="宋体"/>
                      <w:snapToGrid w:val="0"/>
                      <w:color w:val="000000" w:themeColor="text1"/>
                      <w:sz w:val="18"/>
                      <w:szCs w:val="18"/>
                      <w14:textFill>
                        <w14:solidFill>
                          <w14:schemeClr w14:val="tx1"/>
                        </w14:solidFill>
                      </w14:textFill>
                    </w:rPr>
                    <w:t>500</w:t>
                  </w:r>
                </w:p>
              </w:tc>
              <w:tc>
                <w:tcPr>
                  <w:tcW w:w="2234" w:type="pct"/>
                  <w:vAlign w:val="center"/>
                </w:tcPr>
                <w:p w14:paraId="2382A0EB">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eastAsia="宋体"/>
                      <w:snapToGrid w:val="0"/>
                      <w:color w:val="000000" w:themeColor="text1"/>
                      <w:sz w:val="18"/>
                      <w:szCs w:val="18"/>
                      <w14:textFill>
                        <w14:solidFill>
                          <w14:schemeClr w14:val="tx1"/>
                        </w14:solidFill>
                      </w14:textFill>
                    </w:rPr>
                    <w:t>50</w:t>
                  </w:r>
                </w:p>
              </w:tc>
            </w:tr>
            <w:tr w14:paraId="5B04F3F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87" w:type="pct"/>
                  <w:vAlign w:val="center"/>
                </w:tcPr>
                <w:p w14:paraId="4D81D027">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eastAsia="宋体"/>
                      <w:snapToGrid w:val="0"/>
                      <w:color w:val="000000" w:themeColor="text1"/>
                      <w:sz w:val="18"/>
                      <w:szCs w:val="18"/>
                      <w14:textFill>
                        <w14:solidFill>
                          <w14:schemeClr w14:val="tx1"/>
                        </w14:solidFill>
                      </w14:textFill>
                    </w:rPr>
                    <w:t>BOD</w:t>
                  </w:r>
                  <w:r>
                    <w:rPr>
                      <w:rFonts w:eastAsia="宋体"/>
                      <w:snapToGrid w:val="0"/>
                      <w:color w:val="000000" w:themeColor="text1"/>
                      <w:sz w:val="18"/>
                      <w:szCs w:val="18"/>
                      <w:vertAlign w:val="subscript"/>
                      <w14:textFill>
                        <w14:solidFill>
                          <w14:schemeClr w14:val="tx1"/>
                        </w14:solidFill>
                      </w14:textFill>
                    </w:rPr>
                    <w:t>5</w:t>
                  </w:r>
                </w:p>
              </w:tc>
              <w:tc>
                <w:tcPr>
                  <w:tcW w:w="1879" w:type="pct"/>
                  <w:vAlign w:val="center"/>
                </w:tcPr>
                <w:p w14:paraId="081B5425">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hint="eastAsia" w:eastAsia="宋体"/>
                      <w:snapToGrid w:val="0"/>
                      <w:color w:val="000000" w:themeColor="text1"/>
                      <w:sz w:val="18"/>
                      <w:szCs w:val="18"/>
                      <w14:textFill>
                        <w14:solidFill>
                          <w14:schemeClr w14:val="tx1"/>
                        </w14:solidFill>
                      </w14:textFill>
                    </w:rPr>
                    <w:t>300</w:t>
                  </w:r>
                </w:p>
              </w:tc>
              <w:tc>
                <w:tcPr>
                  <w:tcW w:w="2234" w:type="pct"/>
                  <w:vAlign w:val="center"/>
                </w:tcPr>
                <w:p w14:paraId="1B77B91B">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eastAsia="宋体"/>
                      <w:snapToGrid w:val="0"/>
                      <w:color w:val="000000" w:themeColor="text1"/>
                      <w:sz w:val="18"/>
                      <w:szCs w:val="18"/>
                      <w14:textFill>
                        <w14:solidFill>
                          <w14:schemeClr w14:val="tx1"/>
                        </w14:solidFill>
                      </w14:textFill>
                    </w:rPr>
                    <w:t>10</w:t>
                  </w:r>
                </w:p>
              </w:tc>
            </w:tr>
            <w:tr w14:paraId="58C5BFD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87" w:type="pct"/>
                  <w:vAlign w:val="center"/>
                </w:tcPr>
                <w:p w14:paraId="6810E6B5">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eastAsia="宋体"/>
                      <w:snapToGrid w:val="0"/>
                      <w:color w:val="000000" w:themeColor="text1"/>
                      <w:sz w:val="18"/>
                      <w:szCs w:val="18"/>
                      <w14:textFill>
                        <w14:solidFill>
                          <w14:schemeClr w14:val="tx1"/>
                        </w14:solidFill>
                      </w14:textFill>
                    </w:rPr>
                    <w:t>SS</w:t>
                  </w:r>
                </w:p>
              </w:tc>
              <w:tc>
                <w:tcPr>
                  <w:tcW w:w="1879" w:type="pct"/>
                  <w:vAlign w:val="center"/>
                </w:tcPr>
                <w:p w14:paraId="6B6F97A0">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hint="eastAsia" w:eastAsia="宋体"/>
                      <w:snapToGrid w:val="0"/>
                      <w:color w:val="000000" w:themeColor="text1"/>
                      <w:sz w:val="18"/>
                      <w:szCs w:val="18"/>
                      <w14:textFill>
                        <w14:solidFill>
                          <w14:schemeClr w14:val="tx1"/>
                        </w14:solidFill>
                      </w14:textFill>
                    </w:rPr>
                    <w:t>40</w:t>
                  </w:r>
                  <w:r>
                    <w:rPr>
                      <w:rFonts w:eastAsia="宋体"/>
                      <w:snapToGrid w:val="0"/>
                      <w:color w:val="000000" w:themeColor="text1"/>
                      <w:sz w:val="18"/>
                      <w:szCs w:val="18"/>
                      <w14:textFill>
                        <w14:solidFill>
                          <w14:schemeClr w14:val="tx1"/>
                        </w14:solidFill>
                      </w14:textFill>
                    </w:rPr>
                    <w:t>0</w:t>
                  </w:r>
                </w:p>
              </w:tc>
              <w:tc>
                <w:tcPr>
                  <w:tcW w:w="2234" w:type="pct"/>
                  <w:vAlign w:val="center"/>
                </w:tcPr>
                <w:p w14:paraId="3318C837">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eastAsia="宋体"/>
                      <w:snapToGrid w:val="0"/>
                      <w:color w:val="000000" w:themeColor="text1"/>
                      <w:sz w:val="18"/>
                      <w:szCs w:val="18"/>
                      <w14:textFill>
                        <w14:solidFill>
                          <w14:schemeClr w14:val="tx1"/>
                        </w14:solidFill>
                      </w14:textFill>
                    </w:rPr>
                    <w:t>10</w:t>
                  </w:r>
                </w:p>
              </w:tc>
            </w:tr>
            <w:tr w14:paraId="3D33672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87" w:type="pct"/>
                  <w:vAlign w:val="center"/>
                </w:tcPr>
                <w:p w14:paraId="355CACF6">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eastAsia="宋体"/>
                      <w:snapToGrid w:val="0"/>
                      <w:color w:val="000000" w:themeColor="text1"/>
                      <w:sz w:val="18"/>
                      <w:szCs w:val="18"/>
                      <w14:textFill>
                        <w14:solidFill>
                          <w14:schemeClr w14:val="tx1"/>
                        </w14:solidFill>
                      </w14:textFill>
                    </w:rPr>
                    <w:t>NH</w:t>
                  </w:r>
                  <w:r>
                    <w:rPr>
                      <w:rFonts w:eastAsia="宋体"/>
                      <w:snapToGrid w:val="0"/>
                      <w:color w:val="000000" w:themeColor="text1"/>
                      <w:sz w:val="18"/>
                      <w:szCs w:val="18"/>
                      <w:vertAlign w:val="subscript"/>
                      <w14:textFill>
                        <w14:solidFill>
                          <w14:schemeClr w14:val="tx1"/>
                        </w14:solidFill>
                      </w14:textFill>
                    </w:rPr>
                    <w:t>3</w:t>
                  </w:r>
                  <w:r>
                    <w:rPr>
                      <w:rFonts w:eastAsia="宋体"/>
                      <w:snapToGrid w:val="0"/>
                      <w:color w:val="000000" w:themeColor="text1"/>
                      <w:sz w:val="18"/>
                      <w:szCs w:val="18"/>
                      <w14:textFill>
                        <w14:solidFill>
                          <w14:schemeClr w14:val="tx1"/>
                        </w14:solidFill>
                      </w14:textFill>
                    </w:rPr>
                    <w:t>-N</w:t>
                  </w:r>
                </w:p>
              </w:tc>
              <w:tc>
                <w:tcPr>
                  <w:tcW w:w="1879" w:type="pct"/>
                  <w:vAlign w:val="center"/>
                </w:tcPr>
                <w:p w14:paraId="3F6432C2">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hint="eastAsia" w:eastAsia="宋体"/>
                      <w:snapToGrid w:val="0"/>
                      <w:color w:val="000000" w:themeColor="text1"/>
                      <w:sz w:val="18"/>
                      <w:szCs w:val="18"/>
                      <w14:textFill>
                        <w14:solidFill>
                          <w14:schemeClr w14:val="tx1"/>
                        </w14:solidFill>
                      </w14:textFill>
                    </w:rPr>
                    <w:t>/</w:t>
                  </w:r>
                </w:p>
              </w:tc>
              <w:tc>
                <w:tcPr>
                  <w:tcW w:w="2234" w:type="pct"/>
                  <w:vAlign w:val="center"/>
                </w:tcPr>
                <w:p w14:paraId="01FC0AB5">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eastAsia="宋体"/>
                      <w:snapToGrid w:val="0"/>
                      <w:color w:val="000000" w:themeColor="text1"/>
                      <w:sz w:val="18"/>
                      <w:szCs w:val="18"/>
                      <w14:textFill>
                        <w14:solidFill>
                          <w14:schemeClr w14:val="tx1"/>
                        </w14:solidFill>
                      </w14:textFill>
                    </w:rPr>
                    <w:t>5</w:t>
                  </w:r>
                </w:p>
              </w:tc>
            </w:tr>
            <w:tr w14:paraId="78B493E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87" w:type="pct"/>
                  <w:vAlign w:val="center"/>
                </w:tcPr>
                <w:p w14:paraId="7808C26B">
                  <w:pPr>
                    <w:pStyle w:val="347"/>
                    <w:spacing w:line="240" w:lineRule="auto"/>
                    <w:ind w:firstLine="0" w:firstLineChars="0"/>
                    <w:jc w:val="center"/>
                    <w:rPr>
                      <w:rFonts w:eastAsia="宋体"/>
                      <w:snapToGrid w:val="0"/>
                      <w:color w:val="000000" w:themeColor="text1"/>
                      <w:sz w:val="18"/>
                      <w:szCs w:val="18"/>
                      <w14:textFill>
                        <w14:solidFill>
                          <w14:schemeClr w14:val="tx1"/>
                        </w14:solidFill>
                      </w14:textFill>
                    </w:rPr>
                  </w:pPr>
                  <w:r>
                    <w:rPr>
                      <w:rFonts w:hint="eastAsia" w:eastAsia="宋体"/>
                      <w:snapToGrid w:val="0"/>
                      <w:color w:val="000000" w:themeColor="text1"/>
                      <w:sz w:val="18"/>
                      <w:szCs w:val="18"/>
                      <w14:textFill>
                        <w14:solidFill>
                          <w14:schemeClr w14:val="tx1"/>
                        </w14:solidFill>
                      </w14:textFill>
                    </w:rPr>
                    <w:t>T</w:t>
                  </w:r>
                  <w:r>
                    <w:rPr>
                      <w:rFonts w:eastAsia="宋体"/>
                      <w:snapToGrid w:val="0"/>
                      <w:color w:val="000000" w:themeColor="text1"/>
                      <w:sz w:val="18"/>
                      <w:szCs w:val="18"/>
                      <w14:textFill>
                        <w14:solidFill>
                          <w14:schemeClr w14:val="tx1"/>
                        </w14:solidFill>
                      </w14:textFill>
                    </w:rPr>
                    <w:t>N</w:t>
                  </w:r>
                </w:p>
              </w:tc>
              <w:tc>
                <w:tcPr>
                  <w:tcW w:w="1879" w:type="pct"/>
                  <w:vAlign w:val="center"/>
                </w:tcPr>
                <w:p w14:paraId="03177AC3">
                  <w:pPr>
                    <w:pStyle w:val="347"/>
                    <w:spacing w:line="240" w:lineRule="auto"/>
                    <w:ind w:firstLine="0" w:firstLineChars="0"/>
                    <w:jc w:val="center"/>
                    <w:rPr>
                      <w:rFonts w:eastAsia="宋体"/>
                      <w:snapToGrid w:val="0"/>
                      <w:color w:val="000000" w:themeColor="text1"/>
                      <w:sz w:val="18"/>
                      <w:szCs w:val="18"/>
                      <w14:textFill>
                        <w14:solidFill>
                          <w14:schemeClr w14:val="tx1"/>
                        </w14:solidFill>
                      </w14:textFill>
                    </w:rPr>
                  </w:pPr>
                  <w:r>
                    <w:rPr>
                      <w:rFonts w:hint="eastAsia" w:eastAsia="宋体"/>
                      <w:snapToGrid w:val="0"/>
                      <w:color w:val="000000" w:themeColor="text1"/>
                      <w:sz w:val="18"/>
                      <w:szCs w:val="18"/>
                      <w14:textFill>
                        <w14:solidFill>
                          <w14:schemeClr w14:val="tx1"/>
                        </w14:solidFill>
                      </w14:textFill>
                    </w:rPr>
                    <w:t>/</w:t>
                  </w:r>
                </w:p>
              </w:tc>
              <w:tc>
                <w:tcPr>
                  <w:tcW w:w="2234" w:type="pct"/>
                  <w:vAlign w:val="center"/>
                </w:tcPr>
                <w:p w14:paraId="36CD2FEE">
                  <w:pPr>
                    <w:pStyle w:val="347"/>
                    <w:spacing w:line="240" w:lineRule="auto"/>
                    <w:ind w:firstLine="0" w:firstLineChars="0"/>
                    <w:jc w:val="center"/>
                    <w:rPr>
                      <w:rFonts w:eastAsia="宋体"/>
                      <w:snapToGrid w:val="0"/>
                      <w:color w:val="000000" w:themeColor="text1"/>
                      <w:sz w:val="18"/>
                      <w:szCs w:val="18"/>
                      <w14:textFill>
                        <w14:solidFill>
                          <w14:schemeClr w14:val="tx1"/>
                        </w14:solidFill>
                      </w14:textFill>
                    </w:rPr>
                  </w:pPr>
                  <w:r>
                    <w:rPr>
                      <w:rFonts w:hint="eastAsia" w:eastAsia="宋体"/>
                      <w:snapToGrid w:val="0"/>
                      <w:color w:val="000000" w:themeColor="text1"/>
                      <w:sz w:val="18"/>
                      <w:szCs w:val="18"/>
                      <w14:textFill>
                        <w14:solidFill>
                          <w14:schemeClr w14:val="tx1"/>
                        </w14:solidFill>
                      </w14:textFill>
                    </w:rPr>
                    <w:t>1</w:t>
                  </w:r>
                  <w:r>
                    <w:rPr>
                      <w:rFonts w:eastAsia="宋体"/>
                      <w:snapToGrid w:val="0"/>
                      <w:color w:val="000000" w:themeColor="text1"/>
                      <w:sz w:val="18"/>
                      <w:szCs w:val="18"/>
                      <w14:textFill>
                        <w14:solidFill>
                          <w14:schemeClr w14:val="tx1"/>
                        </w14:solidFill>
                      </w14:textFill>
                    </w:rPr>
                    <w:t>5</w:t>
                  </w:r>
                </w:p>
              </w:tc>
            </w:tr>
            <w:tr w14:paraId="6702225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87" w:type="pct"/>
                  <w:vAlign w:val="center"/>
                </w:tcPr>
                <w:p w14:paraId="429BF378">
                  <w:pPr>
                    <w:pStyle w:val="347"/>
                    <w:spacing w:line="240" w:lineRule="auto"/>
                    <w:ind w:firstLine="0" w:firstLineChars="0"/>
                    <w:jc w:val="center"/>
                    <w:rPr>
                      <w:rFonts w:eastAsia="宋体"/>
                      <w:snapToGrid w:val="0"/>
                      <w:color w:val="000000" w:themeColor="text1"/>
                      <w:sz w:val="18"/>
                      <w:szCs w:val="18"/>
                      <w14:textFill>
                        <w14:solidFill>
                          <w14:schemeClr w14:val="tx1"/>
                        </w14:solidFill>
                      </w14:textFill>
                    </w:rPr>
                  </w:pPr>
                  <w:r>
                    <w:rPr>
                      <w:rFonts w:hint="eastAsia" w:eastAsia="宋体"/>
                      <w:snapToGrid w:val="0"/>
                      <w:color w:val="000000" w:themeColor="text1"/>
                      <w:sz w:val="18"/>
                      <w:szCs w:val="18"/>
                      <w14:textFill>
                        <w14:solidFill>
                          <w14:schemeClr w14:val="tx1"/>
                        </w14:solidFill>
                      </w14:textFill>
                    </w:rPr>
                    <w:t>T</w:t>
                  </w:r>
                  <w:r>
                    <w:rPr>
                      <w:rFonts w:eastAsia="宋体"/>
                      <w:snapToGrid w:val="0"/>
                      <w:color w:val="000000" w:themeColor="text1"/>
                      <w:sz w:val="18"/>
                      <w:szCs w:val="18"/>
                      <w14:textFill>
                        <w14:solidFill>
                          <w14:schemeClr w14:val="tx1"/>
                        </w14:solidFill>
                      </w14:textFill>
                    </w:rPr>
                    <w:t>P</w:t>
                  </w:r>
                </w:p>
              </w:tc>
              <w:tc>
                <w:tcPr>
                  <w:tcW w:w="1879" w:type="pct"/>
                  <w:vAlign w:val="center"/>
                </w:tcPr>
                <w:p w14:paraId="73D80C8C">
                  <w:pPr>
                    <w:pStyle w:val="347"/>
                    <w:spacing w:line="240" w:lineRule="auto"/>
                    <w:ind w:firstLine="0" w:firstLineChars="0"/>
                    <w:jc w:val="center"/>
                    <w:rPr>
                      <w:rFonts w:eastAsia="宋体"/>
                      <w:snapToGrid w:val="0"/>
                      <w:color w:val="000000" w:themeColor="text1"/>
                      <w:sz w:val="18"/>
                      <w:szCs w:val="18"/>
                      <w14:textFill>
                        <w14:solidFill>
                          <w14:schemeClr w14:val="tx1"/>
                        </w14:solidFill>
                      </w14:textFill>
                    </w:rPr>
                  </w:pPr>
                  <w:r>
                    <w:rPr>
                      <w:rFonts w:hint="eastAsia" w:eastAsia="宋体"/>
                      <w:snapToGrid w:val="0"/>
                      <w:color w:val="000000" w:themeColor="text1"/>
                      <w:sz w:val="18"/>
                      <w:szCs w:val="18"/>
                      <w14:textFill>
                        <w14:solidFill>
                          <w14:schemeClr w14:val="tx1"/>
                        </w14:solidFill>
                      </w14:textFill>
                    </w:rPr>
                    <w:t>/</w:t>
                  </w:r>
                </w:p>
              </w:tc>
              <w:tc>
                <w:tcPr>
                  <w:tcW w:w="2234" w:type="pct"/>
                  <w:vAlign w:val="center"/>
                </w:tcPr>
                <w:p w14:paraId="42663B6A">
                  <w:pPr>
                    <w:pStyle w:val="347"/>
                    <w:spacing w:line="240" w:lineRule="auto"/>
                    <w:ind w:firstLine="0" w:firstLineChars="0"/>
                    <w:jc w:val="center"/>
                    <w:rPr>
                      <w:rFonts w:eastAsia="宋体"/>
                      <w:snapToGrid w:val="0"/>
                      <w:color w:val="000000" w:themeColor="text1"/>
                      <w:sz w:val="18"/>
                      <w:szCs w:val="18"/>
                      <w14:textFill>
                        <w14:solidFill>
                          <w14:schemeClr w14:val="tx1"/>
                        </w14:solidFill>
                      </w14:textFill>
                    </w:rPr>
                  </w:pPr>
                  <w:r>
                    <w:rPr>
                      <w:rFonts w:hint="eastAsia" w:eastAsia="宋体"/>
                      <w:snapToGrid w:val="0"/>
                      <w:color w:val="000000" w:themeColor="text1"/>
                      <w:sz w:val="18"/>
                      <w:szCs w:val="18"/>
                      <w14:textFill>
                        <w14:solidFill>
                          <w14:schemeClr w14:val="tx1"/>
                        </w14:solidFill>
                      </w14:textFill>
                    </w:rPr>
                    <w:t>0</w:t>
                  </w:r>
                  <w:r>
                    <w:rPr>
                      <w:rFonts w:eastAsia="宋体"/>
                      <w:snapToGrid w:val="0"/>
                      <w:color w:val="000000" w:themeColor="text1"/>
                      <w:sz w:val="18"/>
                      <w:szCs w:val="18"/>
                      <w14:textFill>
                        <w14:solidFill>
                          <w14:schemeClr w14:val="tx1"/>
                        </w14:solidFill>
                      </w14:textFill>
                    </w:rPr>
                    <w:t>.5</w:t>
                  </w:r>
                </w:p>
              </w:tc>
            </w:tr>
            <w:tr w14:paraId="061A871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87" w:type="pct"/>
                  <w:vAlign w:val="center"/>
                </w:tcPr>
                <w:p w14:paraId="7D800BF3">
                  <w:pPr>
                    <w:pStyle w:val="347"/>
                    <w:spacing w:line="240" w:lineRule="auto"/>
                    <w:ind w:firstLine="0" w:firstLineChars="0"/>
                    <w:jc w:val="center"/>
                    <w:rPr>
                      <w:rFonts w:hint="default" w:eastAsia="宋体"/>
                      <w:snapToGrid w:val="0"/>
                      <w:color w:val="000000" w:themeColor="text1"/>
                      <w:sz w:val="18"/>
                      <w:szCs w:val="18"/>
                      <w:lang w:val="en-US" w:eastAsia="zh-CN"/>
                      <w14:textFill>
                        <w14:solidFill>
                          <w14:schemeClr w14:val="tx1"/>
                        </w14:solidFill>
                      </w14:textFill>
                    </w:rPr>
                  </w:pPr>
                  <w:r>
                    <w:rPr>
                      <w:rFonts w:hint="eastAsia" w:eastAsia="宋体"/>
                      <w:snapToGrid w:val="0"/>
                      <w:color w:val="000000" w:themeColor="text1"/>
                      <w:sz w:val="18"/>
                      <w:szCs w:val="18"/>
                      <w:lang w:val="en-US" w:eastAsia="zh-CN"/>
                      <w14:textFill>
                        <w14:solidFill>
                          <w14:schemeClr w14:val="tx1"/>
                        </w14:solidFill>
                      </w14:textFill>
                    </w:rPr>
                    <w:t>动植物油</w:t>
                  </w:r>
                </w:p>
              </w:tc>
              <w:tc>
                <w:tcPr>
                  <w:tcW w:w="1879" w:type="pct"/>
                  <w:vAlign w:val="center"/>
                </w:tcPr>
                <w:p w14:paraId="5E0531F1">
                  <w:pPr>
                    <w:pStyle w:val="347"/>
                    <w:spacing w:line="240" w:lineRule="auto"/>
                    <w:ind w:firstLine="0" w:firstLineChars="0"/>
                    <w:jc w:val="center"/>
                    <w:rPr>
                      <w:rFonts w:hint="default" w:eastAsia="宋体"/>
                      <w:snapToGrid w:val="0"/>
                      <w:color w:val="000000" w:themeColor="text1"/>
                      <w:sz w:val="18"/>
                      <w:szCs w:val="18"/>
                      <w:lang w:val="en-US" w:eastAsia="zh-CN"/>
                      <w14:textFill>
                        <w14:solidFill>
                          <w14:schemeClr w14:val="tx1"/>
                        </w14:solidFill>
                      </w14:textFill>
                    </w:rPr>
                  </w:pPr>
                  <w:r>
                    <w:rPr>
                      <w:rFonts w:hint="eastAsia" w:eastAsia="宋体"/>
                      <w:snapToGrid w:val="0"/>
                      <w:color w:val="000000" w:themeColor="text1"/>
                      <w:sz w:val="18"/>
                      <w:szCs w:val="18"/>
                      <w:lang w:val="en-US" w:eastAsia="zh-CN"/>
                      <w14:textFill>
                        <w14:solidFill>
                          <w14:schemeClr w14:val="tx1"/>
                        </w14:solidFill>
                      </w14:textFill>
                    </w:rPr>
                    <w:t>100</w:t>
                  </w:r>
                </w:p>
              </w:tc>
              <w:tc>
                <w:tcPr>
                  <w:tcW w:w="2234" w:type="pct"/>
                  <w:vAlign w:val="center"/>
                </w:tcPr>
                <w:p w14:paraId="3CFC238F">
                  <w:pPr>
                    <w:pStyle w:val="347"/>
                    <w:spacing w:line="240" w:lineRule="auto"/>
                    <w:ind w:firstLine="0" w:firstLineChars="0"/>
                    <w:jc w:val="center"/>
                    <w:rPr>
                      <w:rFonts w:hint="default" w:eastAsia="宋体"/>
                      <w:snapToGrid w:val="0"/>
                      <w:color w:val="000000" w:themeColor="text1"/>
                      <w:sz w:val="18"/>
                      <w:szCs w:val="18"/>
                      <w:lang w:val="en-US" w:eastAsia="zh-CN"/>
                      <w14:textFill>
                        <w14:solidFill>
                          <w14:schemeClr w14:val="tx1"/>
                        </w14:solidFill>
                      </w14:textFill>
                    </w:rPr>
                  </w:pPr>
                  <w:r>
                    <w:rPr>
                      <w:rFonts w:hint="eastAsia" w:eastAsia="宋体"/>
                      <w:snapToGrid w:val="0"/>
                      <w:color w:val="000000" w:themeColor="text1"/>
                      <w:sz w:val="18"/>
                      <w:szCs w:val="18"/>
                      <w:lang w:val="en-US" w:eastAsia="zh-CN"/>
                      <w14:textFill>
                        <w14:solidFill>
                          <w14:schemeClr w14:val="tx1"/>
                        </w14:solidFill>
                      </w14:textFill>
                    </w:rPr>
                    <w:t>1.0</w:t>
                  </w:r>
                </w:p>
              </w:tc>
            </w:tr>
            <w:tr w14:paraId="6CC58D1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87" w:type="pct"/>
                  <w:vAlign w:val="center"/>
                </w:tcPr>
                <w:p w14:paraId="57ECD686">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eastAsia="宋体"/>
                      <w:snapToGrid w:val="0"/>
                      <w:color w:val="000000" w:themeColor="text1"/>
                      <w:sz w:val="18"/>
                      <w:szCs w:val="18"/>
                      <w14:textFill>
                        <w14:solidFill>
                          <w14:schemeClr w14:val="tx1"/>
                        </w14:solidFill>
                      </w14:textFill>
                    </w:rPr>
                    <w:t>执行标准</w:t>
                  </w:r>
                </w:p>
              </w:tc>
              <w:tc>
                <w:tcPr>
                  <w:tcW w:w="1879" w:type="pct"/>
                  <w:vAlign w:val="center"/>
                </w:tcPr>
                <w:p w14:paraId="33EEA7E0">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hint="eastAsia" w:eastAsia="宋体"/>
                      <w:color w:val="000000" w:themeColor="text1"/>
                      <w:sz w:val="18"/>
                      <w:szCs w:val="18"/>
                      <w14:textFill>
                        <w14:solidFill>
                          <w14:schemeClr w14:val="tx1"/>
                        </w14:solidFill>
                      </w14:textFill>
                    </w:rPr>
                    <w:t>（</w:t>
                  </w:r>
                  <w:r>
                    <w:rPr>
                      <w:rFonts w:eastAsia="宋体"/>
                      <w:color w:val="000000" w:themeColor="text1"/>
                      <w:sz w:val="18"/>
                      <w:szCs w:val="18"/>
                      <w14:textFill>
                        <w14:solidFill>
                          <w14:schemeClr w14:val="tx1"/>
                        </w14:solidFill>
                      </w14:textFill>
                    </w:rPr>
                    <w:t>GB 8978-1996</w:t>
                  </w:r>
                  <w:r>
                    <w:rPr>
                      <w:rFonts w:hint="eastAsia" w:eastAsia="宋体"/>
                      <w:color w:val="000000" w:themeColor="text1"/>
                      <w:sz w:val="18"/>
                      <w:szCs w:val="18"/>
                      <w14:textFill>
                        <w14:solidFill>
                          <w14:schemeClr w14:val="tx1"/>
                        </w14:solidFill>
                      </w14:textFill>
                    </w:rPr>
                    <w:t>）三级标准</w:t>
                  </w:r>
                </w:p>
              </w:tc>
              <w:tc>
                <w:tcPr>
                  <w:tcW w:w="2234" w:type="pct"/>
                  <w:vAlign w:val="center"/>
                </w:tcPr>
                <w:p w14:paraId="65AB0401">
                  <w:pPr>
                    <w:pStyle w:val="347"/>
                    <w:spacing w:line="240" w:lineRule="auto"/>
                    <w:ind w:firstLine="0" w:firstLineChars="0"/>
                    <w:jc w:val="center"/>
                    <w:rPr>
                      <w:rFonts w:eastAsia="宋体"/>
                      <w:color w:val="000000" w:themeColor="text1"/>
                      <w:sz w:val="18"/>
                      <w:szCs w:val="18"/>
                      <w14:textFill>
                        <w14:solidFill>
                          <w14:schemeClr w14:val="tx1"/>
                        </w14:solidFill>
                      </w14:textFill>
                    </w:rPr>
                  </w:pPr>
                  <w:r>
                    <w:rPr>
                      <w:rFonts w:eastAsia="宋体"/>
                      <w:color w:val="000000" w:themeColor="text1"/>
                      <w:sz w:val="18"/>
                      <w:szCs w:val="18"/>
                      <w14:textFill>
                        <w14:solidFill>
                          <w14:schemeClr w14:val="tx1"/>
                        </w14:solidFill>
                      </w14:textFill>
                    </w:rPr>
                    <w:t>《城镇污水处理厂污染物排放标准》（GB18918-2002）一级A标准</w:t>
                  </w:r>
                </w:p>
              </w:tc>
            </w:tr>
          </w:tbl>
          <w:p w14:paraId="71C215A0">
            <w:pPr>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表</w:t>
            </w:r>
            <w:r>
              <w:rPr>
                <w:rFonts w:hint="eastAsia"/>
                <w:b/>
                <w:color w:val="000000" w:themeColor="text1"/>
                <w:sz w:val="24"/>
                <w14:textFill>
                  <w14:solidFill>
                    <w14:schemeClr w14:val="tx1"/>
                  </w14:solidFill>
                </w14:textFill>
              </w:rPr>
              <w:t>3-5</w:t>
            </w:r>
            <w:r>
              <w:rPr>
                <w:b/>
                <w:color w:val="000000" w:themeColor="text1"/>
                <w:sz w:val="24"/>
                <w14:textFill>
                  <w14:solidFill>
                    <w14:schemeClr w14:val="tx1"/>
                  </w14:solidFill>
                </w14:textFill>
              </w:rPr>
              <w:t xml:space="preserve">   </w:t>
            </w:r>
            <w:r>
              <w:rPr>
                <w:rFonts w:hint="eastAsia"/>
                <w:b/>
                <w:color w:val="000000" w:themeColor="text1"/>
                <w:sz w:val="24"/>
                <w14:textFill>
                  <w14:solidFill>
                    <w14:schemeClr w14:val="tx1"/>
                  </w14:solidFill>
                </w14:textFill>
              </w:rPr>
              <w:t>废水回用</w:t>
            </w:r>
            <w:r>
              <w:rPr>
                <w:b/>
                <w:color w:val="000000" w:themeColor="text1"/>
                <w:sz w:val="24"/>
                <w14:textFill>
                  <w14:solidFill>
                    <w14:schemeClr w14:val="tx1"/>
                  </w14:solidFill>
                </w14:textFill>
              </w:rPr>
              <w:t>标准（单位：mg/L）</w:t>
            </w:r>
          </w:p>
          <w:tbl>
            <w:tblPr>
              <w:tblStyle w:val="45"/>
              <w:tblW w:w="4998"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889"/>
              <w:gridCol w:w="3610"/>
              <w:gridCol w:w="3608"/>
            </w:tblGrid>
            <w:tr w14:paraId="1A54886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1037" w:type="pct"/>
                  <w:vAlign w:val="center"/>
                </w:tcPr>
                <w:p w14:paraId="3DC4818D">
                  <w:pPr>
                    <w:jc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污染物</w:t>
                  </w:r>
                </w:p>
              </w:tc>
              <w:tc>
                <w:tcPr>
                  <w:tcW w:w="1982" w:type="pct"/>
                  <w:vAlign w:val="center"/>
                </w:tcPr>
                <w:p w14:paraId="36AAE3C0">
                  <w:pPr>
                    <w:jc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排放浓度</w:t>
                  </w:r>
                </w:p>
              </w:tc>
              <w:tc>
                <w:tcPr>
                  <w:tcW w:w="1981" w:type="pct"/>
                  <w:vAlign w:val="center"/>
                </w:tcPr>
                <w:p w14:paraId="54F01B4F">
                  <w:pPr>
                    <w:jc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标准来源</w:t>
                  </w:r>
                </w:p>
              </w:tc>
            </w:tr>
            <w:tr w14:paraId="530439E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1037" w:type="pct"/>
                  <w:vAlign w:val="center"/>
                </w:tcPr>
                <w:p w14:paraId="3800D38C">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BOD</w:t>
                  </w:r>
                  <w:r>
                    <w:rPr>
                      <w:color w:val="000000" w:themeColor="text1"/>
                      <w:sz w:val="18"/>
                      <w:szCs w:val="18"/>
                      <w:vertAlign w:val="subscript"/>
                      <w14:textFill>
                        <w14:solidFill>
                          <w14:schemeClr w14:val="tx1"/>
                        </w14:solidFill>
                      </w14:textFill>
                    </w:rPr>
                    <w:t>5</w:t>
                  </w:r>
                </w:p>
              </w:tc>
              <w:tc>
                <w:tcPr>
                  <w:tcW w:w="1982" w:type="pct"/>
                  <w:vAlign w:val="center"/>
                </w:tcPr>
                <w:p w14:paraId="12C06154">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≤10</w:t>
                  </w:r>
                </w:p>
              </w:tc>
              <w:tc>
                <w:tcPr>
                  <w:tcW w:w="1981" w:type="pct"/>
                  <w:vMerge w:val="restart"/>
                  <w:vAlign w:val="center"/>
                </w:tcPr>
                <w:p w14:paraId="79628138">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《城市污水再生利用 工业用水水质》（GB/T19923-2024）</w:t>
                  </w:r>
                  <w:r>
                    <w:rPr>
                      <w:rFonts w:hint="eastAsia"/>
                      <w:bCs/>
                      <w:color w:val="000000" w:themeColor="text1"/>
                      <w:sz w:val="18"/>
                      <w:szCs w:val="18"/>
                      <w14:textFill>
                        <w14:solidFill>
                          <w14:schemeClr w14:val="tx1"/>
                        </w14:solidFill>
                      </w14:textFill>
                    </w:rPr>
                    <w:t>表1洗涤用水</w:t>
                  </w:r>
                </w:p>
              </w:tc>
            </w:tr>
            <w:tr w14:paraId="13E3A69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1037" w:type="pct"/>
                  <w:vAlign w:val="center"/>
                </w:tcPr>
                <w:p w14:paraId="642E36CC">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C</w:t>
                  </w:r>
                  <w:r>
                    <w:rPr>
                      <w:color w:val="000000" w:themeColor="text1"/>
                      <w:sz w:val="18"/>
                      <w:szCs w:val="18"/>
                      <w14:textFill>
                        <w14:solidFill>
                          <w14:schemeClr w14:val="tx1"/>
                        </w14:solidFill>
                      </w14:textFill>
                    </w:rPr>
                    <w:t>OD</w:t>
                  </w:r>
                </w:p>
              </w:tc>
              <w:tc>
                <w:tcPr>
                  <w:tcW w:w="1982" w:type="pct"/>
                  <w:vAlign w:val="center"/>
                </w:tcPr>
                <w:p w14:paraId="5BF90ED1">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5</w:t>
                  </w:r>
                  <w:r>
                    <w:rPr>
                      <w:color w:val="000000" w:themeColor="text1"/>
                      <w:sz w:val="18"/>
                      <w:szCs w:val="18"/>
                      <w14:textFill>
                        <w14:solidFill>
                          <w14:schemeClr w14:val="tx1"/>
                        </w14:solidFill>
                      </w14:textFill>
                    </w:rPr>
                    <w:t>0</w:t>
                  </w:r>
                </w:p>
              </w:tc>
              <w:tc>
                <w:tcPr>
                  <w:tcW w:w="1981" w:type="pct"/>
                  <w:vMerge w:val="continue"/>
                  <w:vAlign w:val="center"/>
                </w:tcPr>
                <w:p w14:paraId="7CBA588A">
                  <w:pPr>
                    <w:jc w:val="center"/>
                    <w:rPr>
                      <w:color w:val="000000" w:themeColor="text1"/>
                      <w:sz w:val="18"/>
                      <w:szCs w:val="18"/>
                      <w14:textFill>
                        <w14:solidFill>
                          <w14:schemeClr w14:val="tx1"/>
                        </w14:solidFill>
                      </w14:textFill>
                    </w:rPr>
                  </w:pPr>
                </w:p>
              </w:tc>
            </w:tr>
            <w:tr w14:paraId="1556DB6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PrEx>
              <w:trPr>
                <w:trHeight w:val="227" w:hRule="atLeast"/>
                <w:jc w:val="center"/>
              </w:trPr>
              <w:tc>
                <w:tcPr>
                  <w:tcW w:w="1037" w:type="pct"/>
                  <w:vAlign w:val="center"/>
                </w:tcPr>
                <w:p w14:paraId="1F79A2AE">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Cl</w:t>
                  </w:r>
                  <w:r>
                    <w:rPr>
                      <w:color w:val="000000" w:themeColor="text1"/>
                      <w:sz w:val="18"/>
                      <w:szCs w:val="18"/>
                      <w:vertAlign w:val="superscript"/>
                      <w14:textFill>
                        <w14:solidFill>
                          <w14:schemeClr w14:val="tx1"/>
                        </w14:solidFill>
                      </w14:textFill>
                    </w:rPr>
                    <w:t>-</w:t>
                  </w:r>
                </w:p>
              </w:tc>
              <w:tc>
                <w:tcPr>
                  <w:tcW w:w="1982" w:type="pct"/>
                  <w:vAlign w:val="center"/>
                </w:tcPr>
                <w:p w14:paraId="1862A1D0">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40</w:t>
                  </w:r>
                  <w:r>
                    <w:rPr>
                      <w:color w:val="000000" w:themeColor="text1"/>
                      <w:sz w:val="18"/>
                      <w:szCs w:val="18"/>
                      <w14:textFill>
                        <w14:solidFill>
                          <w14:schemeClr w14:val="tx1"/>
                        </w14:solidFill>
                      </w14:textFill>
                    </w:rPr>
                    <w:t>0</w:t>
                  </w:r>
                </w:p>
              </w:tc>
              <w:tc>
                <w:tcPr>
                  <w:tcW w:w="1981" w:type="pct"/>
                  <w:vMerge w:val="continue"/>
                  <w:vAlign w:val="center"/>
                </w:tcPr>
                <w:p w14:paraId="1AE66FAC">
                  <w:pPr>
                    <w:jc w:val="center"/>
                    <w:rPr>
                      <w:color w:val="000000" w:themeColor="text1"/>
                      <w:sz w:val="18"/>
                      <w:szCs w:val="18"/>
                      <w14:textFill>
                        <w14:solidFill>
                          <w14:schemeClr w14:val="tx1"/>
                        </w14:solidFill>
                      </w14:textFill>
                    </w:rPr>
                  </w:pPr>
                </w:p>
              </w:tc>
            </w:tr>
            <w:tr w14:paraId="21AAFBC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1037" w:type="pct"/>
                  <w:vAlign w:val="center"/>
                </w:tcPr>
                <w:p w14:paraId="402C9214">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SO</w:t>
                  </w:r>
                  <w:r>
                    <w:rPr>
                      <w:color w:val="000000" w:themeColor="text1"/>
                      <w:sz w:val="18"/>
                      <w:szCs w:val="18"/>
                      <w:vertAlign w:val="subscript"/>
                      <w14:textFill>
                        <w14:solidFill>
                          <w14:schemeClr w14:val="tx1"/>
                        </w14:solidFill>
                      </w14:textFill>
                    </w:rPr>
                    <w:t>4</w:t>
                  </w:r>
                  <w:r>
                    <w:rPr>
                      <w:color w:val="000000" w:themeColor="text1"/>
                      <w:sz w:val="18"/>
                      <w:szCs w:val="18"/>
                      <w:vertAlign w:val="superscript"/>
                      <w14:textFill>
                        <w14:solidFill>
                          <w14:schemeClr w14:val="tx1"/>
                        </w14:solidFill>
                      </w14:textFill>
                    </w:rPr>
                    <w:t>2-</w:t>
                  </w:r>
                  <w:r>
                    <w:rPr>
                      <w:color w:val="000000" w:themeColor="text1"/>
                      <w:sz w:val="18"/>
                      <w:szCs w:val="18"/>
                      <w14:textFill>
                        <w14:solidFill>
                          <w14:schemeClr w14:val="tx1"/>
                        </w14:solidFill>
                      </w14:textFill>
                    </w:rPr>
                    <w:t>（mg/L）</w:t>
                  </w:r>
                </w:p>
              </w:tc>
              <w:tc>
                <w:tcPr>
                  <w:tcW w:w="1982" w:type="pct"/>
                  <w:vAlign w:val="center"/>
                </w:tcPr>
                <w:p w14:paraId="08ECECED">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60</w:t>
                  </w:r>
                  <w:r>
                    <w:rPr>
                      <w:color w:val="000000" w:themeColor="text1"/>
                      <w:sz w:val="18"/>
                      <w:szCs w:val="18"/>
                      <w14:textFill>
                        <w14:solidFill>
                          <w14:schemeClr w14:val="tx1"/>
                        </w14:solidFill>
                      </w14:textFill>
                    </w:rPr>
                    <w:t>0</w:t>
                  </w:r>
                </w:p>
              </w:tc>
              <w:tc>
                <w:tcPr>
                  <w:tcW w:w="1981" w:type="pct"/>
                  <w:vMerge w:val="continue"/>
                  <w:vAlign w:val="center"/>
                </w:tcPr>
                <w:p w14:paraId="0449E38B">
                  <w:pPr>
                    <w:jc w:val="center"/>
                    <w:rPr>
                      <w:color w:val="000000" w:themeColor="text1"/>
                      <w:sz w:val="18"/>
                      <w:szCs w:val="18"/>
                      <w14:textFill>
                        <w14:solidFill>
                          <w14:schemeClr w14:val="tx1"/>
                        </w14:solidFill>
                      </w14:textFill>
                    </w:rPr>
                  </w:pPr>
                </w:p>
              </w:tc>
            </w:tr>
            <w:tr w14:paraId="00207A1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1037" w:type="pct"/>
                  <w:vAlign w:val="center"/>
                </w:tcPr>
                <w:p w14:paraId="3788CDB1">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溶解性总固体</w:t>
                  </w:r>
                </w:p>
              </w:tc>
              <w:tc>
                <w:tcPr>
                  <w:tcW w:w="1982" w:type="pct"/>
                  <w:vAlign w:val="center"/>
                </w:tcPr>
                <w:p w14:paraId="1647CA15">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r>
                    <w:rPr>
                      <w:rFonts w:hint="eastAsia"/>
                      <w:color w:val="000000" w:themeColor="text1"/>
                      <w:sz w:val="18"/>
                      <w:szCs w:val="18"/>
                      <w14:textFill>
                        <w14:solidFill>
                          <w14:schemeClr w14:val="tx1"/>
                        </w14:solidFill>
                      </w14:textFill>
                    </w:rPr>
                    <w:t>5</w:t>
                  </w:r>
                  <w:r>
                    <w:rPr>
                      <w:color w:val="000000" w:themeColor="text1"/>
                      <w:sz w:val="18"/>
                      <w:szCs w:val="18"/>
                      <w14:textFill>
                        <w14:solidFill>
                          <w14:schemeClr w14:val="tx1"/>
                        </w14:solidFill>
                      </w14:textFill>
                    </w:rPr>
                    <w:t>00</w:t>
                  </w:r>
                </w:p>
              </w:tc>
              <w:tc>
                <w:tcPr>
                  <w:tcW w:w="1981" w:type="pct"/>
                  <w:vMerge w:val="continue"/>
                  <w:vAlign w:val="center"/>
                </w:tcPr>
                <w:p w14:paraId="5B2045BE">
                  <w:pPr>
                    <w:jc w:val="center"/>
                    <w:rPr>
                      <w:color w:val="000000" w:themeColor="text1"/>
                      <w:sz w:val="18"/>
                      <w:szCs w:val="18"/>
                      <w14:textFill>
                        <w14:solidFill>
                          <w14:schemeClr w14:val="tx1"/>
                        </w14:solidFill>
                      </w14:textFill>
                    </w:rPr>
                  </w:pPr>
                </w:p>
              </w:tc>
            </w:tr>
          </w:tbl>
          <w:p w14:paraId="78F9A08B">
            <w:pPr>
              <w:pStyle w:val="347"/>
              <w:ind w:firstLine="482"/>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二、废气</w:t>
            </w:r>
            <w:r>
              <w:rPr>
                <w:rFonts w:hint="eastAsia" w:eastAsia="宋体"/>
                <w:b/>
                <w:bCs/>
                <w:color w:val="000000" w:themeColor="text1"/>
                <w14:textFill>
                  <w14:solidFill>
                    <w14:schemeClr w14:val="tx1"/>
                  </w14:solidFill>
                </w14:textFill>
              </w:rPr>
              <w:t>污染物</w:t>
            </w:r>
            <w:r>
              <w:rPr>
                <w:rFonts w:eastAsia="宋体"/>
                <w:b/>
                <w:bCs/>
                <w:color w:val="000000" w:themeColor="text1"/>
                <w14:textFill>
                  <w14:solidFill>
                    <w14:schemeClr w14:val="tx1"/>
                  </w14:solidFill>
                </w14:textFill>
              </w:rPr>
              <w:t>排放标准</w:t>
            </w:r>
          </w:p>
          <w:p w14:paraId="1B90F7ED">
            <w:pPr>
              <w:snapToGrid w:val="0"/>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施工期粉尘颗粒物无组织排放浓度执行《大气污染物综合排放标准》（GB16297-1996）表2新污染源大气污染物排放限值中无组织排放监控浓度限值要求：颗粒物1.0mg/m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w:t>
            </w:r>
          </w:p>
          <w:p w14:paraId="2383F187">
            <w:pPr>
              <w:snapToGrid w:val="0"/>
              <w:spacing w:line="360" w:lineRule="auto"/>
              <w:ind w:firstLine="480" w:firstLineChars="200"/>
              <w:jc w:val="left"/>
              <w:rPr>
                <w:b/>
                <w:bCs/>
                <w:color w:val="000000" w:themeColor="text1"/>
                <w:spacing w:val="-3"/>
                <w:sz w:val="24"/>
                <w14:textFill>
                  <w14:solidFill>
                    <w14:schemeClr w14:val="tx1"/>
                  </w14:solidFill>
                </w14:textFill>
              </w:rPr>
            </w:pPr>
            <w:r>
              <w:rPr>
                <w:color w:val="000000" w:themeColor="text1"/>
                <w:sz w:val="24"/>
                <w14:textFill>
                  <w14:solidFill>
                    <w14:schemeClr w14:val="tx1"/>
                  </w14:solidFill>
                </w14:textFill>
              </w:rPr>
              <w:t>项目营运期间产生的废气主要为</w:t>
            </w:r>
            <w:r>
              <w:rPr>
                <w:rFonts w:hint="eastAsia"/>
                <w:color w:val="000000" w:themeColor="text1"/>
                <w:sz w:val="24"/>
                <w14:textFill>
                  <w14:solidFill>
                    <w14:schemeClr w14:val="tx1"/>
                  </w14:solidFill>
                </w14:textFill>
              </w:rPr>
              <w:t>破碎、筛分粉尘、投料粉尘、堆场扬尘、车辆运输动力起尘、传送带输送粉尘、筒仓呼吸粉尘、搅拌粉尘和食堂油烟；破碎、筛分粉尘、</w:t>
            </w:r>
            <w:r>
              <w:rPr>
                <w:rFonts w:hint="eastAsia"/>
                <w:bCs/>
                <w:color w:val="000000" w:themeColor="text1"/>
                <w:sz w:val="24"/>
                <w14:textFill>
                  <w14:solidFill>
                    <w14:schemeClr w14:val="tx1"/>
                  </w14:solidFill>
                </w14:textFill>
              </w:rPr>
              <w:t>投料粉尘、</w:t>
            </w:r>
            <w:r>
              <w:rPr>
                <w:rFonts w:hint="eastAsia"/>
                <w:color w:val="000000" w:themeColor="text1"/>
                <w:sz w:val="24"/>
                <w14:textFill>
                  <w14:solidFill>
                    <w14:schemeClr w14:val="tx1"/>
                  </w14:solidFill>
                </w14:textFill>
              </w:rPr>
              <w:t>搅拌粉尘、堆场扬尘经洒水抑尘处理后无组织排放，车辆运输动力起尘经洒水抑尘处理后无组织排排放，传送带输送粉尘经</w:t>
            </w:r>
            <w:r>
              <w:rPr>
                <w:rFonts w:hint="eastAsia"/>
                <w:bCs/>
                <w:color w:val="000000" w:themeColor="text1"/>
                <w:sz w:val="24"/>
                <w14:textFill>
                  <w14:solidFill>
                    <w14:schemeClr w14:val="tx1"/>
                  </w14:solidFill>
                </w14:textFill>
              </w:rPr>
              <w:t>密闭传送处理后无组织排放</w:t>
            </w:r>
            <w:r>
              <w:rPr>
                <w:rFonts w:hint="eastAsia"/>
                <w:color w:val="000000" w:themeColor="text1"/>
                <w:sz w:val="24"/>
                <w14:textFill>
                  <w14:solidFill>
                    <w14:schemeClr w14:val="tx1"/>
                  </w14:solidFill>
                </w14:textFill>
              </w:rPr>
              <w:t>，筒仓呼吸粉尘通过脉冲布袋除尘器去除，</w:t>
            </w:r>
            <w:r>
              <w:rPr>
                <w:color w:val="000000" w:themeColor="text1"/>
                <w:spacing w:val="-3"/>
                <w:sz w:val="24"/>
                <w14:textFill>
                  <w14:solidFill>
                    <w14:schemeClr w14:val="tx1"/>
                  </w14:solidFill>
                </w14:textFill>
              </w:rPr>
              <w:t>主要污染因子为颗粒物，均为无组织排放</w:t>
            </w:r>
            <w:r>
              <w:rPr>
                <w:rFonts w:hint="eastAsia"/>
                <w:color w:val="000000" w:themeColor="text1"/>
                <w:spacing w:val="-3"/>
                <w:sz w:val="24"/>
                <w14:textFill>
                  <w14:solidFill>
                    <w14:schemeClr w14:val="tx1"/>
                  </w14:solidFill>
                </w14:textFill>
              </w:rPr>
              <w:t>，</w:t>
            </w:r>
            <w:r>
              <w:rPr>
                <w:color w:val="000000" w:themeColor="text1"/>
                <w:spacing w:val="-3"/>
                <w:sz w:val="24"/>
                <w14:textFill>
                  <w14:solidFill>
                    <w14:schemeClr w14:val="tx1"/>
                  </w14:solidFill>
                </w14:textFill>
              </w:rPr>
              <w:t>排放浓度执行《</w:t>
            </w:r>
            <w:r>
              <w:rPr>
                <w:rFonts w:hint="eastAsia"/>
                <w:color w:val="000000" w:themeColor="text1"/>
                <w:spacing w:val="-3"/>
                <w:sz w:val="24"/>
                <w14:textFill>
                  <w14:solidFill>
                    <w14:schemeClr w14:val="tx1"/>
                  </w14:solidFill>
                </w14:textFill>
              </w:rPr>
              <w:t>水泥工业大气污染物排放标准</w:t>
            </w:r>
            <w:r>
              <w:rPr>
                <w:color w:val="000000" w:themeColor="text1"/>
                <w:spacing w:val="-3"/>
                <w:sz w:val="24"/>
                <w14:textFill>
                  <w14:solidFill>
                    <w14:schemeClr w14:val="tx1"/>
                  </w14:solidFill>
                </w14:textFill>
              </w:rPr>
              <w:t>》（</w:t>
            </w:r>
            <w:r>
              <w:rPr>
                <w:rFonts w:hint="eastAsia"/>
                <w:color w:val="000000" w:themeColor="text1"/>
                <w:spacing w:val="-3"/>
                <w:sz w:val="24"/>
                <w14:textFill>
                  <w14:solidFill>
                    <w14:schemeClr w14:val="tx1"/>
                  </w14:solidFill>
                </w14:textFill>
              </w:rPr>
              <w:t>GB 4915-2013</w:t>
            </w:r>
            <w:r>
              <w:rPr>
                <w:color w:val="000000" w:themeColor="text1"/>
                <w:spacing w:val="-3"/>
                <w:sz w:val="24"/>
                <w14:textFill>
                  <w14:solidFill>
                    <w14:schemeClr w14:val="tx1"/>
                  </w14:solidFill>
                </w14:textFill>
              </w:rPr>
              <w:t>）表</w:t>
            </w:r>
            <w:r>
              <w:rPr>
                <w:rFonts w:hint="eastAsia"/>
                <w:color w:val="000000" w:themeColor="text1"/>
                <w:spacing w:val="-3"/>
                <w:sz w:val="24"/>
                <w14:textFill>
                  <w14:solidFill>
                    <w14:schemeClr w14:val="tx1"/>
                  </w14:solidFill>
                </w14:textFill>
              </w:rPr>
              <w:t>3</w:t>
            </w:r>
            <w:r>
              <w:rPr>
                <w:color w:val="000000" w:themeColor="text1"/>
                <w:spacing w:val="-3"/>
                <w:sz w:val="24"/>
                <w14:textFill>
                  <w14:solidFill>
                    <w14:schemeClr w14:val="tx1"/>
                  </w14:solidFill>
                </w14:textFill>
              </w:rPr>
              <w:t>中无组织排放标准要求</w:t>
            </w:r>
            <w:r>
              <w:rPr>
                <w:rFonts w:hint="eastAsia"/>
                <w:color w:val="000000" w:themeColor="text1"/>
                <w:spacing w:val="-3"/>
                <w:sz w:val="24"/>
                <w14:textFill>
                  <w14:solidFill>
                    <w14:schemeClr w14:val="tx1"/>
                  </w14:solidFill>
                </w14:textFill>
              </w:rPr>
              <w:t>。</w:t>
            </w:r>
            <w:r>
              <w:rPr>
                <w:rFonts w:hint="eastAsia"/>
                <w:color w:val="000000" w:themeColor="text1"/>
                <w:sz w:val="24"/>
                <w14:textFill>
                  <w14:solidFill>
                    <w14:schemeClr w14:val="tx1"/>
                  </w14:solidFill>
                </w14:textFill>
              </w:rPr>
              <w:t>食堂油烟经油烟净化器处理后无组织排放</w:t>
            </w:r>
            <w:r>
              <w:rPr>
                <w:color w:val="000000" w:themeColor="text1"/>
                <w:spacing w:val="-3"/>
                <w:sz w:val="24"/>
                <w14:textFill>
                  <w14:solidFill>
                    <w14:schemeClr w14:val="tx1"/>
                  </w14:solidFill>
                </w14:textFill>
              </w:rPr>
              <w:t>，</w:t>
            </w:r>
            <w:r>
              <w:rPr>
                <w:rFonts w:hint="eastAsia"/>
                <w:color w:val="000000" w:themeColor="text1"/>
                <w:spacing w:val="-3"/>
                <w:sz w:val="24"/>
                <w14:textFill>
                  <w14:solidFill>
                    <w14:schemeClr w14:val="tx1"/>
                  </w14:solidFill>
                </w14:textFill>
              </w:rPr>
              <w:t>执行《饮食业油烟排放标准（试行）》（GB18483-2001）中小型灶头标准。</w:t>
            </w:r>
          </w:p>
          <w:p w14:paraId="17D584E3">
            <w:pPr>
              <w:adjustRightInd w:val="0"/>
              <w:snapToGrid w:val="0"/>
              <w:jc w:val="center"/>
              <w:rPr>
                <w:b/>
                <w:bCs/>
                <w:color w:val="000000" w:themeColor="text1"/>
                <w:sz w:val="24"/>
                <w:lang w:val="zh-CN"/>
                <w14:textFill>
                  <w14:solidFill>
                    <w14:schemeClr w14:val="tx1"/>
                  </w14:solidFill>
                </w14:textFill>
              </w:rPr>
            </w:pPr>
            <w:r>
              <w:rPr>
                <w:b/>
                <w:bCs/>
                <w:color w:val="000000" w:themeColor="text1"/>
                <w:sz w:val="24"/>
                <w:lang w:val="zh-CN"/>
                <w14:textFill>
                  <w14:solidFill>
                    <w14:schemeClr w14:val="tx1"/>
                  </w14:solidFill>
                </w14:textFill>
              </w:rPr>
              <w:t>表3-</w:t>
            </w:r>
            <w:r>
              <w:rPr>
                <w:rFonts w:hint="eastAsia"/>
                <w:b/>
                <w:bCs/>
                <w:color w:val="000000" w:themeColor="text1"/>
                <w:sz w:val="24"/>
                <w:lang w:val="zh-CN"/>
                <w14:textFill>
                  <w14:solidFill>
                    <w14:schemeClr w14:val="tx1"/>
                  </w14:solidFill>
                </w14:textFill>
              </w:rPr>
              <w:t>6</w:t>
            </w:r>
            <w:r>
              <w:rPr>
                <w:b/>
                <w:bCs/>
                <w:color w:val="000000" w:themeColor="text1"/>
                <w:sz w:val="24"/>
                <w:lang w:val="zh-CN"/>
                <w14:textFill>
                  <w14:solidFill>
                    <w14:schemeClr w14:val="tx1"/>
                  </w14:solidFill>
                </w14:textFill>
              </w:rPr>
              <w:t xml:space="preserve">  </w:t>
            </w:r>
            <w:r>
              <w:rPr>
                <w:rFonts w:hint="eastAsia"/>
                <w:b/>
                <w:bCs/>
                <w:color w:val="000000" w:themeColor="text1"/>
                <w:sz w:val="24"/>
                <w:lang w:val="zh-CN"/>
                <w14:textFill>
                  <w14:solidFill>
                    <w14:schemeClr w14:val="tx1"/>
                  </w14:solidFill>
                </w14:textFill>
              </w:rPr>
              <w:t>本项目废气排放标准 （mg/m³）</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859"/>
              <w:gridCol w:w="1325"/>
              <w:gridCol w:w="3035"/>
              <w:gridCol w:w="2892"/>
            </w:tblGrid>
            <w:tr w14:paraId="24967A3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227" w:hRule="atLeast"/>
                <w:jc w:val="center"/>
              </w:trPr>
              <w:tc>
                <w:tcPr>
                  <w:tcW w:w="1020" w:type="pct"/>
                  <w:vAlign w:val="center"/>
                </w:tcPr>
                <w:p w14:paraId="7557BED2">
                  <w:pPr>
                    <w:jc w:val="center"/>
                    <w:rPr>
                      <w:b/>
                      <w:bCs/>
                      <w:color w:val="000000" w:themeColor="text1"/>
                      <w:sz w:val="18"/>
                      <w:szCs w:val="18"/>
                      <w14:textFill>
                        <w14:solidFill>
                          <w14:schemeClr w14:val="tx1"/>
                        </w14:solidFill>
                      </w14:textFill>
                    </w:rPr>
                  </w:pPr>
                  <w:bookmarkStart w:id="48" w:name="_Hlk20649499"/>
                  <w:r>
                    <w:rPr>
                      <w:b/>
                      <w:bCs/>
                      <w:color w:val="000000" w:themeColor="text1"/>
                      <w:sz w:val="18"/>
                      <w:szCs w:val="18"/>
                      <w14:textFill>
                        <w14:solidFill>
                          <w14:schemeClr w14:val="tx1"/>
                        </w14:solidFill>
                      </w14:textFill>
                    </w:rPr>
                    <w:t>项目</w:t>
                  </w:r>
                </w:p>
              </w:tc>
              <w:tc>
                <w:tcPr>
                  <w:tcW w:w="727" w:type="pct"/>
                  <w:vAlign w:val="center"/>
                </w:tcPr>
                <w:p w14:paraId="42406DA2">
                  <w:pPr>
                    <w:jc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污染物名称</w:t>
                  </w:r>
                </w:p>
              </w:tc>
              <w:tc>
                <w:tcPr>
                  <w:tcW w:w="1665" w:type="pct"/>
                  <w:vAlign w:val="center"/>
                </w:tcPr>
                <w:p w14:paraId="3CBAB6B2">
                  <w:pPr>
                    <w:jc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标准名称</w:t>
                  </w:r>
                </w:p>
              </w:tc>
              <w:tc>
                <w:tcPr>
                  <w:tcW w:w="1586" w:type="pct"/>
                  <w:vAlign w:val="center"/>
                </w:tcPr>
                <w:p w14:paraId="61FF9225">
                  <w:pPr>
                    <w:jc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无组织排放监控浓度限值</w:t>
                  </w:r>
                </w:p>
              </w:tc>
            </w:tr>
            <w:tr w14:paraId="6BA1C2B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227" w:hRule="atLeast"/>
                <w:jc w:val="center"/>
              </w:trPr>
              <w:tc>
                <w:tcPr>
                  <w:tcW w:w="1020" w:type="pct"/>
                  <w:vAlign w:val="center"/>
                </w:tcPr>
                <w:p w14:paraId="3BDB9BF2">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工艺废气</w:t>
                  </w:r>
                </w:p>
              </w:tc>
              <w:tc>
                <w:tcPr>
                  <w:tcW w:w="727" w:type="pct"/>
                  <w:vAlign w:val="center"/>
                </w:tcPr>
                <w:p w14:paraId="72FA7870">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颗粒物</w:t>
                  </w:r>
                </w:p>
              </w:tc>
              <w:tc>
                <w:tcPr>
                  <w:tcW w:w="1665" w:type="pct"/>
                  <w:vAlign w:val="center"/>
                </w:tcPr>
                <w:p w14:paraId="0DEB659D">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GB 4915-2013中表</w:t>
                  </w:r>
                  <w:r>
                    <w:rPr>
                      <w:rFonts w:hint="eastAsia"/>
                      <w:color w:val="000000" w:themeColor="text1"/>
                      <w:sz w:val="18"/>
                      <w:szCs w:val="18"/>
                      <w14:textFill>
                        <w14:solidFill>
                          <w14:schemeClr w14:val="tx1"/>
                        </w14:solidFill>
                      </w14:textFill>
                    </w:rPr>
                    <w:t>3</w:t>
                  </w:r>
                </w:p>
              </w:tc>
              <w:tc>
                <w:tcPr>
                  <w:tcW w:w="1586" w:type="pct"/>
                  <w:vAlign w:val="center"/>
                </w:tcPr>
                <w:p w14:paraId="1AA5F481">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0.5</w:t>
                  </w:r>
                  <w:r>
                    <w:rPr>
                      <w:color w:val="000000" w:themeColor="text1"/>
                      <w:sz w:val="18"/>
                      <w:szCs w:val="18"/>
                      <w14:textFill>
                        <w14:solidFill>
                          <w14:schemeClr w14:val="tx1"/>
                        </w14:solidFill>
                      </w14:textFill>
                    </w:rPr>
                    <w:t>（无组织排放浓度限制）</w:t>
                  </w:r>
                </w:p>
              </w:tc>
            </w:tr>
            <w:tr w14:paraId="0976DAC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227" w:hRule="atLeast"/>
                <w:jc w:val="center"/>
              </w:trPr>
              <w:tc>
                <w:tcPr>
                  <w:tcW w:w="1020" w:type="pct"/>
                  <w:vAlign w:val="center"/>
                </w:tcPr>
                <w:p w14:paraId="37B8D09C">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食堂</w:t>
                  </w:r>
                </w:p>
              </w:tc>
              <w:tc>
                <w:tcPr>
                  <w:tcW w:w="727" w:type="pct"/>
                  <w:vAlign w:val="center"/>
                </w:tcPr>
                <w:p w14:paraId="4827C591">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油烟</w:t>
                  </w:r>
                </w:p>
              </w:tc>
              <w:tc>
                <w:tcPr>
                  <w:tcW w:w="1665" w:type="pct"/>
                  <w:vAlign w:val="center"/>
                </w:tcPr>
                <w:p w14:paraId="38D31DCC">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（GB18483-2001）表2中小型标准</w:t>
                  </w:r>
                </w:p>
              </w:tc>
              <w:tc>
                <w:tcPr>
                  <w:tcW w:w="1586" w:type="pct"/>
                  <w:vAlign w:val="center"/>
                </w:tcPr>
                <w:p w14:paraId="162AF7F3">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最高允许排放浓度2.0，去除效率不低于60%</w:t>
                  </w:r>
                </w:p>
              </w:tc>
            </w:tr>
            <w:bookmarkEnd w:id="48"/>
          </w:tbl>
          <w:p w14:paraId="2FB3D24B">
            <w:pPr>
              <w:pStyle w:val="132"/>
              <w:ind w:firstLine="482"/>
              <w:rPr>
                <w:color w:val="000000" w:themeColor="text1"/>
                <w14:textFill>
                  <w14:solidFill>
                    <w14:schemeClr w14:val="tx1"/>
                  </w14:solidFill>
                </w14:textFill>
              </w:rPr>
            </w:pPr>
            <w:r>
              <w:rPr>
                <w:b/>
                <w:bCs/>
                <w:color w:val="000000" w:themeColor="text1"/>
                <w14:textFill>
                  <w14:solidFill>
                    <w14:schemeClr w14:val="tx1"/>
                  </w14:solidFill>
                </w14:textFill>
              </w:rPr>
              <w:t>三、噪声</w:t>
            </w:r>
            <w:r>
              <w:rPr>
                <w:rFonts w:hint="eastAsia"/>
                <w:b/>
                <w:bCs/>
                <w:color w:val="000000" w:themeColor="text1"/>
                <w14:textFill>
                  <w14:solidFill>
                    <w14:schemeClr w14:val="tx1"/>
                  </w14:solidFill>
                </w14:textFill>
              </w:rPr>
              <w:t>污染物</w:t>
            </w:r>
            <w:r>
              <w:rPr>
                <w:b/>
                <w:bCs/>
                <w:color w:val="000000" w:themeColor="text1"/>
                <w14:textFill>
                  <w14:solidFill>
                    <w14:schemeClr w14:val="tx1"/>
                  </w14:solidFill>
                </w14:textFill>
              </w:rPr>
              <w:t>排放标准</w:t>
            </w:r>
          </w:p>
          <w:p w14:paraId="20976476">
            <w:pPr>
              <w:pStyle w:val="17"/>
              <w:spacing w:before="0" w:after="0" w:line="360" w:lineRule="auto"/>
              <w:ind w:right="0" w:firstLine="468" w:firstLineChars="200"/>
              <w:rPr>
                <w:color w:val="000000" w:themeColor="text1"/>
                <w:sz w:val="24"/>
                <w:szCs w:val="24"/>
                <w14:textFill>
                  <w14:solidFill>
                    <w14:schemeClr w14:val="tx1"/>
                  </w14:solidFill>
                </w14:textFill>
              </w:rPr>
            </w:pPr>
            <w:r>
              <w:rPr>
                <w:rFonts w:hint="eastAsia"/>
                <w:color w:val="000000" w:themeColor="text1"/>
                <w:spacing w:val="-3"/>
                <w:sz w:val="24"/>
                <w:szCs w:val="24"/>
                <w14:textFill>
                  <w14:solidFill>
                    <w14:schemeClr w14:val="tx1"/>
                  </w14:solidFill>
                </w14:textFill>
              </w:rPr>
              <w:t>施工期噪声执行《建筑施工噪声排放标准》（GB12523-20</w:t>
            </w:r>
            <w:r>
              <w:rPr>
                <w:rFonts w:hint="eastAsia"/>
                <w:color w:val="000000" w:themeColor="text1"/>
                <w:spacing w:val="-3"/>
                <w:sz w:val="24"/>
                <w:szCs w:val="24"/>
                <w:lang w:val="en-US" w:eastAsia="zh-CN"/>
                <w14:textFill>
                  <w14:solidFill>
                    <w14:schemeClr w14:val="tx1"/>
                  </w14:solidFill>
                </w14:textFill>
              </w:rPr>
              <w:t>25</w:t>
            </w:r>
            <w:r>
              <w:rPr>
                <w:rFonts w:hint="eastAsia"/>
                <w:color w:val="000000" w:themeColor="text1"/>
                <w:spacing w:val="-3"/>
                <w:sz w:val="24"/>
                <w:szCs w:val="24"/>
                <w14:textFill>
                  <w14:solidFill>
                    <w14:schemeClr w14:val="tx1"/>
                  </w14:solidFill>
                </w14:textFill>
              </w:rPr>
              <w:t>）中表1标准；</w:t>
            </w:r>
            <w:r>
              <w:rPr>
                <w:color w:val="000000" w:themeColor="text1"/>
                <w:spacing w:val="-3"/>
                <w:sz w:val="24"/>
                <w:szCs w:val="24"/>
                <w14:textFill>
                  <w14:solidFill>
                    <w14:schemeClr w14:val="tx1"/>
                  </w14:solidFill>
                </w14:textFill>
              </w:rPr>
              <w:t>运营期噪声执行《工业企业厂界环境噪声排放标准》</w:t>
            </w:r>
            <w:r>
              <w:rPr>
                <w:color w:val="000000" w:themeColor="text1"/>
                <w:sz w:val="24"/>
                <w:szCs w:val="24"/>
                <w14:textFill>
                  <w14:solidFill>
                    <w14:schemeClr w14:val="tx1"/>
                  </w14:solidFill>
                </w14:textFill>
              </w:rPr>
              <w:t>（GB12348-2008）</w:t>
            </w:r>
            <w:r>
              <w:rPr>
                <w:color w:val="000000" w:themeColor="text1"/>
                <w:spacing w:val="-33"/>
                <w:sz w:val="24"/>
                <w:szCs w:val="24"/>
                <w14:textFill>
                  <w14:solidFill>
                    <w14:schemeClr w14:val="tx1"/>
                  </w14:solidFill>
                </w14:textFill>
              </w:rPr>
              <w:t>中</w:t>
            </w:r>
            <w:r>
              <w:rPr>
                <w:rFonts w:hint="eastAsia"/>
                <w:color w:val="000000" w:themeColor="text1"/>
                <w:sz w:val="24"/>
                <w:szCs w:val="24"/>
                <w14:textFill>
                  <w14:solidFill>
                    <w14:schemeClr w14:val="tx1"/>
                  </w14:solidFill>
                </w14:textFill>
              </w:rPr>
              <w:t>3</w:t>
            </w:r>
            <w:r>
              <w:rPr>
                <w:color w:val="000000" w:themeColor="text1"/>
                <w:sz w:val="24"/>
                <w:szCs w:val="24"/>
                <w14:textFill>
                  <w14:solidFill>
                    <w14:schemeClr w14:val="tx1"/>
                  </w14:solidFill>
                </w14:textFill>
              </w:rPr>
              <w:t>类区标</w:t>
            </w:r>
            <w:r>
              <w:rPr>
                <w:color w:val="000000" w:themeColor="text1"/>
                <w:spacing w:val="-11"/>
                <w:sz w:val="24"/>
                <w:szCs w:val="24"/>
                <w14:textFill>
                  <w14:solidFill>
                    <w14:schemeClr w14:val="tx1"/>
                  </w14:solidFill>
                </w14:textFill>
              </w:rPr>
              <w:t>准，详见表</w:t>
            </w:r>
            <w:r>
              <w:rPr>
                <w:color w:val="000000" w:themeColor="text1"/>
                <w:sz w:val="24"/>
                <w:szCs w:val="24"/>
                <w14:textFill>
                  <w14:solidFill>
                    <w14:schemeClr w14:val="tx1"/>
                  </w14:solidFill>
                </w14:textFill>
              </w:rPr>
              <w:t>3-</w:t>
            </w:r>
            <w:r>
              <w:rPr>
                <w:rFonts w:hint="eastAsia"/>
                <w:color w:val="000000" w:themeColor="text1"/>
                <w:sz w:val="24"/>
                <w:szCs w:val="24"/>
                <w14:textFill>
                  <w14:solidFill>
                    <w14:schemeClr w14:val="tx1"/>
                  </w14:solidFill>
                </w14:textFill>
              </w:rPr>
              <w:t>7</w:t>
            </w:r>
            <w:r>
              <w:rPr>
                <w:color w:val="000000" w:themeColor="text1"/>
                <w:sz w:val="24"/>
                <w:szCs w:val="24"/>
                <w14:textFill>
                  <w14:solidFill>
                    <w14:schemeClr w14:val="tx1"/>
                  </w14:solidFill>
                </w14:textFill>
              </w:rPr>
              <w:t>。</w:t>
            </w:r>
          </w:p>
          <w:p w14:paraId="6AF5B4D8">
            <w:pPr>
              <w:adjustRightInd w:val="0"/>
              <w:snapToGrid w:val="0"/>
              <w:jc w:val="center"/>
              <w:rPr>
                <w:b/>
                <w:bCs/>
                <w:color w:val="000000" w:themeColor="text1"/>
                <w:sz w:val="24"/>
                <w:lang w:val="zh-CN"/>
                <w14:textFill>
                  <w14:solidFill>
                    <w14:schemeClr w14:val="tx1"/>
                  </w14:solidFill>
                </w14:textFill>
              </w:rPr>
            </w:pPr>
            <w:r>
              <w:rPr>
                <w:b/>
                <w:bCs/>
                <w:color w:val="000000" w:themeColor="text1"/>
                <w:sz w:val="24"/>
                <w:lang w:val="zh-CN"/>
                <w14:textFill>
                  <w14:solidFill>
                    <w14:schemeClr w14:val="tx1"/>
                  </w14:solidFill>
                </w14:textFill>
              </w:rPr>
              <w:t>表3-</w:t>
            </w:r>
            <w:r>
              <w:rPr>
                <w:rFonts w:hint="eastAsia"/>
                <w:b/>
                <w:bCs/>
                <w:color w:val="000000" w:themeColor="text1"/>
                <w:sz w:val="24"/>
                <w:lang w:val="zh-CN"/>
                <w14:textFill>
                  <w14:solidFill>
                    <w14:schemeClr w14:val="tx1"/>
                  </w14:solidFill>
                </w14:textFill>
              </w:rPr>
              <w:t>7</w:t>
            </w:r>
            <w:r>
              <w:rPr>
                <w:b/>
                <w:bCs/>
                <w:color w:val="000000" w:themeColor="text1"/>
                <w:sz w:val="24"/>
                <w:lang w:val="zh-CN"/>
                <w14:textFill>
                  <w14:solidFill>
                    <w14:schemeClr w14:val="tx1"/>
                  </w14:solidFill>
                </w14:textFill>
              </w:rPr>
              <w:t xml:space="preserve">  工业企业厂界环境噪声排放标准表</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0" w:type="dxa"/>
                <w:bottom w:w="0" w:type="dxa"/>
                <w:right w:w="0" w:type="dxa"/>
              </w:tblCellMar>
            </w:tblPr>
            <w:tblGrid>
              <w:gridCol w:w="3777"/>
              <w:gridCol w:w="1327"/>
              <w:gridCol w:w="2055"/>
              <w:gridCol w:w="1952"/>
            </w:tblGrid>
            <w:tr w14:paraId="697034A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2073" w:type="pct"/>
                  <w:vAlign w:val="center"/>
                </w:tcPr>
                <w:p w14:paraId="6F27A239">
                  <w:pPr>
                    <w:jc w:val="center"/>
                    <w:rPr>
                      <w:color w:val="000000" w:themeColor="text1"/>
                      <w:spacing w:val="-5"/>
                      <w:sz w:val="18"/>
                      <w:szCs w:val="18"/>
                      <w14:textFill>
                        <w14:solidFill>
                          <w14:schemeClr w14:val="tx1"/>
                        </w14:solidFill>
                      </w14:textFill>
                    </w:rPr>
                  </w:pPr>
                  <w:r>
                    <w:rPr>
                      <w:color w:val="000000" w:themeColor="text1"/>
                      <w:spacing w:val="-5"/>
                      <w:sz w:val="18"/>
                      <w:szCs w:val="18"/>
                      <w14:textFill>
                        <w14:solidFill>
                          <w14:schemeClr w14:val="tx1"/>
                        </w14:solidFill>
                      </w14:textFill>
                    </w:rPr>
                    <w:t>标准</w:t>
                  </w:r>
                </w:p>
              </w:tc>
              <w:tc>
                <w:tcPr>
                  <w:tcW w:w="728" w:type="pct"/>
                  <w:vAlign w:val="center"/>
                </w:tcPr>
                <w:p w14:paraId="5E876A4D">
                  <w:pPr>
                    <w:jc w:val="center"/>
                    <w:rPr>
                      <w:color w:val="000000" w:themeColor="text1"/>
                      <w:spacing w:val="-5"/>
                      <w:sz w:val="18"/>
                      <w:szCs w:val="18"/>
                      <w14:textFill>
                        <w14:solidFill>
                          <w14:schemeClr w14:val="tx1"/>
                        </w14:solidFill>
                      </w14:textFill>
                    </w:rPr>
                  </w:pPr>
                  <w:r>
                    <w:rPr>
                      <w:color w:val="000000" w:themeColor="text1"/>
                      <w:spacing w:val="-5"/>
                      <w:sz w:val="18"/>
                      <w:szCs w:val="18"/>
                      <w14:textFill>
                        <w14:solidFill>
                          <w14:schemeClr w14:val="tx1"/>
                        </w14:solidFill>
                      </w14:textFill>
                    </w:rPr>
                    <w:t>类别</w:t>
                  </w:r>
                </w:p>
              </w:tc>
              <w:tc>
                <w:tcPr>
                  <w:tcW w:w="1128" w:type="pct"/>
                  <w:vAlign w:val="center"/>
                </w:tcPr>
                <w:p w14:paraId="0C060715">
                  <w:pPr>
                    <w:jc w:val="center"/>
                    <w:rPr>
                      <w:color w:val="000000" w:themeColor="text1"/>
                      <w:spacing w:val="-5"/>
                      <w:sz w:val="18"/>
                      <w:szCs w:val="18"/>
                      <w14:textFill>
                        <w14:solidFill>
                          <w14:schemeClr w14:val="tx1"/>
                        </w14:solidFill>
                      </w14:textFill>
                    </w:rPr>
                  </w:pPr>
                  <w:r>
                    <w:rPr>
                      <w:color w:val="000000" w:themeColor="text1"/>
                      <w:spacing w:val="-5"/>
                      <w:sz w:val="18"/>
                      <w:szCs w:val="18"/>
                      <w14:textFill>
                        <w14:solidFill>
                          <w14:schemeClr w14:val="tx1"/>
                        </w14:solidFill>
                      </w14:textFill>
                    </w:rPr>
                    <w:t>昼间</w:t>
                  </w:r>
                </w:p>
              </w:tc>
              <w:tc>
                <w:tcPr>
                  <w:tcW w:w="1071" w:type="pct"/>
                  <w:vAlign w:val="center"/>
                </w:tcPr>
                <w:p w14:paraId="5E4A74D0">
                  <w:pPr>
                    <w:jc w:val="center"/>
                    <w:rPr>
                      <w:color w:val="000000" w:themeColor="text1"/>
                      <w:spacing w:val="-5"/>
                      <w:sz w:val="18"/>
                      <w:szCs w:val="18"/>
                      <w14:textFill>
                        <w14:solidFill>
                          <w14:schemeClr w14:val="tx1"/>
                        </w14:solidFill>
                      </w14:textFill>
                    </w:rPr>
                  </w:pPr>
                  <w:r>
                    <w:rPr>
                      <w:color w:val="000000" w:themeColor="text1"/>
                      <w:spacing w:val="-5"/>
                      <w:sz w:val="18"/>
                      <w:szCs w:val="18"/>
                      <w14:textFill>
                        <w14:solidFill>
                          <w14:schemeClr w14:val="tx1"/>
                        </w14:solidFill>
                      </w14:textFill>
                    </w:rPr>
                    <w:t>夜间</w:t>
                  </w:r>
                </w:p>
              </w:tc>
            </w:tr>
            <w:tr w14:paraId="0F8CE11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2073" w:type="pct"/>
                  <w:vAlign w:val="center"/>
                </w:tcPr>
                <w:p w14:paraId="10A052B2">
                  <w:pPr>
                    <w:jc w:val="center"/>
                    <w:rPr>
                      <w:color w:val="000000" w:themeColor="text1"/>
                      <w:spacing w:val="-5"/>
                      <w:sz w:val="18"/>
                      <w:szCs w:val="18"/>
                      <w14:textFill>
                        <w14:solidFill>
                          <w14:schemeClr w14:val="tx1"/>
                        </w14:solidFill>
                      </w14:textFill>
                    </w:rPr>
                  </w:pPr>
                  <w:r>
                    <w:rPr>
                      <w:rFonts w:hint="eastAsia"/>
                      <w:color w:val="000000" w:themeColor="text1"/>
                      <w:spacing w:val="-5"/>
                      <w:sz w:val="18"/>
                      <w:szCs w:val="18"/>
                      <w14:textFill>
                        <w14:solidFill>
                          <w14:schemeClr w14:val="tx1"/>
                        </w14:solidFill>
                      </w14:textFill>
                    </w:rPr>
                    <w:t>GB12523-2011</w:t>
                  </w:r>
                </w:p>
              </w:tc>
              <w:tc>
                <w:tcPr>
                  <w:tcW w:w="728" w:type="pct"/>
                  <w:vAlign w:val="center"/>
                </w:tcPr>
                <w:p w14:paraId="71912557">
                  <w:pPr>
                    <w:jc w:val="center"/>
                    <w:rPr>
                      <w:color w:val="000000" w:themeColor="text1"/>
                      <w:spacing w:val="-5"/>
                      <w:sz w:val="18"/>
                      <w:szCs w:val="18"/>
                      <w14:textFill>
                        <w14:solidFill>
                          <w14:schemeClr w14:val="tx1"/>
                        </w14:solidFill>
                      </w14:textFill>
                    </w:rPr>
                  </w:pPr>
                  <w:r>
                    <w:rPr>
                      <w:rFonts w:hint="eastAsia"/>
                      <w:color w:val="000000" w:themeColor="text1"/>
                      <w:spacing w:val="-5"/>
                      <w:sz w:val="18"/>
                      <w:szCs w:val="18"/>
                      <w14:textFill>
                        <w14:solidFill>
                          <w14:schemeClr w14:val="tx1"/>
                        </w14:solidFill>
                      </w14:textFill>
                    </w:rPr>
                    <w:t>/</w:t>
                  </w:r>
                </w:p>
              </w:tc>
              <w:tc>
                <w:tcPr>
                  <w:tcW w:w="1128" w:type="pct"/>
                  <w:vAlign w:val="center"/>
                </w:tcPr>
                <w:p w14:paraId="68528106">
                  <w:pPr>
                    <w:jc w:val="center"/>
                    <w:rPr>
                      <w:color w:val="000000" w:themeColor="text1"/>
                      <w:spacing w:val="-5"/>
                      <w:sz w:val="18"/>
                      <w:szCs w:val="18"/>
                      <w14:textFill>
                        <w14:solidFill>
                          <w14:schemeClr w14:val="tx1"/>
                        </w14:solidFill>
                      </w14:textFill>
                    </w:rPr>
                  </w:pPr>
                  <w:r>
                    <w:rPr>
                      <w:color w:val="000000" w:themeColor="text1"/>
                      <w:spacing w:val="-5"/>
                      <w:sz w:val="18"/>
                      <w:szCs w:val="18"/>
                      <w14:textFill>
                        <w14:solidFill>
                          <w14:schemeClr w14:val="tx1"/>
                        </w14:solidFill>
                      </w14:textFill>
                    </w:rPr>
                    <w:t>≤70dB（A）</w:t>
                  </w:r>
                </w:p>
              </w:tc>
              <w:tc>
                <w:tcPr>
                  <w:tcW w:w="1071" w:type="pct"/>
                  <w:vAlign w:val="center"/>
                </w:tcPr>
                <w:p w14:paraId="402CBE4A">
                  <w:pPr>
                    <w:jc w:val="center"/>
                    <w:rPr>
                      <w:color w:val="000000" w:themeColor="text1"/>
                      <w:spacing w:val="-5"/>
                      <w:sz w:val="18"/>
                      <w:szCs w:val="18"/>
                      <w14:textFill>
                        <w14:solidFill>
                          <w14:schemeClr w14:val="tx1"/>
                        </w14:solidFill>
                      </w14:textFill>
                    </w:rPr>
                  </w:pPr>
                  <w:r>
                    <w:rPr>
                      <w:color w:val="000000" w:themeColor="text1"/>
                      <w:spacing w:val="-5"/>
                      <w:sz w:val="18"/>
                      <w:szCs w:val="18"/>
                      <w14:textFill>
                        <w14:solidFill>
                          <w14:schemeClr w14:val="tx1"/>
                        </w14:solidFill>
                      </w14:textFill>
                    </w:rPr>
                    <w:t>≤55dB（A）</w:t>
                  </w:r>
                </w:p>
              </w:tc>
            </w:tr>
            <w:tr w14:paraId="3758B25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27" w:hRule="atLeast"/>
                <w:jc w:val="center"/>
              </w:trPr>
              <w:tc>
                <w:tcPr>
                  <w:tcW w:w="2073" w:type="pct"/>
                  <w:vAlign w:val="center"/>
                </w:tcPr>
                <w:p w14:paraId="2AA32E41">
                  <w:pPr>
                    <w:jc w:val="center"/>
                    <w:rPr>
                      <w:color w:val="000000" w:themeColor="text1"/>
                      <w:spacing w:val="-5"/>
                      <w:sz w:val="18"/>
                      <w:szCs w:val="18"/>
                      <w14:textFill>
                        <w14:solidFill>
                          <w14:schemeClr w14:val="tx1"/>
                        </w14:solidFill>
                      </w14:textFill>
                    </w:rPr>
                  </w:pPr>
                  <w:r>
                    <w:rPr>
                      <w:color w:val="000000" w:themeColor="text1"/>
                      <w:spacing w:val="-5"/>
                      <w:sz w:val="18"/>
                      <w:szCs w:val="18"/>
                      <w14:textFill>
                        <w14:solidFill>
                          <w14:schemeClr w14:val="tx1"/>
                        </w14:solidFill>
                      </w14:textFill>
                    </w:rPr>
                    <w:t>GB12348-2008</w:t>
                  </w:r>
                </w:p>
              </w:tc>
              <w:tc>
                <w:tcPr>
                  <w:tcW w:w="728" w:type="pct"/>
                  <w:vAlign w:val="center"/>
                </w:tcPr>
                <w:p w14:paraId="51324EBA">
                  <w:pPr>
                    <w:jc w:val="center"/>
                    <w:rPr>
                      <w:color w:val="000000" w:themeColor="text1"/>
                      <w:spacing w:val="-5"/>
                      <w:sz w:val="18"/>
                      <w:szCs w:val="18"/>
                      <w14:textFill>
                        <w14:solidFill>
                          <w14:schemeClr w14:val="tx1"/>
                        </w14:solidFill>
                      </w14:textFill>
                    </w:rPr>
                  </w:pPr>
                  <w:r>
                    <w:rPr>
                      <w:rFonts w:hint="eastAsia"/>
                      <w:color w:val="000000" w:themeColor="text1"/>
                      <w:spacing w:val="-5"/>
                      <w:sz w:val="18"/>
                      <w:szCs w:val="18"/>
                      <w14:textFill>
                        <w14:solidFill>
                          <w14:schemeClr w14:val="tx1"/>
                        </w14:solidFill>
                      </w14:textFill>
                    </w:rPr>
                    <w:t>3</w:t>
                  </w:r>
                  <w:r>
                    <w:rPr>
                      <w:color w:val="000000" w:themeColor="text1"/>
                      <w:spacing w:val="-5"/>
                      <w:sz w:val="18"/>
                      <w:szCs w:val="18"/>
                      <w14:textFill>
                        <w14:solidFill>
                          <w14:schemeClr w14:val="tx1"/>
                        </w14:solidFill>
                      </w14:textFill>
                    </w:rPr>
                    <w:t>类</w:t>
                  </w:r>
                </w:p>
              </w:tc>
              <w:tc>
                <w:tcPr>
                  <w:tcW w:w="1128" w:type="pct"/>
                  <w:vAlign w:val="center"/>
                </w:tcPr>
                <w:p w14:paraId="12030A9E">
                  <w:pPr>
                    <w:jc w:val="center"/>
                    <w:rPr>
                      <w:color w:val="000000" w:themeColor="text1"/>
                      <w:spacing w:val="-5"/>
                      <w:sz w:val="18"/>
                      <w:szCs w:val="18"/>
                      <w14:textFill>
                        <w14:solidFill>
                          <w14:schemeClr w14:val="tx1"/>
                        </w14:solidFill>
                      </w14:textFill>
                    </w:rPr>
                  </w:pPr>
                  <w:r>
                    <w:rPr>
                      <w:color w:val="000000" w:themeColor="text1"/>
                      <w:spacing w:val="-5"/>
                      <w:sz w:val="18"/>
                      <w:szCs w:val="18"/>
                      <w14:textFill>
                        <w14:solidFill>
                          <w14:schemeClr w14:val="tx1"/>
                        </w14:solidFill>
                      </w14:textFill>
                    </w:rPr>
                    <w:t>≤6</w:t>
                  </w:r>
                  <w:r>
                    <w:rPr>
                      <w:rFonts w:hint="eastAsia"/>
                      <w:color w:val="000000" w:themeColor="text1"/>
                      <w:spacing w:val="-5"/>
                      <w:sz w:val="18"/>
                      <w:szCs w:val="18"/>
                      <w14:textFill>
                        <w14:solidFill>
                          <w14:schemeClr w14:val="tx1"/>
                        </w14:solidFill>
                      </w14:textFill>
                    </w:rPr>
                    <w:t>5</w:t>
                  </w:r>
                  <w:r>
                    <w:rPr>
                      <w:color w:val="000000" w:themeColor="text1"/>
                      <w:spacing w:val="-5"/>
                      <w:sz w:val="18"/>
                      <w:szCs w:val="18"/>
                      <w14:textFill>
                        <w14:solidFill>
                          <w14:schemeClr w14:val="tx1"/>
                        </w14:solidFill>
                      </w14:textFill>
                    </w:rPr>
                    <w:t>dB（A）</w:t>
                  </w:r>
                </w:p>
              </w:tc>
              <w:tc>
                <w:tcPr>
                  <w:tcW w:w="1071" w:type="pct"/>
                  <w:vAlign w:val="center"/>
                </w:tcPr>
                <w:p w14:paraId="19BB0919">
                  <w:pPr>
                    <w:jc w:val="center"/>
                    <w:rPr>
                      <w:color w:val="000000" w:themeColor="text1"/>
                      <w:spacing w:val="-5"/>
                      <w:sz w:val="18"/>
                      <w:szCs w:val="18"/>
                      <w14:textFill>
                        <w14:solidFill>
                          <w14:schemeClr w14:val="tx1"/>
                        </w14:solidFill>
                      </w14:textFill>
                    </w:rPr>
                  </w:pPr>
                  <w:r>
                    <w:rPr>
                      <w:color w:val="000000" w:themeColor="text1"/>
                      <w:spacing w:val="-5"/>
                      <w:sz w:val="18"/>
                      <w:szCs w:val="18"/>
                      <w14:textFill>
                        <w14:solidFill>
                          <w14:schemeClr w14:val="tx1"/>
                        </w14:solidFill>
                      </w14:textFill>
                    </w:rPr>
                    <w:t>≤5</w:t>
                  </w:r>
                  <w:r>
                    <w:rPr>
                      <w:rFonts w:hint="eastAsia"/>
                      <w:color w:val="000000" w:themeColor="text1"/>
                      <w:spacing w:val="-5"/>
                      <w:sz w:val="18"/>
                      <w:szCs w:val="18"/>
                      <w14:textFill>
                        <w14:solidFill>
                          <w14:schemeClr w14:val="tx1"/>
                        </w14:solidFill>
                      </w14:textFill>
                    </w:rPr>
                    <w:t>5</w:t>
                  </w:r>
                  <w:r>
                    <w:rPr>
                      <w:color w:val="000000" w:themeColor="text1"/>
                      <w:spacing w:val="-5"/>
                      <w:sz w:val="18"/>
                      <w:szCs w:val="18"/>
                      <w14:textFill>
                        <w14:solidFill>
                          <w14:schemeClr w14:val="tx1"/>
                        </w14:solidFill>
                      </w14:textFill>
                    </w:rPr>
                    <w:t>dB（A）</w:t>
                  </w:r>
                </w:p>
              </w:tc>
            </w:tr>
          </w:tbl>
          <w:p w14:paraId="60BD83AC">
            <w:pPr>
              <w:pStyle w:val="132"/>
              <w:widowControl/>
              <w:numPr>
                <w:ilvl w:val="0"/>
                <w:numId w:val="13"/>
              </w:numPr>
              <w:spacing w:before="60" w:beforeLines="25"/>
              <w:ind w:firstLineChars="0"/>
              <w:rPr>
                <w:b/>
                <w:bCs/>
                <w:color w:val="000000" w:themeColor="text1"/>
                <w14:textFill>
                  <w14:solidFill>
                    <w14:schemeClr w14:val="tx1"/>
                  </w14:solidFill>
                </w14:textFill>
              </w:rPr>
            </w:pPr>
            <w:r>
              <w:rPr>
                <w:b/>
                <w:bCs/>
                <w:color w:val="000000" w:themeColor="text1"/>
                <w14:textFill>
                  <w14:solidFill>
                    <w14:schemeClr w14:val="tx1"/>
                  </w14:solidFill>
                </w14:textFill>
              </w:rPr>
              <w:t>其他标准</w:t>
            </w:r>
          </w:p>
          <w:p w14:paraId="61714ACE">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本项目</w:t>
            </w:r>
            <w:r>
              <w:rPr>
                <w:color w:val="000000" w:themeColor="text1"/>
                <w:sz w:val="24"/>
                <w14:textFill>
                  <w14:solidFill>
                    <w14:schemeClr w14:val="tx1"/>
                  </w14:solidFill>
                </w14:textFill>
              </w:rPr>
              <w:t>贮存设施应按《一般工业固体废物贮存和填埋污染控制标准》(GB18599-2020)、《危险废物贮存污染控制标准》（GB18597-2023）要求进行设计、建设和运行，采用库房、包装工具（罐、桶、包装袋等）贮存一般工业固体废物的，其贮存过程应满足相应防渗漏、防雨淋、防扬尘等环境保护要求</w:t>
            </w:r>
            <w:r>
              <w:rPr>
                <w:rFonts w:hint="eastAsia"/>
                <w:color w:val="000000" w:themeColor="text1"/>
                <w:sz w:val="24"/>
                <w14:textFill>
                  <w14:solidFill>
                    <w14:schemeClr w14:val="tx1"/>
                  </w14:solidFill>
                </w14:textFill>
              </w:rPr>
              <w:t>。</w:t>
            </w:r>
          </w:p>
          <w:p w14:paraId="524F9B33">
            <w:pPr>
              <w:spacing w:line="360" w:lineRule="auto"/>
              <w:ind w:firstLine="480" w:firstLineChars="200"/>
              <w:rPr>
                <w:color w:val="000000" w:themeColor="text1"/>
                <w:sz w:val="24"/>
                <w14:textFill>
                  <w14:solidFill>
                    <w14:schemeClr w14:val="tx1"/>
                  </w14:solidFill>
                </w14:textFill>
              </w:rPr>
            </w:pPr>
          </w:p>
          <w:p w14:paraId="5301CF9D">
            <w:pPr>
              <w:spacing w:line="360" w:lineRule="auto"/>
              <w:ind w:firstLine="480" w:firstLineChars="200"/>
              <w:rPr>
                <w:color w:val="000000" w:themeColor="text1"/>
                <w:sz w:val="24"/>
                <w14:textFill>
                  <w14:solidFill>
                    <w14:schemeClr w14:val="tx1"/>
                  </w14:solidFill>
                </w14:textFill>
              </w:rPr>
            </w:pPr>
          </w:p>
          <w:p w14:paraId="07869CF2">
            <w:pPr>
              <w:spacing w:line="360" w:lineRule="auto"/>
              <w:ind w:firstLine="480" w:firstLineChars="200"/>
              <w:rPr>
                <w:color w:val="000000" w:themeColor="text1"/>
                <w:sz w:val="24"/>
                <w14:textFill>
                  <w14:solidFill>
                    <w14:schemeClr w14:val="tx1"/>
                  </w14:solidFill>
                </w14:textFill>
              </w:rPr>
            </w:pPr>
          </w:p>
          <w:p w14:paraId="523F9A66">
            <w:pPr>
              <w:spacing w:line="360" w:lineRule="auto"/>
              <w:ind w:firstLine="480" w:firstLineChars="200"/>
              <w:rPr>
                <w:color w:val="000000" w:themeColor="text1"/>
                <w:sz w:val="24"/>
                <w14:textFill>
                  <w14:solidFill>
                    <w14:schemeClr w14:val="tx1"/>
                  </w14:solidFill>
                </w14:textFill>
              </w:rPr>
            </w:pPr>
          </w:p>
          <w:p w14:paraId="6D131484">
            <w:pPr>
              <w:spacing w:line="360" w:lineRule="auto"/>
              <w:ind w:firstLine="480" w:firstLineChars="200"/>
              <w:rPr>
                <w:color w:val="000000" w:themeColor="text1"/>
                <w:sz w:val="24"/>
                <w14:textFill>
                  <w14:solidFill>
                    <w14:schemeClr w14:val="tx1"/>
                  </w14:solidFill>
                </w14:textFill>
              </w:rPr>
            </w:pPr>
          </w:p>
          <w:p w14:paraId="10070783">
            <w:pPr>
              <w:spacing w:line="360" w:lineRule="auto"/>
              <w:ind w:firstLine="480" w:firstLineChars="200"/>
              <w:rPr>
                <w:color w:val="000000" w:themeColor="text1"/>
                <w:sz w:val="24"/>
                <w14:textFill>
                  <w14:solidFill>
                    <w14:schemeClr w14:val="tx1"/>
                  </w14:solidFill>
                </w14:textFill>
              </w:rPr>
            </w:pPr>
          </w:p>
          <w:p w14:paraId="78B7F44B">
            <w:pPr>
              <w:spacing w:line="360" w:lineRule="auto"/>
              <w:ind w:firstLine="480" w:firstLineChars="200"/>
              <w:rPr>
                <w:color w:val="000000" w:themeColor="text1"/>
                <w:sz w:val="24"/>
                <w14:textFill>
                  <w14:solidFill>
                    <w14:schemeClr w14:val="tx1"/>
                  </w14:solidFill>
                </w14:textFill>
              </w:rPr>
            </w:pPr>
          </w:p>
          <w:p w14:paraId="4423DAEE">
            <w:pPr>
              <w:spacing w:line="360" w:lineRule="auto"/>
              <w:ind w:firstLine="480" w:firstLineChars="200"/>
              <w:rPr>
                <w:color w:val="000000" w:themeColor="text1"/>
                <w:sz w:val="24"/>
                <w14:textFill>
                  <w14:solidFill>
                    <w14:schemeClr w14:val="tx1"/>
                  </w14:solidFill>
                </w14:textFill>
              </w:rPr>
            </w:pPr>
          </w:p>
          <w:p w14:paraId="2E92B5B4">
            <w:pPr>
              <w:spacing w:line="360" w:lineRule="auto"/>
              <w:ind w:firstLine="480" w:firstLineChars="200"/>
              <w:rPr>
                <w:color w:val="000000" w:themeColor="text1"/>
                <w:sz w:val="24"/>
                <w14:textFill>
                  <w14:solidFill>
                    <w14:schemeClr w14:val="tx1"/>
                  </w14:solidFill>
                </w14:textFill>
              </w:rPr>
            </w:pPr>
          </w:p>
          <w:p w14:paraId="580E4380">
            <w:pPr>
              <w:spacing w:line="360" w:lineRule="auto"/>
              <w:rPr>
                <w:color w:val="000000" w:themeColor="text1"/>
                <w:sz w:val="24"/>
                <w14:textFill>
                  <w14:solidFill>
                    <w14:schemeClr w14:val="tx1"/>
                  </w14:solidFill>
                </w14:textFill>
              </w:rPr>
            </w:pPr>
          </w:p>
          <w:p w14:paraId="626D720C">
            <w:pPr>
              <w:spacing w:line="360" w:lineRule="auto"/>
              <w:rPr>
                <w:color w:val="000000" w:themeColor="text1"/>
                <w:sz w:val="24"/>
                <w14:textFill>
                  <w14:solidFill>
                    <w14:schemeClr w14:val="tx1"/>
                  </w14:solidFill>
                </w14:textFill>
              </w:rPr>
            </w:pPr>
          </w:p>
          <w:p w14:paraId="409335A5">
            <w:pPr>
              <w:spacing w:line="360" w:lineRule="auto"/>
              <w:rPr>
                <w:color w:val="000000" w:themeColor="text1"/>
                <w:sz w:val="24"/>
                <w14:textFill>
                  <w14:solidFill>
                    <w14:schemeClr w14:val="tx1"/>
                  </w14:solidFill>
                </w14:textFill>
              </w:rPr>
            </w:pPr>
          </w:p>
          <w:p w14:paraId="79B77E8C">
            <w:pPr>
              <w:spacing w:line="360" w:lineRule="auto"/>
              <w:rPr>
                <w:color w:val="000000" w:themeColor="text1"/>
                <w:sz w:val="24"/>
                <w14:textFill>
                  <w14:solidFill>
                    <w14:schemeClr w14:val="tx1"/>
                  </w14:solidFill>
                </w14:textFill>
              </w:rPr>
            </w:pPr>
          </w:p>
          <w:p w14:paraId="4D517AAE">
            <w:pPr>
              <w:spacing w:line="360" w:lineRule="auto"/>
              <w:rPr>
                <w:color w:val="000000" w:themeColor="text1"/>
                <w:sz w:val="24"/>
                <w14:textFill>
                  <w14:solidFill>
                    <w14:schemeClr w14:val="tx1"/>
                  </w14:solidFill>
                </w14:textFill>
              </w:rPr>
            </w:pPr>
          </w:p>
        </w:tc>
      </w:tr>
      <w:tr w14:paraId="13E8BB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176" w:hRule="atLeast"/>
          <w:jc w:val="center"/>
        </w:trPr>
        <w:tc>
          <w:tcPr>
            <w:tcW w:w="243" w:type="pct"/>
            <w:vAlign w:val="center"/>
          </w:tcPr>
          <w:p w14:paraId="208B717C">
            <w:pPr>
              <w:adjustRightInd w:val="0"/>
              <w:snapToGrid w:val="0"/>
              <w:jc w:val="center"/>
              <w:rPr>
                <w:b/>
                <w:bCs/>
                <w:color w:val="000000" w:themeColor="text1"/>
                <w:kern w:val="0"/>
                <w:sz w:val="28"/>
                <w:szCs w:val="28"/>
                <w14:textFill>
                  <w14:solidFill>
                    <w14:schemeClr w14:val="tx1"/>
                  </w14:solidFill>
                </w14:textFill>
              </w:rPr>
            </w:pPr>
            <w:r>
              <w:rPr>
                <w:b/>
                <w:bCs/>
                <w:color w:val="000000" w:themeColor="text1"/>
                <w:kern w:val="0"/>
                <w:sz w:val="28"/>
                <w:szCs w:val="28"/>
                <w14:textFill>
                  <w14:solidFill>
                    <w14:schemeClr w14:val="tx1"/>
                  </w14:solidFill>
                </w14:textFill>
              </w:rPr>
              <w:t>总量</w:t>
            </w:r>
          </w:p>
          <w:p w14:paraId="208D639D">
            <w:pPr>
              <w:adjustRightInd w:val="0"/>
              <w:snapToGrid w:val="0"/>
              <w:jc w:val="center"/>
              <w:rPr>
                <w:b/>
                <w:bCs/>
                <w:color w:val="000000" w:themeColor="text1"/>
                <w:kern w:val="0"/>
                <w:sz w:val="28"/>
                <w:szCs w:val="28"/>
                <w14:textFill>
                  <w14:solidFill>
                    <w14:schemeClr w14:val="tx1"/>
                  </w14:solidFill>
                </w14:textFill>
              </w:rPr>
            </w:pPr>
            <w:r>
              <w:rPr>
                <w:b/>
                <w:bCs/>
                <w:color w:val="000000" w:themeColor="text1"/>
                <w:kern w:val="0"/>
                <w:sz w:val="28"/>
                <w:szCs w:val="28"/>
                <w14:textFill>
                  <w14:solidFill>
                    <w14:schemeClr w14:val="tx1"/>
                  </w14:solidFill>
                </w14:textFill>
              </w:rPr>
              <w:t>控制</w:t>
            </w:r>
          </w:p>
          <w:p w14:paraId="6B332F09">
            <w:pPr>
              <w:adjustRightInd w:val="0"/>
              <w:snapToGrid w:val="0"/>
              <w:jc w:val="center"/>
              <w:rPr>
                <w:b/>
                <w:bCs/>
                <w:color w:val="000000" w:themeColor="text1"/>
                <w:kern w:val="0"/>
                <w:sz w:val="28"/>
                <w:szCs w:val="28"/>
                <w14:textFill>
                  <w14:solidFill>
                    <w14:schemeClr w14:val="tx1"/>
                  </w14:solidFill>
                </w14:textFill>
              </w:rPr>
            </w:pPr>
            <w:r>
              <w:rPr>
                <w:b/>
                <w:bCs/>
                <w:color w:val="000000" w:themeColor="text1"/>
                <w:kern w:val="0"/>
                <w:sz w:val="28"/>
                <w:szCs w:val="28"/>
                <w14:textFill>
                  <w14:solidFill>
                    <w14:schemeClr w14:val="tx1"/>
                  </w14:solidFill>
                </w14:textFill>
              </w:rPr>
              <w:t>指标</w:t>
            </w:r>
          </w:p>
        </w:tc>
        <w:tc>
          <w:tcPr>
            <w:tcW w:w="4757" w:type="pct"/>
            <w:vAlign w:val="center"/>
          </w:tcPr>
          <w:p w14:paraId="25A06488">
            <w:pPr>
              <w:numPr>
                <w:ilvl w:val="0"/>
                <w:numId w:val="14"/>
              </w:numPr>
              <w:adjustRightInd w:val="0"/>
              <w:snapToGrid w:val="0"/>
              <w:spacing w:line="360" w:lineRule="auto"/>
              <w:ind w:firstLine="482" w:firstLineChars="200"/>
              <w:jc w:val="left"/>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废水</w:t>
            </w:r>
          </w:p>
          <w:p w14:paraId="73011456">
            <w:pPr>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lang w:val="en-US" w:eastAsia="zh-CN"/>
                <w14:textFill>
                  <w14:solidFill>
                    <w14:schemeClr w14:val="tx1"/>
                  </w14:solidFill>
                </w14:textFill>
              </w:rPr>
              <w:t>本</w:t>
            </w:r>
            <w:r>
              <w:rPr>
                <w:color w:val="000000" w:themeColor="text1"/>
                <w:sz w:val="24"/>
                <w14:textFill>
                  <w14:solidFill>
                    <w14:schemeClr w14:val="tx1"/>
                  </w14:solidFill>
                </w14:textFill>
              </w:rPr>
              <w:t>项目总量指标审核和管理的污染物范围包括：COD、NH</w:t>
            </w:r>
            <w:r>
              <w:rPr>
                <w:color w:val="000000" w:themeColor="text1"/>
                <w:sz w:val="24"/>
                <w:vertAlign w:val="subscript"/>
                <w14:textFill>
                  <w14:solidFill>
                    <w14:schemeClr w14:val="tx1"/>
                  </w14:solidFill>
                </w14:textFill>
              </w:rPr>
              <w:t>3</w:t>
            </w:r>
            <w:r>
              <w:rPr>
                <w:color w:val="000000" w:themeColor="text1"/>
                <w:sz w:val="24"/>
                <w14:textFill>
                  <w14:solidFill>
                    <w14:schemeClr w14:val="tx1"/>
                  </w14:solidFill>
                </w14:textFill>
              </w:rPr>
              <w:t>-N</w:t>
            </w:r>
            <w:r>
              <w:rPr>
                <w:rFonts w:hint="eastAsia"/>
                <w:color w:val="000000" w:themeColor="text1"/>
                <w:sz w:val="24"/>
                <w:lang w:eastAsia="zh-CN"/>
                <w14:textFill>
                  <w14:solidFill>
                    <w14:schemeClr w14:val="tx1"/>
                  </w14:solidFill>
                </w14:textFill>
              </w:rPr>
              <w:t>、</w:t>
            </w:r>
            <w:r>
              <w:rPr>
                <w:rFonts w:hint="eastAsia"/>
                <w:color w:val="000000" w:themeColor="text1"/>
                <w:sz w:val="24"/>
                <w:lang w:val="en-US" w:eastAsia="zh-CN"/>
                <w14:textFill>
                  <w14:solidFill>
                    <w14:schemeClr w14:val="tx1"/>
                  </w14:solidFill>
                </w14:textFill>
              </w:rPr>
              <w:t>TP</w:t>
            </w:r>
            <w:r>
              <w:rPr>
                <w:color w:val="000000" w:themeColor="text1"/>
                <w:sz w:val="24"/>
                <w14:textFill>
                  <w14:solidFill>
                    <w14:schemeClr w14:val="tx1"/>
                  </w14:solidFill>
                </w14:textFill>
              </w:rPr>
              <w:t>。</w:t>
            </w:r>
          </w:p>
          <w:p w14:paraId="0B76165D">
            <w:pPr>
              <w:pStyle w:val="12"/>
              <w:spacing w:line="360" w:lineRule="auto"/>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本项目产生的</w:t>
            </w:r>
            <w:r>
              <w:rPr>
                <w:rFonts w:hint="eastAsia"/>
                <w:color w:val="000000" w:themeColor="text1"/>
                <w:sz w:val="24"/>
                <w14:textFill>
                  <w14:solidFill>
                    <w14:schemeClr w14:val="tx1"/>
                  </w14:solidFill>
                </w14:textFill>
              </w:rPr>
              <w:t>生产废水不外排，生活污水经</w:t>
            </w:r>
            <w:bookmarkStart w:id="49" w:name="OLE_LINK55"/>
            <w:r>
              <w:rPr>
                <w:rFonts w:hint="eastAsia"/>
                <w:color w:val="000000" w:themeColor="text1"/>
                <w:sz w:val="24"/>
                <w14:textFill>
                  <w14:solidFill>
                    <w14:schemeClr w14:val="tx1"/>
                  </w14:solidFill>
                </w14:textFill>
              </w:rPr>
              <w:t>隔油池+化粪池预处理后</w:t>
            </w:r>
            <w:bookmarkEnd w:id="49"/>
            <w:r>
              <w:rPr>
                <w:rFonts w:hint="eastAsia"/>
                <w:color w:val="000000" w:themeColor="text1"/>
                <w:sz w:val="24"/>
                <w14:textFill>
                  <w14:solidFill>
                    <w14:schemeClr w14:val="tx1"/>
                  </w14:solidFill>
                </w14:textFill>
              </w:rPr>
              <w:t>通过</w:t>
            </w:r>
            <w:r>
              <w:rPr>
                <w:color w:val="000000" w:themeColor="text1"/>
                <w:sz w:val="24"/>
                <w14:textFill>
                  <w14:solidFill>
                    <w14:schemeClr w14:val="tx1"/>
                  </w14:solidFill>
                </w14:textFill>
              </w:rPr>
              <w:t>市政</w:t>
            </w:r>
            <w:r>
              <w:rPr>
                <w:rFonts w:hint="eastAsia"/>
                <w:color w:val="000000" w:themeColor="text1"/>
                <w:sz w:val="24"/>
                <w14:textFill>
                  <w14:solidFill>
                    <w14:schemeClr w14:val="tx1"/>
                  </w14:solidFill>
                </w14:textFill>
              </w:rPr>
              <w:t>污水</w:t>
            </w:r>
            <w:r>
              <w:rPr>
                <w:color w:val="000000" w:themeColor="text1"/>
                <w:sz w:val="24"/>
                <w14:textFill>
                  <w14:solidFill>
                    <w14:schemeClr w14:val="tx1"/>
                  </w14:solidFill>
                </w14:textFill>
              </w:rPr>
              <w:t>管网</w:t>
            </w:r>
            <w:r>
              <w:rPr>
                <w:rFonts w:hint="eastAsia"/>
                <w:color w:val="000000" w:themeColor="text1"/>
                <w:sz w:val="24"/>
                <w14:textFill>
                  <w14:solidFill>
                    <w14:schemeClr w14:val="tx1"/>
                  </w14:solidFill>
                </w14:textFill>
              </w:rPr>
              <w:t>排入金山工业园污水处理厂</w:t>
            </w:r>
            <w:r>
              <w:rPr>
                <w:color w:val="000000" w:themeColor="text1"/>
                <w:sz w:val="24"/>
                <w14:textFill>
                  <w14:solidFill>
                    <w14:schemeClr w14:val="tx1"/>
                  </w14:solidFill>
                </w14:textFill>
              </w:rPr>
              <w:t>进一步处理，</w:t>
            </w:r>
            <w:r>
              <w:rPr>
                <w:bCs/>
                <w:color w:val="000000" w:themeColor="text1"/>
                <w:sz w:val="24"/>
                <w14:textFill>
                  <w14:solidFill>
                    <w14:schemeClr w14:val="tx1"/>
                  </w14:solidFill>
                </w14:textFill>
              </w:rPr>
              <w:t>生活污水近期经“隔油池+化粪池”预处理后</w:t>
            </w:r>
            <w:r>
              <w:rPr>
                <w:rFonts w:hint="eastAsia"/>
                <w:bCs/>
                <w:color w:val="000000" w:themeColor="text1"/>
                <w:sz w:val="24"/>
                <w14:textFill>
                  <w14:solidFill>
                    <w14:schemeClr w14:val="tx1"/>
                  </w14:solidFill>
                </w14:textFill>
              </w:rPr>
              <w:t>达到</w:t>
            </w:r>
            <w:r>
              <w:rPr>
                <w:bCs/>
                <w:color w:val="000000" w:themeColor="text1"/>
                <w:sz w:val="24"/>
                <w14:textFill>
                  <w14:solidFill>
                    <w14:schemeClr w14:val="tx1"/>
                  </w14:solidFill>
                </w14:textFill>
              </w:rPr>
              <w:t>《污水综合排放标准》（GB8978-1996）表4中三级标准</w:t>
            </w:r>
            <w:r>
              <w:rPr>
                <w:rFonts w:hint="eastAsia"/>
                <w:bCs/>
                <w:color w:val="000000" w:themeColor="text1"/>
                <w:sz w:val="24"/>
                <w14:textFill>
                  <w14:solidFill>
                    <w14:schemeClr w14:val="tx1"/>
                  </w14:solidFill>
                </w14:textFill>
              </w:rPr>
              <w:t>后</w:t>
            </w:r>
            <w:r>
              <w:rPr>
                <w:bCs/>
                <w:color w:val="000000" w:themeColor="text1"/>
                <w:sz w:val="24"/>
                <w14:textFill>
                  <w14:solidFill>
                    <w14:schemeClr w14:val="tx1"/>
                  </w14:solidFill>
                </w14:textFill>
              </w:rPr>
              <w:t>通过管网进入乐平市金山</w:t>
            </w:r>
            <w:r>
              <w:rPr>
                <w:rFonts w:hint="eastAsia"/>
                <w:bCs/>
                <w:color w:val="000000" w:themeColor="text1"/>
                <w:sz w:val="24"/>
                <w14:textFill>
                  <w14:solidFill>
                    <w14:schemeClr w14:val="tx1"/>
                  </w14:solidFill>
                </w14:textFill>
              </w:rPr>
              <w:t>工业园</w:t>
            </w:r>
            <w:r>
              <w:rPr>
                <w:bCs/>
                <w:color w:val="000000" w:themeColor="text1"/>
                <w:sz w:val="24"/>
                <w14:textFill>
                  <w14:solidFill>
                    <w14:schemeClr w14:val="tx1"/>
                  </w14:solidFill>
                </w14:textFill>
              </w:rPr>
              <w:t>区一期一体化污水处理站进一步处理达到《城镇污水处理厂污染物排放标准》（GB18918-2002）中一级A标准后，尾水</w:t>
            </w:r>
            <w:r>
              <w:rPr>
                <w:rFonts w:hint="eastAsia"/>
                <w:bCs/>
                <w:color w:val="000000" w:themeColor="text1"/>
                <w:sz w:val="24"/>
                <w14:textFill>
                  <w14:solidFill>
                    <w14:schemeClr w14:val="tx1"/>
                  </w14:solidFill>
                </w14:textFill>
              </w:rPr>
              <w:t>排</w:t>
            </w:r>
            <w:r>
              <w:rPr>
                <w:bCs/>
                <w:color w:val="000000" w:themeColor="text1"/>
                <w:sz w:val="24"/>
                <w14:textFill>
                  <w14:solidFill>
                    <w14:schemeClr w14:val="tx1"/>
                  </w14:solidFill>
                </w14:textFill>
              </w:rPr>
              <w:t>入乐安河；远期待金山工业园污水处理厂正式投运后，排入金山工业园污水处理厂，处理达到《城镇污水处理厂污染物排放标准》（GB18918-2002）一级A标准后外排至乐安河</w:t>
            </w:r>
            <w:r>
              <w:rPr>
                <w:color w:val="000000" w:themeColor="text1"/>
                <w:sz w:val="24"/>
                <w14:textFill>
                  <w14:solidFill>
                    <w14:schemeClr w14:val="tx1"/>
                  </w14:solidFill>
                </w14:textFill>
              </w:rPr>
              <w:t>。项目外排水总量为</w:t>
            </w:r>
            <w:r>
              <w:rPr>
                <w:rFonts w:hint="eastAsia"/>
                <w:color w:val="000000" w:themeColor="text1"/>
                <w:sz w:val="24"/>
                <w14:textFill>
                  <w14:solidFill>
                    <w14:schemeClr w14:val="tx1"/>
                  </w14:solidFill>
                </w14:textFill>
              </w:rPr>
              <w:t>576</w:t>
            </w:r>
            <w:r>
              <w:rPr>
                <w:color w:val="000000" w:themeColor="text1"/>
                <w:sz w:val="24"/>
                <w14:textFill>
                  <w14:solidFill>
                    <w14:schemeClr w14:val="tx1"/>
                  </w14:solidFill>
                </w14:textFill>
              </w:rPr>
              <w:t>t/a，其对应的COD、NH</w:t>
            </w:r>
            <w:r>
              <w:rPr>
                <w:color w:val="000000" w:themeColor="text1"/>
                <w:sz w:val="24"/>
                <w:vertAlign w:val="subscript"/>
                <w14:textFill>
                  <w14:solidFill>
                    <w14:schemeClr w14:val="tx1"/>
                  </w14:solidFill>
                </w14:textFill>
              </w:rPr>
              <w:t>3</w:t>
            </w:r>
            <w:r>
              <w:rPr>
                <w:color w:val="000000" w:themeColor="text1"/>
                <w:sz w:val="24"/>
                <w14:textFill>
                  <w14:solidFill>
                    <w14:schemeClr w14:val="tx1"/>
                  </w14:solidFill>
                </w14:textFill>
              </w:rPr>
              <w:t>-N</w:t>
            </w:r>
            <w:r>
              <w:rPr>
                <w:rFonts w:hint="eastAsia"/>
                <w:color w:val="000000" w:themeColor="text1"/>
                <w:sz w:val="24"/>
                <w:lang w:eastAsia="zh-CN"/>
                <w14:textFill>
                  <w14:solidFill>
                    <w14:schemeClr w14:val="tx1"/>
                  </w14:solidFill>
                </w14:textFill>
              </w:rPr>
              <w:t>、</w:t>
            </w:r>
            <w:r>
              <w:rPr>
                <w:rFonts w:hint="eastAsia"/>
                <w:color w:val="000000" w:themeColor="text1"/>
                <w:sz w:val="24"/>
                <w:lang w:val="en-US" w:eastAsia="zh-CN"/>
                <w14:textFill>
                  <w14:solidFill>
                    <w14:schemeClr w14:val="tx1"/>
                  </w14:solidFill>
                </w14:textFill>
              </w:rPr>
              <w:t>TP</w:t>
            </w:r>
            <w:r>
              <w:rPr>
                <w:color w:val="000000" w:themeColor="text1"/>
                <w:sz w:val="24"/>
                <w14:textFill>
                  <w14:solidFill>
                    <w14:schemeClr w14:val="tx1"/>
                  </w14:solidFill>
                </w14:textFill>
              </w:rPr>
              <w:t>的排放浓度分别为：50mg/L，5mg/L</w:t>
            </w:r>
            <w:r>
              <w:rPr>
                <w:rFonts w:hint="eastAsia"/>
                <w:color w:val="000000" w:themeColor="text1"/>
                <w:sz w:val="24"/>
                <w:lang w:eastAsia="zh-CN"/>
                <w14:textFill>
                  <w14:solidFill>
                    <w14:schemeClr w14:val="tx1"/>
                  </w14:solidFill>
                </w14:textFill>
              </w:rPr>
              <w:t>、</w:t>
            </w:r>
            <w:r>
              <w:rPr>
                <w:rFonts w:hint="eastAsia"/>
                <w:color w:val="000000" w:themeColor="text1"/>
                <w:sz w:val="24"/>
                <w:lang w:val="en-US" w:eastAsia="zh-CN"/>
                <w14:textFill>
                  <w14:solidFill>
                    <w14:schemeClr w14:val="tx1"/>
                  </w14:solidFill>
                </w14:textFill>
              </w:rPr>
              <w:t>0.5</w:t>
            </w:r>
            <w:r>
              <w:rPr>
                <w:color w:val="000000" w:themeColor="text1"/>
                <w:sz w:val="24"/>
                <w14:textFill>
                  <w14:solidFill>
                    <w14:schemeClr w14:val="tx1"/>
                  </w14:solidFill>
                </w14:textFill>
              </w:rPr>
              <w:t>mg/L。</w:t>
            </w:r>
          </w:p>
          <w:p w14:paraId="4C44AFA6">
            <w:pPr>
              <w:spacing w:line="360" w:lineRule="auto"/>
              <w:ind w:firstLine="360" w:firstLineChars="150"/>
              <w:rPr>
                <w:color w:val="000000" w:themeColor="text1"/>
                <w:sz w:val="24"/>
                <w14:textFill>
                  <w14:solidFill>
                    <w14:schemeClr w14:val="tx1"/>
                  </w14:solidFill>
                </w14:textFill>
              </w:rPr>
            </w:pPr>
            <w:r>
              <w:rPr>
                <w:color w:val="000000" w:themeColor="text1"/>
                <w:sz w:val="24"/>
                <w14:textFill>
                  <w14:solidFill>
                    <w14:schemeClr w14:val="tx1"/>
                  </w14:solidFill>
                </w14:textFill>
              </w:rPr>
              <w:t>本项目总量考核指标：</w:t>
            </w:r>
          </w:p>
          <w:p w14:paraId="0213402F">
            <w:pPr>
              <w:spacing w:line="360" w:lineRule="auto"/>
              <w:ind w:firstLine="360" w:firstLineChars="150"/>
              <w:rPr>
                <w:color w:val="000000" w:themeColor="text1"/>
                <w:sz w:val="24"/>
                <w14:textFill>
                  <w14:solidFill>
                    <w14:schemeClr w14:val="tx1"/>
                  </w14:solidFill>
                </w14:textFill>
              </w:rPr>
            </w:pPr>
            <w:r>
              <w:rPr>
                <w:color w:val="000000" w:themeColor="text1"/>
                <w:sz w:val="24"/>
                <w14:textFill>
                  <w14:solidFill>
                    <w14:schemeClr w14:val="tx1"/>
                  </w14:solidFill>
                </w14:textFill>
              </w:rPr>
              <w:t>COD为</w:t>
            </w:r>
            <w:r>
              <w:rPr>
                <w:rFonts w:hint="eastAsia"/>
                <w:color w:val="000000" w:themeColor="text1"/>
                <w:sz w:val="24"/>
                <w14:textFill>
                  <w14:solidFill>
                    <w14:schemeClr w14:val="tx1"/>
                  </w14:solidFill>
                </w14:textFill>
              </w:rPr>
              <w:t>200</w:t>
            </w:r>
            <w:r>
              <w:rPr>
                <w:color w:val="000000" w:themeColor="text1"/>
                <w:sz w:val="24"/>
                <w14:textFill>
                  <w14:solidFill>
                    <w14:schemeClr w14:val="tx1"/>
                  </w14:solidFill>
                </w14:textFill>
              </w:rPr>
              <w:t>mg/L×</w:t>
            </w:r>
            <w:r>
              <w:rPr>
                <w:rFonts w:hint="eastAsia"/>
                <w:color w:val="000000" w:themeColor="text1"/>
                <w:sz w:val="24"/>
                <w14:textFill>
                  <w14:solidFill>
                    <w14:schemeClr w14:val="tx1"/>
                  </w14:solidFill>
                </w14:textFill>
              </w:rPr>
              <w:t>576</w:t>
            </w:r>
            <w:r>
              <w:rPr>
                <w:color w:val="000000" w:themeColor="text1"/>
                <w:sz w:val="24"/>
                <w14:textFill>
                  <w14:solidFill>
                    <w14:schemeClr w14:val="tx1"/>
                  </w14:solidFill>
                </w14:textFill>
              </w:rPr>
              <w:t>t/a÷1000000≈</w:t>
            </w:r>
            <w:r>
              <w:rPr>
                <w:rFonts w:hint="eastAsia"/>
                <w:color w:val="000000" w:themeColor="text1"/>
                <w:sz w:val="24"/>
                <w14:textFill>
                  <w14:solidFill>
                    <w14:schemeClr w14:val="tx1"/>
                  </w14:solidFill>
                </w14:textFill>
              </w:rPr>
              <w:t>0.115</w:t>
            </w:r>
            <w:r>
              <w:rPr>
                <w:color w:val="000000" w:themeColor="text1"/>
                <w:sz w:val="24"/>
                <w14:textFill>
                  <w14:solidFill>
                    <w14:schemeClr w14:val="tx1"/>
                  </w14:solidFill>
                </w14:textFill>
              </w:rPr>
              <w:t>t/a；</w:t>
            </w:r>
          </w:p>
          <w:p w14:paraId="37920C7D">
            <w:pPr>
              <w:spacing w:line="360" w:lineRule="auto"/>
              <w:ind w:firstLine="360" w:firstLineChars="150"/>
              <w:rPr>
                <w:color w:val="000000" w:themeColor="text1"/>
                <w:sz w:val="24"/>
                <w14:textFill>
                  <w14:solidFill>
                    <w14:schemeClr w14:val="tx1"/>
                  </w14:solidFill>
                </w14:textFill>
              </w:rPr>
            </w:pPr>
            <w:r>
              <w:rPr>
                <w:color w:val="000000" w:themeColor="text1"/>
                <w:sz w:val="24"/>
                <w14:textFill>
                  <w14:solidFill>
                    <w14:schemeClr w14:val="tx1"/>
                  </w14:solidFill>
                </w14:textFill>
              </w:rPr>
              <w:t>NH</w:t>
            </w:r>
            <w:r>
              <w:rPr>
                <w:color w:val="000000" w:themeColor="text1"/>
                <w:sz w:val="24"/>
                <w:vertAlign w:val="subscript"/>
                <w14:textFill>
                  <w14:solidFill>
                    <w14:schemeClr w14:val="tx1"/>
                  </w14:solidFill>
                </w14:textFill>
              </w:rPr>
              <w:t>3</w:t>
            </w:r>
            <w:r>
              <w:rPr>
                <w:color w:val="000000" w:themeColor="text1"/>
                <w:sz w:val="24"/>
                <w14:textFill>
                  <w14:solidFill>
                    <w14:schemeClr w14:val="tx1"/>
                  </w14:solidFill>
                </w14:textFill>
              </w:rPr>
              <w:t>-N为</w:t>
            </w:r>
            <w:r>
              <w:rPr>
                <w:rFonts w:hint="eastAsia"/>
                <w:color w:val="000000" w:themeColor="text1"/>
                <w:sz w:val="24"/>
                <w14:textFill>
                  <w14:solidFill>
                    <w14:schemeClr w14:val="tx1"/>
                  </w14:solidFill>
                </w14:textFill>
              </w:rPr>
              <w:t>20</w:t>
            </w:r>
            <w:r>
              <w:rPr>
                <w:color w:val="000000" w:themeColor="text1"/>
                <w:sz w:val="24"/>
                <w14:textFill>
                  <w14:solidFill>
                    <w14:schemeClr w14:val="tx1"/>
                  </w14:solidFill>
                </w14:textFill>
              </w:rPr>
              <w:t>mg/L×</w:t>
            </w:r>
            <w:r>
              <w:rPr>
                <w:rFonts w:hint="eastAsia"/>
                <w:color w:val="000000" w:themeColor="text1"/>
                <w:sz w:val="24"/>
                <w14:textFill>
                  <w14:solidFill>
                    <w14:schemeClr w14:val="tx1"/>
                  </w14:solidFill>
                </w14:textFill>
              </w:rPr>
              <w:t>576</w:t>
            </w:r>
            <w:r>
              <w:rPr>
                <w:color w:val="000000" w:themeColor="text1"/>
                <w:sz w:val="24"/>
                <w14:textFill>
                  <w14:solidFill>
                    <w14:schemeClr w14:val="tx1"/>
                  </w14:solidFill>
                </w14:textFill>
              </w:rPr>
              <w:t>t/a÷1000000≈0.0</w:t>
            </w:r>
            <w:r>
              <w:rPr>
                <w:rFonts w:hint="eastAsia"/>
                <w:color w:val="000000" w:themeColor="text1"/>
                <w:sz w:val="24"/>
                <w14:textFill>
                  <w14:solidFill>
                    <w14:schemeClr w14:val="tx1"/>
                  </w14:solidFill>
                </w14:textFill>
              </w:rPr>
              <w:t>12</w:t>
            </w:r>
            <w:r>
              <w:rPr>
                <w:color w:val="000000" w:themeColor="text1"/>
                <w:sz w:val="24"/>
                <w14:textFill>
                  <w14:solidFill>
                    <w14:schemeClr w14:val="tx1"/>
                  </w14:solidFill>
                </w14:textFill>
              </w:rPr>
              <w:t>t/a。</w:t>
            </w:r>
          </w:p>
          <w:p w14:paraId="548EA0A3">
            <w:pPr>
              <w:spacing w:line="360" w:lineRule="auto"/>
              <w:ind w:firstLine="360" w:firstLineChars="150"/>
              <w:rPr>
                <w:color w:val="000000" w:themeColor="text1"/>
                <w:sz w:val="24"/>
                <w14:textFill>
                  <w14:solidFill>
                    <w14:schemeClr w14:val="tx1"/>
                  </w14:solidFill>
                </w14:textFill>
              </w:rPr>
            </w:pPr>
            <w:r>
              <w:rPr>
                <w:rFonts w:hint="eastAsia"/>
                <w:color w:val="000000" w:themeColor="text1"/>
                <w:sz w:val="24"/>
                <w:lang w:val="en-US" w:eastAsia="zh-CN"/>
                <w14:textFill>
                  <w14:solidFill>
                    <w14:schemeClr w14:val="tx1"/>
                  </w14:solidFill>
                </w14:textFill>
              </w:rPr>
              <w:t>TP</w:t>
            </w:r>
            <w:r>
              <w:rPr>
                <w:color w:val="000000" w:themeColor="text1"/>
                <w:sz w:val="24"/>
                <w14:textFill>
                  <w14:solidFill>
                    <w14:schemeClr w14:val="tx1"/>
                  </w14:solidFill>
                </w14:textFill>
              </w:rPr>
              <w:t>为</w:t>
            </w:r>
            <w:r>
              <w:rPr>
                <w:rFonts w:hint="eastAsia"/>
                <w:color w:val="000000" w:themeColor="text1"/>
                <w:sz w:val="24"/>
                <w:lang w:val="en-US" w:eastAsia="zh-CN"/>
                <w14:textFill>
                  <w14:solidFill>
                    <w14:schemeClr w14:val="tx1"/>
                  </w14:solidFill>
                </w14:textFill>
              </w:rPr>
              <w:t>4</w:t>
            </w:r>
            <w:r>
              <w:rPr>
                <w:color w:val="000000" w:themeColor="text1"/>
                <w:sz w:val="24"/>
                <w14:textFill>
                  <w14:solidFill>
                    <w14:schemeClr w14:val="tx1"/>
                  </w14:solidFill>
                </w14:textFill>
              </w:rPr>
              <w:t>mg/L×</w:t>
            </w:r>
            <w:r>
              <w:rPr>
                <w:rFonts w:hint="eastAsia"/>
                <w:color w:val="000000" w:themeColor="text1"/>
                <w:sz w:val="24"/>
                <w14:textFill>
                  <w14:solidFill>
                    <w14:schemeClr w14:val="tx1"/>
                  </w14:solidFill>
                </w14:textFill>
              </w:rPr>
              <w:t>576</w:t>
            </w:r>
            <w:r>
              <w:rPr>
                <w:color w:val="000000" w:themeColor="text1"/>
                <w:sz w:val="24"/>
                <w14:textFill>
                  <w14:solidFill>
                    <w14:schemeClr w14:val="tx1"/>
                  </w14:solidFill>
                </w14:textFill>
              </w:rPr>
              <w:t>t/a÷1000000≈0.0</w:t>
            </w:r>
            <w:r>
              <w:rPr>
                <w:rFonts w:hint="eastAsia"/>
                <w:color w:val="000000" w:themeColor="text1"/>
                <w:sz w:val="24"/>
                <w:lang w:val="en-US" w:eastAsia="zh-CN"/>
                <w14:textFill>
                  <w14:solidFill>
                    <w14:schemeClr w14:val="tx1"/>
                  </w14:solidFill>
                </w14:textFill>
              </w:rPr>
              <w:t>02</w:t>
            </w:r>
            <w:r>
              <w:rPr>
                <w:color w:val="000000" w:themeColor="text1"/>
                <w:sz w:val="24"/>
                <w14:textFill>
                  <w14:solidFill>
                    <w14:schemeClr w14:val="tx1"/>
                  </w14:solidFill>
                </w14:textFill>
              </w:rPr>
              <w:t>t/a。</w:t>
            </w:r>
          </w:p>
          <w:p w14:paraId="78F5E0D7">
            <w:pPr>
              <w:spacing w:line="360" w:lineRule="auto"/>
              <w:ind w:firstLine="360" w:firstLineChars="150"/>
              <w:rPr>
                <w:color w:val="000000" w:themeColor="text1"/>
                <w:sz w:val="24"/>
                <w14:textFill>
                  <w14:solidFill>
                    <w14:schemeClr w14:val="tx1"/>
                  </w14:solidFill>
                </w14:textFill>
              </w:rPr>
            </w:pPr>
            <w:r>
              <w:rPr>
                <w:color w:val="000000" w:themeColor="text1"/>
                <w:sz w:val="24"/>
                <w14:textFill>
                  <w14:solidFill>
                    <w14:schemeClr w14:val="tx1"/>
                  </w14:solidFill>
                </w14:textFill>
              </w:rPr>
              <w:t>本项目总量控制指标：</w:t>
            </w:r>
          </w:p>
          <w:p w14:paraId="0BBF8940">
            <w:pPr>
              <w:spacing w:line="360" w:lineRule="auto"/>
              <w:ind w:firstLine="360" w:firstLineChars="150"/>
              <w:rPr>
                <w:color w:val="000000" w:themeColor="text1"/>
                <w:sz w:val="24"/>
                <w14:textFill>
                  <w14:solidFill>
                    <w14:schemeClr w14:val="tx1"/>
                  </w14:solidFill>
                </w14:textFill>
              </w:rPr>
            </w:pPr>
            <w:r>
              <w:rPr>
                <w:color w:val="000000" w:themeColor="text1"/>
                <w:sz w:val="24"/>
                <w14:textFill>
                  <w14:solidFill>
                    <w14:schemeClr w14:val="tx1"/>
                  </w14:solidFill>
                </w14:textFill>
              </w:rPr>
              <w:t>COD为50mg/L×</w:t>
            </w:r>
            <w:r>
              <w:rPr>
                <w:rFonts w:hint="eastAsia"/>
                <w:color w:val="000000" w:themeColor="text1"/>
                <w:sz w:val="24"/>
                <w14:textFill>
                  <w14:solidFill>
                    <w14:schemeClr w14:val="tx1"/>
                  </w14:solidFill>
                </w14:textFill>
              </w:rPr>
              <w:t>576</w:t>
            </w:r>
            <w:r>
              <w:rPr>
                <w:color w:val="000000" w:themeColor="text1"/>
                <w:sz w:val="24"/>
                <w14:textFill>
                  <w14:solidFill>
                    <w14:schemeClr w14:val="tx1"/>
                  </w14:solidFill>
                </w14:textFill>
              </w:rPr>
              <w:t>t/a÷1000000≈0.0</w:t>
            </w:r>
            <w:r>
              <w:rPr>
                <w:rFonts w:hint="eastAsia"/>
                <w:color w:val="000000" w:themeColor="text1"/>
                <w:sz w:val="24"/>
                <w14:textFill>
                  <w14:solidFill>
                    <w14:schemeClr w14:val="tx1"/>
                  </w14:solidFill>
                </w14:textFill>
              </w:rPr>
              <w:t>29</w:t>
            </w:r>
            <w:r>
              <w:rPr>
                <w:color w:val="000000" w:themeColor="text1"/>
                <w:sz w:val="24"/>
                <w14:textFill>
                  <w14:solidFill>
                    <w14:schemeClr w14:val="tx1"/>
                  </w14:solidFill>
                </w14:textFill>
              </w:rPr>
              <w:t>t/a；</w:t>
            </w:r>
          </w:p>
          <w:p w14:paraId="1C7B5BD8">
            <w:pPr>
              <w:spacing w:line="360" w:lineRule="auto"/>
              <w:ind w:firstLine="360" w:firstLineChars="150"/>
              <w:rPr>
                <w:color w:val="000000" w:themeColor="text1"/>
                <w:sz w:val="24"/>
                <w14:textFill>
                  <w14:solidFill>
                    <w14:schemeClr w14:val="tx1"/>
                  </w14:solidFill>
                </w14:textFill>
              </w:rPr>
            </w:pPr>
            <w:r>
              <w:rPr>
                <w:color w:val="000000" w:themeColor="text1"/>
                <w:sz w:val="24"/>
                <w14:textFill>
                  <w14:solidFill>
                    <w14:schemeClr w14:val="tx1"/>
                  </w14:solidFill>
                </w14:textFill>
              </w:rPr>
              <w:t>NH</w:t>
            </w:r>
            <w:r>
              <w:rPr>
                <w:color w:val="000000" w:themeColor="text1"/>
                <w:sz w:val="24"/>
                <w:vertAlign w:val="subscript"/>
                <w14:textFill>
                  <w14:solidFill>
                    <w14:schemeClr w14:val="tx1"/>
                  </w14:solidFill>
                </w14:textFill>
              </w:rPr>
              <w:t>3</w:t>
            </w:r>
            <w:r>
              <w:rPr>
                <w:color w:val="000000" w:themeColor="text1"/>
                <w:sz w:val="24"/>
                <w14:textFill>
                  <w14:solidFill>
                    <w14:schemeClr w14:val="tx1"/>
                  </w14:solidFill>
                </w14:textFill>
              </w:rPr>
              <w:t>-N为5mg/L×</w:t>
            </w:r>
            <w:r>
              <w:rPr>
                <w:rFonts w:hint="eastAsia"/>
                <w:color w:val="000000" w:themeColor="text1"/>
                <w:sz w:val="24"/>
                <w14:textFill>
                  <w14:solidFill>
                    <w14:schemeClr w14:val="tx1"/>
                  </w14:solidFill>
                </w14:textFill>
              </w:rPr>
              <w:t>576</w:t>
            </w:r>
            <w:r>
              <w:rPr>
                <w:color w:val="000000" w:themeColor="text1"/>
                <w:sz w:val="24"/>
                <w14:textFill>
                  <w14:solidFill>
                    <w14:schemeClr w14:val="tx1"/>
                  </w14:solidFill>
                </w14:textFill>
              </w:rPr>
              <w:t>t/a÷1000000≈0.00</w:t>
            </w:r>
            <w:r>
              <w:rPr>
                <w:rFonts w:hint="eastAsia"/>
                <w:color w:val="000000" w:themeColor="text1"/>
                <w:sz w:val="24"/>
                <w14:textFill>
                  <w14:solidFill>
                    <w14:schemeClr w14:val="tx1"/>
                  </w14:solidFill>
                </w14:textFill>
              </w:rPr>
              <w:t>3t</w:t>
            </w:r>
            <w:r>
              <w:rPr>
                <w:color w:val="000000" w:themeColor="text1"/>
                <w:sz w:val="24"/>
                <w14:textFill>
                  <w14:solidFill>
                    <w14:schemeClr w14:val="tx1"/>
                  </w14:solidFill>
                </w14:textFill>
              </w:rPr>
              <w:t>/a。</w:t>
            </w:r>
          </w:p>
          <w:p w14:paraId="6280A77E">
            <w:pPr>
              <w:spacing w:line="360" w:lineRule="auto"/>
              <w:ind w:firstLine="360" w:firstLineChars="150"/>
              <w:rPr>
                <w:color w:val="000000" w:themeColor="text1"/>
                <w:sz w:val="24"/>
                <w14:textFill>
                  <w14:solidFill>
                    <w14:schemeClr w14:val="tx1"/>
                  </w14:solidFill>
                </w14:textFill>
              </w:rPr>
            </w:pPr>
            <w:r>
              <w:rPr>
                <w:rFonts w:hint="eastAsia" w:ascii="Times New Roman" w:eastAsia="宋体"/>
                <w:color w:val="000000" w:themeColor="text1"/>
                <w:sz w:val="24"/>
                <w:lang w:val="en-US" w:eastAsia="zh-CN"/>
                <w14:textFill>
                  <w14:solidFill>
                    <w14:schemeClr w14:val="tx1"/>
                  </w14:solidFill>
                </w14:textFill>
              </w:rPr>
              <w:t>TP</w:t>
            </w:r>
            <w:r>
              <w:rPr>
                <w:color w:val="000000" w:themeColor="text1"/>
                <w:sz w:val="24"/>
                <w14:textFill>
                  <w14:solidFill>
                    <w14:schemeClr w14:val="tx1"/>
                  </w14:solidFill>
                </w14:textFill>
              </w:rPr>
              <w:t>为</w:t>
            </w:r>
            <w:r>
              <w:rPr>
                <w:rFonts w:hint="eastAsia"/>
                <w:color w:val="000000" w:themeColor="text1"/>
                <w:sz w:val="24"/>
                <w:lang w:val="en-US" w:eastAsia="zh-CN"/>
                <w14:textFill>
                  <w14:solidFill>
                    <w14:schemeClr w14:val="tx1"/>
                  </w14:solidFill>
                </w14:textFill>
              </w:rPr>
              <w:t>0.5</w:t>
            </w:r>
            <w:r>
              <w:rPr>
                <w:color w:val="000000" w:themeColor="text1"/>
                <w:sz w:val="24"/>
                <w14:textFill>
                  <w14:solidFill>
                    <w14:schemeClr w14:val="tx1"/>
                  </w14:solidFill>
                </w14:textFill>
              </w:rPr>
              <w:t>mg/L×</w:t>
            </w:r>
            <w:r>
              <w:rPr>
                <w:rFonts w:hint="eastAsia"/>
                <w:color w:val="000000" w:themeColor="text1"/>
                <w:sz w:val="24"/>
                <w14:textFill>
                  <w14:solidFill>
                    <w14:schemeClr w14:val="tx1"/>
                  </w14:solidFill>
                </w14:textFill>
              </w:rPr>
              <w:t>576</w:t>
            </w:r>
            <w:r>
              <w:rPr>
                <w:color w:val="000000" w:themeColor="text1"/>
                <w:sz w:val="24"/>
                <w14:textFill>
                  <w14:solidFill>
                    <w14:schemeClr w14:val="tx1"/>
                  </w14:solidFill>
                </w14:textFill>
              </w:rPr>
              <w:t>t/a÷1000000≈0.0</w:t>
            </w:r>
            <w:r>
              <w:rPr>
                <w:rFonts w:hint="eastAsia"/>
                <w:color w:val="000000" w:themeColor="text1"/>
                <w:sz w:val="24"/>
                <w:lang w:val="en-US" w:eastAsia="zh-CN"/>
                <w14:textFill>
                  <w14:solidFill>
                    <w14:schemeClr w14:val="tx1"/>
                  </w14:solidFill>
                </w14:textFill>
              </w:rPr>
              <w:t>003</w:t>
            </w:r>
            <w:r>
              <w:rPr>
                <w:color w:val="000000" w:themeColor="text1"/>
                <w:sz w:val="24"/>
                <w14:textFill>
                  <w14:solidFill>
                    <w14:schemeClr w14:val="tx1"/>
                  </w14:solidFill>
                </w14:textFill>
              </w:rPr>
              <w:t>t/a。</w:t>
            </w:r>
          </w:p>
          <w:p w14:paraId="1B63119F">
            <w:pPr>
              <w:pStyle w:val="12"/>
              <w:spacing w:line="360" w:lineRule="auto"/>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本项目废水经</w:t>
            </w:r>
            <w:r>
              <w:rPr>
                <w:rFonts w:hint="eastAsia"/>
                <w:color w:val="000000" w:themeColor="text1"/>
                <w:sz w:val="24"/>
                <w14:textFill>
                  <w14:solidFill>
                    <w14:schemeClr w14:val="tx1"/>
                  </w14:solidFill>
                </w14:textFill>
              </w:rPr>
              <w:t>隔油池+化粪池预处理后通过</w:t>
            </w:r>
            <w:r>
              <w:rPr>
                <w:color w:val="000000" w:themeColor="text1"/>
                <w:sz w:val="24"/>
                <w14:textFill>
                  <w14:solidFill>
                    <w14:schemeClr w14:val="tx1"/>
                  </w14:solidFill>
                </w14:textFill>
              </w:rPr>
              <w:t>市政管网进入</w:t>
            </w:r>
            <w:r>
              <w:rPr>
                <w:rFonts w:hint="eastAsia"/>
                <w:color w:val="000000" w:themeColor="text1"/>
                <w:sz w:val="24"/>
                <w14:textFill>
                  <w14:solidFill>
                    <w14:schemeClr w14:val="tx1"/>
                  </w14:solidFill>
                </w14:textFill>
              </w:rPr>
              <w:t>金山工业园污水处理厂</w:t>
            </w:r>
            <w:r>
              <w:rPr>
                <w:color w:val="000000" w:themeColor="text1"/>
                <w:sz w:val="24"/>
                <w14:textFill>
                  <w14:solidFill>
                    <w14:schemeClr w14:val="tx1"/>
                  </w14:solidFill>
                </w14:textFill>
              </w:rPr>
              <w:t>。</w:t>
            </w:r>
          </w:p>
          <w:p w14:paraId="42A7C82B">
            <w:pPr>
              <w:pStyle w:val="12"/>
              <w:spacing w:line="360" w:lineRule="auto"/>
              <w:ind w:firstLine="480"/>
              <w:rPr>
                <w:rFonts w:hint="eastAsia" w:eastAsia="宋体"/>
                <w:color w:val="000000" w:themeColor="text1"/>
                <w:sz w:val="24"/>
                <w:lang w:eastAsia="zh-CN"/>
                <w14:textFill>
                  <w14:solidFill>
                    <w14:schemeClr w14:val="tx1"/>
                  </w14:solidFill>
                </w14:textFill>
              </w:rPr>
            </w:pPr>
            <w:r>
              <w:rPr>
                <w:rFonts w:hint="eastAsia"/>
                <w:color w:val="000000" w:themeColor="text1"/>
                <w:sz w:val="24"/>
                <w14:textFill>
                  <w14:solidFill>
                    <w14:schemeClr w14:val="tx1"/>
                  </w14:solidFill>
                </w14:textFill>
              </w:rPr>
              <w:t>现有一期项目环评核算的总量为：</w:t>
            </w:r>
          </w:p>
          <w:p w14:paraId="39B6F76F">
            <w:pPr>
              <w:pStyle w:val="12"/>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CODcr总量控制指标为0.87t/a，NH</w:t>
            </w:r>
            <w:r>
              <w:rPr>
                <w:rFonts w:hint="eastAsia"/>
                <w:color w:val="000000" w:themeColor="text1"/>
                <w:sz w:val="24"/>
                <w:vertAlign w:val="subscript"/>
                <w14:textFill>
                  <w14:solidFill>
                    <w14:schemeClr w14:val="tx1"/>
                  </w14:solidFill>
                </w14:textFill>
              </w:rPr>
              <w:t>3</w:t>
            </w:r>
            <w:r>
              <w:rPr>
                <w:rFonts w:hint="eastAsia"/>
                <w:color w:val="000000" w:themeColor="text1"/>
                <w:sz w:val="24"/>
                <w14:textFill>
                  <w14:solidFill>
                    <w14:schemeClr w14:val="tx1"/>
                  </w14:solidFill>
                </w14:textFill>
              </w:rPr>
              <w:t>-N总量控制指标为0.13t/a。</w:t>
            </w:r>
          </w:p>
          <w:p w14:paraId="578984BC">
            <w:pPr>
              <w:pStyle w:val="12"/>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由于本项目是对二期建设内容进行评价，因此总量与一期项目无关。</w:t>
            </w:r>
          </w:p>
          <w:p w14:paraId="3973B740">
            <w:pPr>
              <w:pStyle w:val="12"/>
              <w:spacing w:line="360" w:lineRule="auto"/>
              <w:ind w:firstLine="480"/>
              <w:rPr>
                <w:rFonts w:hint="eastAsia"/>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本项目所需总量为</w:t>
            </w:r>
            <w:r>
              <w:rPr>
                <w:color w:val="000000" w:themeColor="text1"/>
                <w:sz w:val="24"/>
                <w14:textFill>
                  <w14:solidFill>
                    <w14:schemeClr w14:val="tx1"/>
                  </w14:solidFill>
                </w14:textFill>
              </w:rPr>
              <w:t>CODcr</w:t>
            </w:r>
            <w:r>
              <w:rPr>
                <w:rFonts w:hint="eastAsia"/>
                <w:color w:val="000000" w:themeColor="text1"/>
                <w:sz w:val="24"/>
                <w14:textFill>
                  <w14:solidFill>
                    <w14:schemeClr w14:val="tx1"/>
                  </w14:solidFill>
                </w14:textFill>
              </w:rPr>
              <w:t>0.029t/a，NH</w:t>
            </w:r>
            <w:r>
              <w:rPr>
                <w:rFonts w:hint="eastAsia"/>
                <w:color w:val="000000" w:themeColor="text1"/>
                <w:sz w:val="24"/>
                <w:vertAlign w:val="subscript"/>
                <w14:textFill>
                  <w14:solidFill>
                    <w14:schemeClr w14:val="tx1"/>
                  </w14:solidFill>
                </w14:textFill>
              </w:rPr>
              <w:t>3</w:t>
            </w:r>
            <w:r>
              <w:rPr>
                <w:rFonts w:hint="eastAsia"/>
                <w:color w:val="000000" w:themeColor="text1"/>
                <w:sz w:val="24"/>
                <w14:textFill>
                  <w14:solidFill>
                    <w14:schemeClr w14:val="tx1"/>
                  </w14:solidFill>
                </w14:textFill>
              </w:rPr>
              <w:t>-N为0.003 t/a，</w:t>
            </w:r>
            <w:r>
              <w:rPr>
                <w:rFonts w:hint="eastAsia"/>
                <w:color w:val="000000" w:themeColor="text1"/>
                <w:sz w:val="24"/>
                <w:lang w:val="en-US" w:eastAsia="zh-CN"/>
                <w14:textFill>
                  <w14:solidFill>
                    <w14:schemeClr w14:val="tx1"/>
                  </w14:solidFill>
                </w14:textFill>
              </w:rPr>
              <w:t>TP为</w:t>
            </w:r>
            <w:r>
              <w:rPr>
                <w:rFonts w:hint="eastAsia"/>
                <w:color w:val="000000" w:themeColor="text1"/>
                <w:sz w:val="24"/>
                <w14:textFill>
                  <w14:solidFill>
                    <w14:schemeClr w14:val="tx1"/>
                  </w14:solidFill>
                </w14:textFill>
              </w:rPr>
              <w:t>0.00</w:t>
            </w:r>
            <w:r>
              <w:rPr>
                <w:rFonts w:hint="eastAsia"/>
                <w:color w:val="000000" w:themeColor="text1"/>
                <w:sz w:val="24"/>
                <w:lang w:val="en-US" w:eastAsia="zh-CN"/>
                <w14:textFill>
                  <w14:solidFill>
                    <w14:schemeClr w14:val="tx1"/>
                  </w14:solidFill>
                </w14:textFill>
              </w:rPr>
              <w:t>0</w:t>
            </w:r>
            <w:r>
              <w:rPr>
                <w:rFonts w:hint="eastAsia"/>
                <w:color w:val="000000" w:themeColor="text1"/>
                <w:sz w:val="24"/>
                <w14:textFill>
                  <w14:solidFill>
                    <w14:schemeClr w14:val="tx1"/>
                  </w14:solidFill>
                </w14:textFill>
              </w:rPr>
              <w:t>3 t/a。</w:t>
            </w:r>
          </w:p>
          <w:p w14:paraId="4602C7A7">
            <w:pPr>
              <w:spacing w:line="360" w:lineRule="auto"/>
              <w:ind w:firstLine="361" w:firstLineChars="150"/>
              <w:rPr>
                <w:b/>
                <w:bCs/>
                <w:color w:val="000000" w:themeColor="text1"/>
                <w:kern w:val="0"/>
                <w:sz w:val="24"/>
                <w14:textFill>
                  <w14:solidFill>
                    <w14:schemeClr w14:val="tx1"/>
                  </w14:solidFill>
                </w14:textFill>
              </w:rPr>
            </w:pPr>
            <w:r>
              <w:rPr>
                <w:b/>
                <w:bCs/>
                <w:color w:val="000000" w:themeColor="text1"/>
                <w:kern w:val="0"/>
                <w:sz w:val="24"/>
                <w14:textFill>
                  <w14:solidFill>
                    <w14:schemeClr w14:val="tx1"/>
                  </w14:solidFill>
                </w14:textFill>
              </w:rPr>
              <w:t>二、废气</w:t>
            </w:r>
          </w:p>
          <w:p w14:paraId="73B222AA">
            <w:pPr>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kern w:val="21"/>
                <w:sz w:val="24"/>
                <w14:textFill>
                  <w14:solidFill>
                    <w14:schemeClr w14:val="tx1"/>
                  </w14:solidFill>
                </w14:textFill>
              </w:rPr>
              <w:t>本项目废气中产生的少量颗粒物，经通风后无组织排放，故本项目不涉及废气总量控制指标。</w:t>
            </w:r>
          </w:p>
        </w:tc>
      </w:tr>
    </w:tbl>
    <w:p w14:paraId="6260E0D8">
      <w:pPr>
        <w:tabs>
          <w:tab w:val="left" w:pos="1304"/>
        </w:tabs>
        <w:rPr>
          <w:snapToGrid w:val="0"/>
          <w:color w:val="000000" w:themeColor="text1"/>
          <w14:textFill>
            <w14:solidFill>
              <w14:schemeClr w14:val="tx1"/>
            </w14:solidFill>
          </w14:textFill>
        </w:rPr>
        <w:sectPr>
          <w:pgSz w:w="11907" w:h="16840"/>
          <w:pgMar w:top="1134" w:right="1134" w:bottom="1134" w:left="1134" w:header="851" w:footer="851" w:gutter="0"/>
          <w:cols w:space="720" w:num="1"/>
          <w:docGrid w:linePitch="312" w:charSpace="0"/>
        </w:sectPr>
      </w:pPr>
    </w:p>
    <w:p w14:paraId="399EAD37">
      <w:pPr>
        <w:pStyle w:val="40"/>
        <w:outlineLvl w:val="0"/>
        <w:rPr>
          <w:rFonts w:ascii="Times New Roman" w:hAnsi="Times New Roman"/>
          <w:snapToGrid w:val="0"/>
          <w:color w:val="000000" w:themeColor="text1"/>
          <w:sz w:val="30"/>
          <w:szCs w:val="30"/>
          <w14:textFill>
            <w14:solidFill>
              <w14:schemeClr w14:val="tx1"/>
            </w14:solidFill>
          </w14:textFill>
        </w:rPr>
      </w:pPr>
      <w:bookmarkStart w:id="50" w:name="_Toc6847"/>
      <w:bookmarkStart w:id="51" w:name="_Toc71641912"/>
      <w:r>
        <w:rPr>
          <w:rFonts w:ascii="Times New Roman" w:hAnsi="Times New Roman"/>
          <w:b/>
          <w:bCs/>
          <w:snapToGrid w:val="0"/>
          <w:color w:val="000000" w:themeColor="text1"/>
          <w:sz w:val="30"/>
          <w:szCs w:val="30"/>
          <w14:textFill>
            <w14:solidFill>
              <w14:schemeClr w14:val="tx1"/>
            </w14:solidFill>
          </w14:textFill>
        </w:rPr>
        <w:t>四、主要环境影响和保护措施</w:t>
      </w:r>
      <w:bookmarkEnd w:id="50"/>
      <w:bookmarkEnd w:id="51"/>
    </w:p>
    <w:tbl>
      <w:tblPr>
        <w:tblStyle w:val="45"/>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853"/>
        <w:gridCol w:w="13855"/>
      </w:tblGrid>
      <w:tr w14:paraId="0F19F05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749" w:hRule="atLeast"/>
          <w:jc w:val="center"/>
        </w:trPr>
        <w:tc>
          <w:tcPr>
            <w:tcW w:w="290" w:type="pct"/>
            <w:tcMar>
              <w:left w:w="28" w:type="dxa"/>
              <w:right w:w="28" w:type="dxa"/>
            </w:tcMar>
            <w:vAlign w:val="center"/>
          </w:tcPr>
          <w:p w14:paraId="1767DC4B">
            <w:pPr>
              <w:pStyle w:val="40"/>
              <w:adjustRightInd w:val="0"/>
              <w:snapToGrid w:val="0"/>
              <w:spacing w:before="0" w:beforeAutospacing="0" w:after="0" w:afterAutospacing="0"/>
              <w:jc w:val="center"/>
              <w:rPr>
                <w:rFonts w:ascii="Times New Roman" w:hAnsi="Times New Roman"/>
                <w:b/>
                <w:bCs/>
                <w:color w:val="000000" w:themeColor="text1"/>
                <w:kern w:val="2"/>
                <w:szCs w:val="24"/>
                <w14:textFill>
                  <w14:solidFill>
                    <w14:schemeClr w14:val="tx1"/>
                  </w14:solidFill>
                </w14:textFill>
              </w:rPr>
            </w:pPr>
            <w:r>
              <w:rPr>
                <w:rFonts w:ascii="Times New Roman" w:hAnsi="Times New Roman"/>
                <w:b/>
                <w:bCs/>
                <w:color w:val="000000" w:themeColor="text1"/>
                <w:kern w:val="2"/>
                <w:szCs w:val="24"/>
                <w14:textFill>
                  <w14:solidFill>
                    <w14:schemeClr w14:val="tx1"/>
                  </w14:solidFill>
                </w14:textFill>
              </w:rPr>
              <w:t>施工</w:t>
            </w:r>
          </w:p>
          <w:p w14:paraId="067ADD66">
            <w:pPr>
              <w:pStyle w:val="40"/>
              <w:adjustRightInd w:val="0"/>
              <w:snapToGrid w:val="0"/>
              <w:spacing w:before="0" w:beforeAutospacing="0" w:after="0" w:afterAutospacing="0"/>
              <w:jc w:val="center"/>
              <w:rPr>
                <w:rFonts w:ascii="Times New Roman" w:hAnsi="Times New Roman"/>
                <w:b/>
                <w:bCs/>
                <w:color w:val="000000" w:themeColor="text1"/>
                <w:kern w:val="2"/>
                <w:szCs w:val="24"/>
                <w14:textFill>
                  <w14:solidFill>
                    <w14:schemeClr w14:val="tx1"/>
                  </w14:solidFill>
                </w14:textFill>
              </w:rPr>
            </w:pPr>
            <w:r>
              <w:rPr>
                <w:rFonts w:ascii="Times New Roman" w:hAnsi="Times New Roman"/>
                <w:b/>
                <w:bCs/>
                <w:color w:val="000000" w:themeColor="text1"/>
                <w:kern w:val="2"/>
                <w:szCs w:val="24"/>
                <w14:textFill>
                  <w14:solidFill>
                    <w14:schemeClr w14:val="tx1"/>
                  </w14:solidFill>
                </w14:textFill>
              </w:rPr>
              <w:t>期环</w:t>
            </w:r>
          </w:p>
          <w:p w14:paraId="328C55B7">
            <w:pPr>
              <w:pStyle w:val="40"/>
              <w:adjustRightInd w:val="0"/>
              <w:snapToGrid w:val="0"/>
              <w:spacing w:before="0" w:beforeAutospacing="0" w:after="0" w:afterAutospacing="0"/>
              <w:jc w:val="center"/>
              <w:rPr>
                <w:rFonts w:ascii="Times New Roman" w:hAnsi="Times New Roman"/>
                <w:b/>
                <w:bCs/>
                <w:color w:val="000000" w:themeColor="text1"/>
                <w:kern w:val="2"/>
                <w:szCs w:val="24"/>
                <w14:textFill>
                  <w14:solidFill>
                    <w14:schemeClr w14:val="tx1"/>
                  </w14:solidFill>
                </w14:textFill>
              </w:rPr>
            </w:pPr>
            <w:r>
              <w:rPr>
                <w:rFonts w:ascii="Times New Roman" w:hAnsi="Times New Roman"/>
                <w:b/>
                <w:bCs/>
                <w:color w:val="000000" w:themeColor="text1"/>
                <w:kern w:val="2"/>
                <w:szCs w:val="24"/>
                <w14:textFill>
                  <w14:solidFill>
                    <w14:schemeClr w14:val="tx1"/>
                  </w14:solidFill>
                </w14:textFill>
              </w:rPr>
              <w:t>境保</w:t>
            </w:r>
          </w:p>
          <w:p w14:paraId="4CC12825">
            <w:pPr>
              <w:pStyle w:val="40"/>
              <w:adjustRightInd w:val="0"/>
              <w:snapToGrid w:val="0"/>
              <w:spacing w:before="0" w:beforeAutospacing="0" w:after="0" w:afterAutospacing="0"/>
              <w:jc w:val="center"/>
              <w:rPr>
                <w:rFonts w:ascii="Times New Roman" w:hAnsi="Times New Roman"/>
                <w:b/>
                <w:bCs/>
                <w:color w:val="000000" w:themeColor="text1"/>
                <w:kern w:val="2"/>
                <w:szCs w:val="24"/>
                <w14:textFill>
                  <w14:solidFill>
                    <w14:schemeClr w14:val="tx1"/>
                  </w14:solidFill>
                </w14:textFill>
              </w:rPr>
            </w:pPr>
            <w:r>
              <w:rPr>
                <w:rFonts w:ascii="Times New Roman" w:hAnsi="Times New Roman"/>
                <w:b/>
                <w:bCs/>
                <w:color w:val="000000" w:themeColor="text1"/>
                <w:kern w:val="2"/>
                <w:szCs w:val="24"/>
                <w14:textFill>
                  <w14:solidFill>
                    <w14:schemeClr w14:val="tx1"/>
                  </w14:solidFill>
                </w14:textFill>
              </w:rPr>
              <w:t>护措</w:t>
            </w:r>
          </w:p>
          <w:p w14:paraId="292DE50A">
            <w:pPr>
              <w:pStyle w:val="40"/>
              <w:adjustRightInd w:val="0"/>
              <w:snapToGrid w:val="0"/>
              <w:spacing w:before="0" w:beforeAutospacing="0" w:after="0" w:afterAutospacing="0"/>
              <w:jc w:val="center"/>
              <w:rPr>
                <w:rFonts w:ascii="Times New Roman" w:hAnsi="Times New Roman"/>
                <w:bCs/>
                <w:color w:val="000000" w:themeColor="text1"/>
                <w:kern w:val="2"/>
                <w:sz w:val="21"/>
                <w:szCs w:val="21"/>
                <w14:textFill>
                  <w14:solidFill>
                    <w14:schemeClr w14:val="tx1"/>
                  </w14:solidFill>
                </w14:textFill>
              </w:rPr>
            </w:pPr>
            <w:r>
              <w:rPr>
                <w:rFonts w:ascii="Times New Roman" w:hAnsi="Times New Roman"/>
                <w:b/>
                <w:bCs/>
                <w:color w:val="000000" w:themeColor="text1"/>
                <w:kern w:val="2"/>
                <w:szCs w:val="24"/>
                <w14:textFill>
                  <w14:solidFill>
                    <w14:schemeClr w14:val="tx1"/>
                  </w14:solidFill>
                </w14:textFill>
              </w:rPr>
              <w:t>施</w:t>
            </w:r>
          </w:p>
        </w:tc>
        <w:tc>
          <w:tcPr>
            <w:tcW w:w="4710" w:type="pct"/>
            <w:vAlign w:val="center"/>
          </w:tcPr>
          <w:p w14:paraId="60B8830D">
            <w:pPr>
              <w:keepNext/>
              <w:keepLines/>
              <w:widowControl/>
              <w:spacing w:line="360" w:lineRule="auto"/>
              <w:outlineLvl w:val="3"/>
              <w:rPr>
                <w:b/>
                <w:color w:val="000000" w:themeColor="text1"/>
                <w:sz w:val="24"/>
                <w:szCs w:val="20"/>
                <w14:textFill>
                  <w14:solidFill>
                    <w14:schemeClr w14:val="tx1"/>
                  </w14:solidFill>
                </w14:textFill>
              </w:rPr>
            </w:pPr>
            <w:r>
              <w:rPr>
                <w:b/>
                <w:color w:val="000000" w:themeColor="text1"/>
                <w:sz w:val="24"/>
                <w:szCs w:val="20"/>
                <w14:textFill>
                  <w14:solidFill>
                    <w14:schemeClr w14:val="tx1"/>
                  </w14:solidFill>
                </w14:textFill>
              </w:rPr>
              <w:t>、施工期废水</w:t>
            </w:r>
          </w:p>
          <w:p w14:paraId="2188826F">
            <w:pPr>
              <w:widowControl/>
              <w:snapToGrid w:val="0"/>
              <w:spacing w:line="360" w:lineRule="auto"/>
              <w:ind w:left="466" w:leftChars="216" w:hanging="12" w:hangingChars="5"/>
              <w:rPr>
                <w:color w:val="000000" w:themeColor="text1"/>
                <w:sz w:val="24"/>
                <w:szCs w:val="20"/>
                <w14:textFill>
                  <w14:solidFill>
                    <w14:schemeClr w14:val="tx1"/>
                  </w14:solidFill>
                </w14:textFill>
              </w:rPr>
            </w:pPr>
            <w:r>
              <w:rPr>
                <w:color w:val="000000" w:themeColor="text1"/>
                <w:sz w:val="24"/>
                <w:szCs w:val="20"/>
                <w14:textFill>
                  <w14:solidFill>
                    <w14:schemeClr w14:val="tx1"/>
                  </w14:solidFill>
                </w14:textFill>
              </w:rPr>
              <w:t>施工期的废水排放主要来自于施工人员的生活污水及施工废水。</w:t>
            </w:r>
          </w:p>
          <w:p w14:paraId="0D00A7B5">
            <w:pPr>
              <w:widowControl/>
              <w:snapToGrid w:val="0"/>
              <w:spacing w:line="360" w:lineRule="auto"/>
              <w:ind w:firstLine="480" w:firstLineChars="200"/>
              <w:rPr>
                <w:color w:val="000000" w:themeColor="text1"/>
                <w:sz w:val="24"/>
                <w:szCs w:val="20"/>
                <w14:textFill>
                  <w14:solidFill>
                    <w14:schemeClr w14:val="tx1"/>
                  </w14:solidFill>
                </w14:textFill>
              </w:rPr>
            </w:pPr>
            <w:r>
              <w:rPr>
                <w:color w:val="000000" w:themeColor="text1"/>
                <w:sz w:val="24"/>
                <w:szCs w:val="20"/>
                <w14:textFill>
                  <w14:solidFill>
                    <w14:schemeClr w14:val="tx1"/>
                  </w14:solidFill>
                </w14:textFill>
              </w:rPr>
              <w:t>（1）生活污水</w:t>
            </w:r>
          </w:p>
          <w:p w14:paraId="6D2E73E3">
            <w:pPr>
              <w:widowControl/>
              <w:snapToGrid w:val="0"/>
              <w:spacing w:line="360" w:lineRule="auto"/>
              <w:ind w:firstLine="480" w:firstLineChars="200"/>
              <w:rPr>
                <w:color w:val="000000" w:themeColor="text1"/>
                <w:sz w:val="24"/>
                <w:szCs w:val="20"/>
                <w14:textFill>
                  <w14:solidFill>
                    <w14:schemeClr w14:val="tx1"/>
                  </w14:solidFill>
                </w14:textFill>
              </w:rPr>
            </w:pPr>
            <w:r>
              <w:rPr>
                <w:color w:val="000000" w:themeColor="text1"/>
                <w:sz w:val="24"/>
                <w:szCs w:val="20"/>
                <w14:textFill>
                  <w14:solidFill>
                    <w14:schemeClr w14:val="tx1"/>
                  </w14:solidFill>
                </w14:textFill>
              </w:rPr>
              <w:t>按施工组织，施工人员约为50人，</w:t>
            </w:r>
            <w:r>
              <w:rPr>
                <w:rFonts w:hint="eastAsia"/>
                <w:color w:val="000000" w:themeColor="text1"/>
                <w:sz w:val="24"/>
                <w:szCs w:val="20"/>
                <w14:textFill>
                  <w14:solidFill>
                    <w14:schemeClr w14:val="tx1"/>
                  </w14:solidFill>
                </w14:textFill>
              </w:rPr>
              <w:t>生活区依托周边村庄民房</w:t>
            </w:r>
            <w:r>
              <w:rPr>
                <w:color w:val="000000" w:themeColor="text1"/>
                <w:sz w:val="24"/>
                <w:szCs w:val="20"/>
                <w14:textFill>
                  <w14:solidFill>
                    <w14:schemeClr w14:val="tx1"/>
                  </w14:solidFill>
                </w14:textFill>
              </w:rPr>
              <w:t>，施工人员生活污水排放量Q</w:t>
            </w:r>
            <w:r>
              <w:rPr>
                <w:color w:val="000000" w:themeColor="text1"/>
                <w:sz w:val="24"/>
                <w:szCs w:val="20"/>
                <w:vertAlign w:val="subscript"/>
                <w14:textFill>
                  <w14:solidFill>
                    <w14:schemeClr w14:val="tx1"/>
                  </w14:solidFill>
                </w14:textFill>
              </w:rPr>
              <w:t>S</w:t>
            </w:r>
            <w:r>
              <w:rPr>
                <w:color w:val="000000" w:themeColor="text1"/>
                <w:sz w:val="24"/>
                <w:szCs w:val="20"/>
                <w14:textFill>
                  <w14:solidFill>
                    <w14:schemeClr w14:val="tx1"/>
                  </w14:solidFill>
                </w14:textFill>
              </w:rPr>
              <w:t xml:space="preserve"> 按下式计算：</w:t>
            </w:r>
          </w:p>
          <w:p w14:paraId="2A20C0F4">
            <w:pPr>
              <w:widowControl/>
              <w:snapToGrid w:val="0"/>
              <w:spacing w:line="360" w:lineRule="auto"/>
              <w:jc w:val="center"/>
              <w:rPr>
                <w:color w:val="000000" w:themeColor="text1"/>
                <w:sz w:val="24"/>
                <w:szCs w:val="20"/>
                <w14:textFill>
                  <w14:solidFill>
                    <w14:schemeClr w14:val="tx1"/>
                  </w14:solidFill>
                </w14:textFill>
              </w:rPr>
            </w:pPr>
            <w:r>
              <w:rPr>
                <w:color w:val="000000" w:themeColor="text1"/>
                <w:sz w:val="24"/>
                <w:szCs w:val="20"/>
                <w14:textFill>
                  <w14:solidFill>
                    <w14:schemeClr w14:val="tx1"/>
                  </w14:solidFill>
                </w14:textFill>
              </w:rPr>
              <w:object>
                <v:shape id="_x0000_i1026" o:spt="75" type="#_x0000_t75" style="height:35.25pt;width:94.5pt;" o:ole="t" fillcolor="#ACA899" filled="f" o:preferrelative="t" stroked="f" coordsize="21600,21600">
                  <v:path/>
                  <v:fill on="f" focussize="0,0"/>
                  <v:stroke on="f" joinstyle="miter"/>
                  <v:imagedata r:id="rId16" o:title=""/>
                  <o:lock v:ext="edit" aspectratio="t"/>
                  <w10:wrap type="none"/>
                  <w10:anchorlock/>
                </v:shape>
                <o:OLEObject Type="Embed" ProgID="Equation.3" ShapeID="_x0000_i1026" DrawAspect="Content" ObjectID="_1468075726" r:id="rId15">
                  <o:LockedField>false</o:LockedField>
                </o:OLEObject>
              </w:object>
            </w:r>
          </w:p>
          <w:p w14:paraId="45972349">
            <w:pPr>
              <w:widowControl/>
              <w:snapToGrid w:val="0"/>
              <w:spacing w:line="360" w:lineRule="auto"/>
              <w:ind w:left="468" w:leftChars="159" w:hanging="134" w:hangingChars="56"/>
              <w:rPr>
                <w:color w:val="000000" w:themeColor="text1"/>
                <w:sz w:val="24"/>
                <w:szCs w:val="20"/>
                <w14:textFill>
                  <w14:solidFill>
                    <w14:schemeClr w14:val="tx1"/>
                  </w14:solidFill>
                </w14:textFill>
              </w:rPr>
            </w:pPr>
            <w:r>
              <w:rPr>
                <w:color w:val="000000" w:themeColor="text1"/>
                <w:sz w:val="24"/>
                <w:szCs w:val="20"/>
                <w14:textFill>
                  <w14:solidFill>
                    <w14:schemeClr w14:val="tx1"/>
                  </w14:solidFill>
                </w14:textFill>
              </w:rPr>
              <w:t>式中：Q</w:t>
            </w:r>
            <w:r>
              <w:rPr>
                <w:color w:val="000000" w:themeColor="text1"/>
                <w:sz w:val="24"/>
                <w:szCs w:val="20"/>
                <w:vertAlign w:val="subscript"/>
                <w14:textFill>
                  <w14:solidFill>
                    <w14:schemeClr w14:val="tx1"/>
                  </w14:solidFill>
                </w14:textFill>
              </w:rPr>
              <w:t>S</w:t>
            </w:r>
            <w:r>
              <w:rPr>
                <w:color w:val="000000" w:themeColor="text1"/>
                <w:sz w:val="24"/>
                <w:szCs w:val="20"/>
                <w14:textFill>
                  <w14:solidFill>
                    <w14:schemeClr w14:val="tx1"/>
                  </w14:solidFill>
                </w14:textFill>
              </w:rPr>
              <w:t>—生活区污水排放量，t/d；q</w:t>
            </w:r>
            <w:r>
              <w:rPr>
                <w:color w:val="000000" w:themeColor="text1"/>
                <w:sz w:val="24"/>
                <w:szCs w:val="20"/>
                <w:vertAlign w:val="subscript"/>
                <w14:textFill>
                  <w14:solidFill>
                    <w14:schemeClr w14:val="tx1"/>
                  </w14:solidFill>
                </w14:textFill>
              </w:rPr>
              <w:t>i</w:t>
            </w:r>
            <w:r>
              <w:rPr>
                <w:color w:val="000000" w:themeColor="text1"/>
                <w:sz w:val="24"/>
                <w:szCs w:val="20"/>
                <w14:textFill>
                  <w14:solidFill>
                    <w14:schemeClr w14:val="tx1"/>
                  </w14:solidFill>
                </w14:textFill>
              </w:rPr>
              <w:t>—每人每天生活用水量，（取qi=120L）； V</w:t>
            </w:r>
            <w:r>
              <w:rPr>
                <w:color w:val="000000" w:themeColor="text1"/>
                <w:sz w:val="24"/>
                <w:szCs w:val="20"/>
                <w:vertAlign w:val="subscript"/>
                <w14:textFill>
                  <w14:solidFill>
                    <w14:schemeClr w14:val="tx1"/>
                  </w14:solidFill>
                </w14:textFill>
              </w:rPr>
              <w:t>i</w:t>
            </w:r>
            <w:r>
              <w:rPr>
                <w:color w:val="000000" w:themeColor="text1"/>
                <w:sz w:val="24"/>
                <w:szCs w:val="20"/>
                <w14:textFill>
                  <w14:solidFill>
                    <w14:schemeClr w14:val="tx1"/>
                  </w14:solidFill>
                </w14:textFill>
              </w:rPr>
              <w:t>—生活区人数，人；K—生活区污水排放系数，一般为0.80；</w:t>
            </w:r>
          </w:p>
          <w:p w14:paraId="52318EC5">
            <w:pPr>
              <w:widowControl/>
              <w:snapToGrid w:val="0"/>
              <w:spacing w:line="360" w:lineRule="auto"/>
              <w:ind w:firstLine="480" w:firstLineChars="200"/>
              <w:rPr>
                <w:color w:val="000000" w:themeColor="text1"/>
                <w:sz w:val="24"/>
                <w:szCs w:val="20"/>
                <w14:textFill>
                  <w14:solidFill>
                    <w14:schemeClr w14:val="tx1"/>
                  </w14:solidFill>
                </w14:textFill>
              </w:rPr>
            </w:pPr>
            <w:r>
              <w:rPr>
                <w:color w:val="000000" w:themeColor="text1"/>
                <w:sz w:val="24"/>
                <w:szCs w:val="20"/>
                <w14:textFill>
                  <w14:solidFill>
                    <w14:schemeClr w14:val="tx1"/>
                  </w14:solidFill>
                </w14:textFill>
              </w:rPr>
              <w:t>按50人</w:t>
            </w:r>
            <w:r>
              <w:rPr>
                <w:rFonts w:hint="eastAsia"/>
                <w:color w:val="000000" w:themeColor="text1"/>
                <w:sz w:val="24"/>
                <w:szCs w:val="20"/>
                <w14:textFill>
                  <w14:solidFill>
                    <w14:schemeClr w14:val="tx1"/>
                  </w14:solidFill>
                </w14:textFill>
              </w:rPr>
              <w:t>合</w:t>
            </w:r>
            <w:r>
              <w:rPr>
                <w:color w:val="000000" w:themeColor="text1"/>
                <w:sz w:val="24"/>
                <w:szCs w:val="20"/>
                <w14:textFill>
                  <w14:solidFill>
                    <w14:schemeClr w14:val="tx1"/>
                  </w14:solidFill>
                </w14:textFill>
              </w:rPr>
              <w:t>计，COD</w:t>
            </w:r>
            <w:r>
              <w:rPr>
                <w:color w:val="000000" w:themeColor="text1"/>
                <w:sz w:val="24"/>
                <w:szCs w:val="20"/>
                <w:vertAlign w:val="subscript"/>
                <w14:textFill>
                  <w14:solidFill>
                    <w14:schemeClr w14:val="tx1"/>
                  </w14:solidFill>
                </w14:textFill>
              </w:rPr>
              <w:t>Cr</w:t>
            </w:r>
            <w:r>
              <w:rPr>
                <w:color w:val="000000" w:themeColor="text1"/>
                <w:sz w:val="24"/>
                <w:szCs w:val="20"/>
                <w14:textFill>
                  <w14:solidFill>
                    <w14:schemeClr w14:val="tx1"/>
                  </w14:solidFill>
                </w14:textFill>
              </w:rPr>
              <w:t>浓度值约250 mg/L、BOD</w:t>
            </w:r>
            <w:r>
              <w:rPr>
                <w:color w:val="000000" w:themeColor="text1"/>
                <w:sz w:val="24"/>
                <w:szCs w:val="20"/>
                <w:vertAlign w:val="subscript"/>
                <w14:textFill>
                  <w14:solidFill>
                    <w14:schemeClr w14:val="tx1"/>
                  </w14:solidFill>
                </w14:textFill>
              </w:rPr>
              <w:t>5</w:t>
            </w:r>
            <w:r>
              <w:rPr>
                <w:color w:val="000000" w:themeColor="text1"/>
                <w:sz w:val="24"/>
                <w:szCs w:val="20"/>
                <w14:textFill>
                  <w14:solidFill>
                    <w14:schemeClr w14:val="tx1"/>
                  </w14:solidFill>
                </w14:textFill>
              </w:rPr>
              <w:t>约100 mg/L，SS约100 mg/L，NH</w:t>
            </w:r>
            <w:r>
              <w:rPr>
                <w:color w:val="000000" w:themeColor="text1"/>
                <w:sz w:val="24"/>
                <w:szCs w:val="20"/>
                <w:vertAlign w:val="subscript"/>
                <w14:textFill>
                  <w14:solidFill>
                    <w14:schemeClr w14:val="tx1"/>
                  </w14:solidFill>
                </w14:textFill>
              </w:rPr>
              <w:t>3</w:t>
            </w:r>
            <w:r>
              <w:rPr>
                <w:color w:val="000000" w:themeColor="text1"/>
                <w:sz w:val="24"/>
                <w:szCs w:val="20"/>
                <w14:textFill>
                  <w14:solidFill>
                    <w14:schemeClr w14:val="tx1"/>
                  </w14:solidFill>
                </w14:textFill>
              </w:rPr>
              <w:t>-N约25 mg/L，则施工人员生活污水排放情况见表4-1。</w:t>
            </w:r>
          </w:p>
          <w:p w14:paraId="523F00F2">
            <w:pPr>
              <w:keepNext/>
              <w:numPr>
                <w:ilvl w:val="4"/>
                <w:numId w:val="15"/>
              </w:numPr>
              <w:tabs>
                <w:tab w:val="left" w:pos="360"/>
              </w:tabs>
              <w:jc w:val="center"/>
              <w:outlineLvl w:val="4"/>
              <w:rPr>
                <w:b/>
                <w:color w:val="000000" w:themeColor="text1"/>
                <w:sz w:val="24"/>
                <w:szCs w:val="20"/>
                <w14:textFill>
                  <w14:solidFill>
                    <w14:schemeClr w14:val="tx1"/>
                  </w14:solidFill>
                </w14:textFill>
              </w:rPr>
            </w:pPr>
            <w:r>
              <w:rPr>
                <w:b/>
                <w:color w:val="000000" w:themeColor="text1"/>
                <w:sz w:val="24"/>
                <w:szCs w:val="20"/>
                <w14:textFill>
                  <w14:solidFill>
                    <w14:schemeClr w14:val="tx1"/>
                  </w14:solidFill>
                </w14:textFill>
              </w:rPr>
              <w:t>施工人员生活污水及污染物排放量</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2246"/>
              <w:gridCol w:w="2439"/>
              <w:gridCol w:w="2439"/>
              <w:gridCol w:w="2219"/>
              <w:gridCol w:w="1775"/>
              <w:gridCol w:w="2491"/>
            </w:tblGrid>
            <w:tr w14:paraId="0A436D1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atLeast"/>
                <w:jc w:val="center"/>
              </w:trPr>
              <w:tc>
                <w:tcPr>
                  <w:tcW w:w="825" w:type="pct"/>
                </w:tcPr>
                <w:p w14:paraId="56141489">
                  <w:pPr>
                    <w:widowControl/>
                    <w:jc w:val="center"/>
                    <w:rPr>
                      <w:color w:val="000000" w:themeColor="text1"/>
                      <w:spacing w:val="3"/>
                      <w:szCs w:val="21"/>
                      <w14:textFill>
                        <w14:solidFill>
                          <w14:schemeClr w14:val="tx1"/>
                        </w14:solidFill>
                      </w14:textFill>
                    </w:rPr>
                  </w:pPr>
                  <w:r>
                    <w:rPr>
                      <w:color w:val="000000" w:themeColor="text1"/>
                      <w:spacing w:val="3"/>
                      <w:szCs w:val="21"/>
                      <w14:textFill>
                        <w14:solidFill>
                          <w14:schemeClr w14:val="tx1"/>
                        </w14:solidFill>
                      </w14:textFill>
                    </w:rPr>
                    <w:t>生活用水量</w:t>
                  </w:r>
                </w:p>
              </w:tc>
              <w:tc>
                <w:tcPr>
                  <w:tcW w:w="896" w:type="pct"/>
                </w:tcPr>
                <w:p w14:paraId="5B64B6B1">
                  <w:pPr>
                    <w:widowControl/>
                    <w:jc w:val="center"/>
                    <w:rPr>
                      <w:color w:val="000000" w:themeColor="text1"/>
                      <w:spacing w:val="3"/>
                      <w:szCs w:val="21"/>
                      <w14:textFill>
                        <w14:solidFill>
                          <w14:schemeClr w14:val="tx1"/>
                        </w14:solidFill>
                      </w14:textFill>
                    </w:rPr>
                  </w:pPr>
                  <w:r>
                    <w:rPr>
                      <w:color w:val="000000" w:themeColor="text1"/>
                      <w:spacing w:val="3"/>
                      <w:szCs w:val="21"/>
                      <w14:textFill>
                        <w14:solidFill>
                          <w14:schemeClr w14:val="tx1"/>
                        </w14:solidFill>
                      </w14:textFill>
                    </w:rPr>
                    <w:t>污水排放量</w:t>
                  </w:r>
                </w:p>
              </w:tc>
              <w:tc>
                <w:tcPr>
                  <w:tcW w:w="896" w:type="pct"/>
                </w:tcPr>
                <w:p w14:paraId="41C185DC">
                  <w:pPr>
                    <w:widowControl/>
                    <w:jc w:val="center"/>
                    <w:rPr>
                      <w:color w:val="000000" w:themeColor="text1"/>
                      <w:spacing w:val="3"/>
                      <w:szCs w:val="21"/>
                      <w14:textFill>
                        <w14:solidFill>
                          <w14:schemeClr w14:val="tx1"/>
                        </w14:solidFill>
                      </w14:textFill>
                    </w:rPr>
                  </w:pPr>
                  <w:r>
                    <w:rPr>
                      <w:color w:val="000000" w:themeColor="text1"/>
                      <w:spacing w:val="3"/>
                      <w:szCs w:val="21"/>
                      <w14:textFill>
                        <w14:solidFill>
                          <w14:schemeClr w14:val="tx1"/>
                        </w14:solidFill>
                      </w14:textFill>
                    </w:rPr>
                    <w:t>COD</w:t>
                  </w:r>
                  <w:r>
                    <w:rPr>
                      <w:color w:val="000000" w:themeColor="text1"/>
                      <w:spacing w:val="3"/>
                      <w:szCs w:val="21"/>
                      <w:vertAlign w:val="subscript"/>
                      <w14:textFill>
                        <w14:solidFill>
                          <w14:schemeClr w14:val="tx1"/>
                        </w14:solidFill>
                      </w14:textFill>
                    </w:rPr>
                    <w:t>Cr</w:t>
                  </w:r>
                  <w:r>
                    <w:rPr>
                      <w:color w:val="000000" w:themeColor="text1"/>
                      <w:spacing w:val="3"/>
                      <w:szCs w:val="21"/>
                      <w14:textFill>
                        <w14:solidFill>
                          <w14:schemeClr w14:val="tx1"/>
                        </w14:solidFill>
                      </w14:textFill>
                    </w:rPr>
                    <w:t>排放量</w:t>
                  </w:r>
                </w:p>
              </w:tc>
              <w:tc>
                <w:tcPr>
                  <w:tcW w:w="815" w:type="pct"/>
                </w:tcPr>
                <w:p w14:paraId="38390F6E">
                  <w:pPr>
                    <w:widowControl/>
                    <w:jc w:val="center"/>
                    <w:rPr>
                      <w:color w:val="000000" w:themeColor="text1"/>
                      <w:spacing w:val="3"/>
                      <w:szCs w:val="21"/>
                      <w14:textFill>
                        <w14:solidFill>
                          <w14:schemeClr w14:val="tx1"/>
                        </w14:solidFill>
                      </w14:textFill>
                    </w:rPr>
                  </w:pPr>
                  <w:r>
                    <w:rPr>
                      <w:color w:val="000000" w:themeColor="text1"/>
                      <w:spacing w:val="3"/>
                      <w:szCs w:val="21"/>
                      <w14:textFill>
                        <w14:solidFill>
                          <w14:schemeClr w14:val="tx1"/>
                        </w14:solidFill>
                      </w14:textFill>
                    </w:rPr>
                    <w:t>BOD</w:t>
                  </w:r>
                  <w:r>
                    <w:rPr>
                      <w:color w:val="000000" w:themeColor="text1"/>
                      <w:spacing w:val="3"/>
                      <w:szCs w:val="21"/>
                      <w:vertAlign w:val="subscript"/>
                      <w14:textFill>
                        <w14:solidFill>
                          <w14:schemeClr w14:val="tx1"/>
                        </w14:solidFill>
                      </w14:textFill>
                    </w:rPr>
                    <w:t>5</w:t>
                  </w:r>
                  <w:r>
                    <w:rPr>
                      <w:color w:val="000000" w:themeColor="text1"/>
                      <w:spacing w:val="3"/>
                      <w:szCs w:val="21"/>
                      <w14:textFill>
                        <w14:solidFill>
                          <w14:schemeClr w14:val="tx1"/>
                        </w14:solidFill>
                      </w14:textFill>
                    </w:rPr>
                    <w:t>排放量</w:t>
                  </w:r>
                </w:p>
              </w:tc>
              <w:tc>
                <w:tcPr>
                  <w:tcW w:w="652" w:type="pct"/>
                </w:tcPr>
                <w:p w14:paraId="0011C5E2">
                  <w:pPr>
                    <w:widowControl/>
                    <w:jc w:val="center"/>
                    <w:rPr>
                      <w:color w:val="000000" w:themeColor="text1"/>
                      <w:spacing w:val="3"/>
                      <w:szCs w:val="21"/>
                      <w14:textFill>
                        <w14:solidFill>
                          <w14:schemeClr w14:val="tx1"/>
                        </w14:solidFill>
                      </w14:textFill>
                    </w:rPr>
                  </w:pPr>
                  <w:r>
                    <w:rPr>
                      <w:color w:val="000000" w:themeColor="text1"/>
                      <w:spacing w:val="3"/>
                      <w:szCs w:val="21"/>
                      <w14:textFill>
                        <w14:solidFill>
                          <w14:schemeClr w14:val="tx1"/>
                        </w14:solidFill>
                      </w14:textFill>
                    </w:rPr>
                    <w:t>SS排放量</w:t>
                  </w:r>
                </w:p>
              </w:tc>
              <w:tc>
                <w:tcPr>
                  <w:tcW w:w="915" w:type="pct"/>
                </w:tcPr>
                <w:p w14:paraId="44E11730">
                  <w:pPr>
                    <w:widowControl/>
                    <w:jc w:val="center"/>
                    <w:rPr>
                      <w:color w:val="000000" w:themeColor="text1"/>
                      <w:spacing w:val="3"/>
                      <w:szCs w:val="21"/>
                      <w14:textFill>
                        <w14:solidFill>
                          <w14:schemeClr w14:val="tx1"/>
                        </w14:solidFill>
                      </w14:textFill>
                    </w:rPr>
                  </w:pPr>
                  <w:r>
                    <w:rPr>
                      <w:color w:val="000000" w:themeColor="text1"/>
                      <w:spacing w:val="3"/>
                      <w:szCs w:val="21"/>
                      <w14:textFill>
                        <w14:solidFill>
                          <w14:schemeClr w14:val="tx1"/>
                        </w14:solidFill>
                      </w14:textFill>
                    </w:rPr>
                    <w:t>NH</w:t>
                  </w:r>
                  <w:r>
                    <w:rPr>
                      <w:color w:val="000000" w:themeColor="text1"/>
                      <w:spacing w:val="3"/>
                      <w:szCs w:val="21"/>
                      <w:vertAlign w:val="subscript"/>
                      <w14:textFill>
                        <w14:solidFill>
                          <w14:schemeClr w14:val="tx1"/>
                        </w14:solidFill>
                      </w14:textFill>
                    </w:rPr>
                    <w:t>3</w:t>
                  </w:r>
                  <w:r>
                    <w:rPr>
                      <w:color w:val="000000" w:themeColor="text1"/>
                      <w:spacing w:val="3"/>
                      <w:szCs w:val="21"/>
                      <w14:textFill>
                        <w14:solidFill>
                          <w14:schemeClr w14:val="tx1"/>
                        </w14:solidFill>
                      </w14:textFill>
                    </w:rPr>
                    <w:t>-N排放量</w:t>
                  </w:r>
                </w:p>
              </w:tc>
            </w:tr>
            <w:tr w14:paraId="2FDA8E5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atLeast"/>
                <w:jc w:val="center"/>
              </w:trPr>
              <w:tc>
                <w:tcPr>
                  <w:tcW w:w="825" w:type="pct"/>
                  <w:vAlign w:val="center"/>
                </w:tcPr>
                <w:p w14:paraId="57BD2555">
                  <w:pPr>
                    <w:widowControl/>
                    <w:jc w:val="center"/>
                    <w:rPr>
                      <w:color w:val="000000" w:themeColor="text1"/>
                      <w:spacing w:val="3"/>
                      <w:szCs w:val="21"/>
                      <w14:textFill>
                        <w14:solidFill>
                          <w14:schemeClr w14:val="tx1"/>
                        </w14:solidFill>
                      </w14:textFill>
                    </w:rPr>
                  </w:pPr>
                  <w:r>
                    <w:rPr>
                      <w:color w:val="000000" w:themeColor="text1"/>
                      <w:spacing w:val="3"/>
                      <w:szCs w:val="21"/>
                      <w14:textFill>
                        <w14:solidFill>
                          <w14:schemeClr w14:val="tx1"/>
                        </w14:solidFill>
                      </w14:textFill>
                    </w:rPr>
                    <w:t>6t/d</w:t>
                  </w:r>
                </w:p>
              </w:tc>
              <w:tc>
                <w:tcPr>
                  <w:tcW w:w="896" w:type="pct"/>
                  <w:vAlign w:val="center"/>
                </w:tcPr>
                <w:p w14:paraId="0E4E1223">
                  <w:pPr>
                    <w:widowControl/>
                    <w:jc w:val="center"/>
                    <w:rPr>
                      <w:color w:val="000000" w:themeColor="text1"/>
                      <w:spacing w:val="3"/>
                      <w:szCs w:val="21"/>
                      <w14:textFill>
                        <w14:solidFill>
                          <w14:schemeClr w14:val="tx1"/>
                        </w14:solidFill>
                      </w14:textFill>
                    </w:rPr>
                  </w:pPr>
                  <w:r>
                    <w:rPr>
                      <w:color w:val="000000" w:themeColor="text1"/>
                      <w:spacing w:val="3"/>
                      <w:szCs w:val="21"/>
                      <w14:textFill>
                        <w14:solidFill>
                          <w14:schemeClr w14:val="tx1"/>
                        </w14:solidFill>
                      </w14:textFill>
                    </w:rPr>
                    <w:t>4.8 t/d</w:t>
                  </w:r>
                </w:p>
              </w:tc>
              <w:tc>
                <w:tcPr>
                  <w:tcW w:w="896" w:type="pct"/>
                  <w:vAlign w:val="center"/>
                </w:tcPr>
                <w:p w14:paraId="641A7D8A">
                  <w:pPr>
                    <w:widowControl/>
                    <w:jc w:val="center"/>
                    <w:rPr>
                      <w:color w:val="000000" w:themeColor="text1"/>
                      <w:spacing w:val="3"/>
                      <w:szCs w:val="21"/>
                      <w14:textFill>
                        <w14:solidFill>
                          <w14:schemeClr w14:val="tx1"/>
                        </w14:solidFill>
                      </w14:textFill>
                    </w:rPr>
                  </w:pPr>
                  <w:r>
                    <w:rPr>
                      <w:color w:val="000000" w:themeColor="text1"/>
                      <w:spacing w:val="3"/>
                      <w:szCs w:val="21"/>
                      <w14:textFill>
                        <w14:solidFill>
                          <w14:schemeClr w14:val="tx1"/>
                        </w14:solidFill>
                      </w14:textFill>
                    </w:rPr>
                    <w:t>1.2 kg/d</w:t>
                  </w:r>
                </w:p>
              </w:tc>
              <w:tc>
                <w:tcPr>
                  <w:tcW w:w="815" w:type="pct"/>
                  <w:vAlign w:val="center"/>
                </w:tcPr>
                <w:p w14:paraId="674EF325">
                  <w:pPr>
                    <w:widowControl/>
                    <w:jc w:val="center"/>
                    <w:rPr>
                      <w:color w:val="000000" w:themeColor="text1"/>
                      <w:spacing w:val="3"/>
                      <w:szCs w:val="21"/>
                      <w14:textFill>
                        <w14:solidFill>
                          <w14:schemeClr w14:val="tx1"/>
                        </w14:solidFill>
                      </w14:textFill>
                    </w:rPr>
                  </w:pPr>
                  <w:r>
                    <w:rPr>
                      <w:color w:val="000000" w:themeColor="text1"/>
                      <w:spacing w:val="3"/>
                      <w:szCs w:val="21"/>
                      <w14:textFill>
                        <w14:solidFill>
                          <w14:schemeClr w14:val="tx1"/>
                        </w14:solidFill>
                      </w14:textFill>
                    </w:rPr>
                    <w:t>0.48 kg/d</w:t>
                  </w:r>
                </w:p>
              </w:tc>
              <w:tc>
                <w:tcPr>
                  <w:tcW w:w="652" w:type="pct"/>
                  <w:vAlign w:val="center"/>
                </w:tcPr>
                <w:p w14:paraId="5AD2AE61">
                  <w:pPr>
                    <w:widowControl/>
                    <w:jc w:val="center"/>
                    <w:rPr>
                      <w:color w:val="000000" w:themeColor="text1"/>
                      <w:spacing w:val="3"/>
                      <w:szCs w:val="21"/>
                      <w14:textFill>
                        <w14:solidFill>
                          <w14:schemeClr w14:val="tx1"/>
                        </w14:solidFill>
                      </w14:textFill>
                    </w:rPr>
                  </w:pPr>
                  <w:r>
                    <w:rPr>
                      <w:color w:val="000000" w:themeColor="text1"/>
                      <w:spacing w:val="3"/>
                      <w:szCs w:val="21"/>
                      <w14:textFill>
                        <w14:solidFill>
                          <w14:schemeClr w14:val="tx1"/>
                        </w14:solidFill>
                      </w14:textFill>
                    </w:rPr>
                    <w:t>0.48 kg/d</w:t>
                  </w:r>
                </w:p>
              </w:tc>
              <w:tc>
                <w:tcPr>
                  <w:tcW w:w="915" w:type="pct"/>
                  <w:vAlign w:val="center"/>
                </w:tcPr>
                <w:p w14:paraId="5F789435">
                  <w:pPr>
                    <w:widowControl/>
                    <w:jc w:val="center"/>
                    <w:rPr>
                      <w:color w:val="000000" w:themeColor="text1"/>
                      <w:spacing w:val="3"/>
                      <w:szCs w:val="21"/>
                      <w14:textFill>
                        <w14:solidFill>
                          <w14:schemeClr w14:val="tx1"/>
                        </w14:solidFill>
                      </w14:textFill>
                    </w:rPr>
                  </w:pPr>
                  <w:r>
                    <w:rPr>
                      <w:color w:val="000000" w:themeColor="text1"/>
                      <w:spacing w:val="3"/>
                      <w:szCs w:val="21"/>
                      <w14:textFill>
                        <w14:solidFill>
                          <w14:schemeClr w14:val="tx1"/>
                        </w14:solidFill>
                      </w14:textFill>
                    </w:rPr>
                    <w:t>0.12 kg/d</w:t>
                  </w:r>
                </w:p>
              </w:tc>
            </w:tr>
          </w:tbl>
          <w:p w14:paraId="6E939EAE">
            <w:pPr>
              <w:widowControl/>
              <w:spacing w:line="360" w:lineRule="auto"/>
              <w:ind w:firstLine="480" w:firstLineChars="200"/>
              <w:rPr>
                <w:color w:val="000000" w:themeColor="text1"/>
                <w:sz w:val="24"/>
                <w:szCs w:val="20"/>
                <w14:textFill>
                  <w14:solidFill>
                    <w14:schemeClr w14:val="tx1"/>
                  </w14:solidFill>
                </w14:textFill>
              </w:rPr>
            </w:pPr>
            <w:r>
              <w:rPr>
                <w:color w:val="000000" w:themeColor="text1"/>
                <w:sz w:val="24"/>
                <w:szCs w:val="20"/>
                <w14:textFill>
                  <w14:solidFill>
                    <w14:schemeClr w14:val="tx1"/>
                  </w14:solidFill>
                </w14:textFill>
              </w:rPr>
              <w:t>施工人员生活污水</w:t>
            </w:r>
            <w:r>
              <w:rPr>
                <w:rFonts w:hint="eastAsia"/>
                <w:color w:val="000000" w:themeColor="text1"/>
                <w:sz w:val="24"/>
                <w:szCs w:val="20"/>
                <w14:textFill>
                  <w14:solidFill>
                    <w14:schemeClr w14:val="tx1"/>
                  </w14:solidFill>
                </w14:textFill>
              </w:rPr>
              <w:t>经简易</w:t>
            </w:r>
            <w:r>
              <w:rPr>
                <w:color w:val="000000" w:themeColor="text1"/>
                <w:sz w:val="24"/>
                <w:szCs w:val="20"/>
                <w14:textFill>
                  <w14:solidFill>
                    <w14:schemeClr w14:val="tx1"/>
                  </w14:solidFill>
                </w14:textFill>
              </w:rPr>
              <w:t>化粪池预处理后</w:t>
            </w:r>
            <w:r>
              <w:rPr>
                <w:rFonts w:hint="eastAsia"/>
                <w:color w:val="000000" w:themeColor="text1"/>
                <w:sz w:val="24"/>
                <w:szCs w:val="20"/>
                <w14:textFill>
                  <w14:solidFill>
                    <w14:schemeClr w14:val="tx1"/>
                  </w14:solidFill>
                </w14:textFill>
              </w:rPr>
              <w:t>排入市政污水管网，近期依托</w:t>
            </w:r>
            <w:r>
              <w:rPr>
                <w:bCs/>
                <w:color w:val="000000" w:themeColor="text1"/>
                <w:sz w:val="24"/>
                <w:szCs w:val="20"/>
                <w14:textFill>
                  <w14:solidFill>
                    <w14:schemeClr w14:val="tx1"/>
                  </w14:solidFill>
                </w14:textFill>
              </w:rPr>
              <w:t>乐平市金山</w:t>
            </w:r>
            <w:r>
              <w:rPr>
                <w:rFonts w:hint="eastAsia"/>
                <w:bCs/>
                <w:color w:val="000000" w:themeColor="text1"/>
                <w:sz w:val="24"/>
                <w:szCs w:val="20"/>
                <w14:textFill>
                  <w14:solidFill>
                    <w14:schemeClr w14:val="tx1"/>
                  </w14:solidFill>
                </w14:textFill>
              </w:rPr>
              <w:t>工业园</w:t>
            </w:r>
            <w:r>
              <w:rPr>
                <w:bCs/>
                <w:color w:val="000000" w:themeColor="text1"/>
                <w:sz w:val="24"/>
                <w:szCs w:val="20"/>
                <w14:textFill>
                  <w14:solidFill>
                    <w14:schemeClr w14:val="tx1"/>
                  </w14:solidFill>
                </w14:textFill>
              </w:rPr>
              <w:t>区一期一体化污水处理站处理达到《城镇污水处理厂污染物排放标准》（GB18918-2002）中一级A标准后，尾水最终汇入乐安河；远期待金山工业园污水处理厂正式投运后，排入金山工业园污水处理厂，处理达到《城镇污水处理厂污染物排放标准》（GB18918-2002）一级A标准后外排至乐安河</w:t>
            </w:r>
            <w:r>
              <w:rPr>
                <w:color w:val="000000" w:themeColor="text1"/>
                <w:sz w:val="24"/>
                <w:szCs w:val="20"/>
                <w14:textFill>
                  <w14:solidFill>
                    <w14:schemeClr w14:val="tx1"/>
                  </w14:solidFill>
                </w14:textFill>
              </w:rPr>
              <w:t>。</w:t>
            </w:r>
          </w:p>
          <w:p w14:paraId="303B7BD0">
            <w:pPr>
              <w:widowControl/>
              <w:spacing w:line="360" w:lineRule="auto"/>
              <w:ind w:left="468" w:leftChars="159" w:hanging="134" w:hangingChars="56"/>
              <w:rPr>
                <w:color w:val="000000" w:themeColor="text1"/>
                <w:sz w:val="24"/>
                <w:szCs w:val="20"/>
                <w14:textFill>
                  <w14:solidFill>
                    <w14:schemeClr w14:val="tx1"/>
                  </w14:solidFill>
                </w14:textFill>
              </w:rPr>
            </w:pPr>
            <w:r>
              <w:rPr>
                <w:color w:val="000000" w:themeColor="text1"/>
                <w:sz w:val="24"/>
                <w:szCs w:val="20"/>
                <w14:textFill>
                  <w14:solidFill>
                    <w14:schemeClr w14:val="tx1"/>
                  </w14:solidFill>
                </w14:textFill>
              </w:rPr>
              <w:t>（2）施工生产废水</w:t>
            </w:r>
          </w:p>
          <w:p w14:paraId="7509A51D">
            <w:pPr>
              <w:widowControl/>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根据项目设计，项目方拟购买商品混凝土</w:t>
            </w:r>
            <w:r>
              <w:rPr>
                <w:rFonts w:hint="eastAsia"/>
                <w:color w:val="000000" w:themeColor="text1"/>
                <w:sz w:val="24"/>
                <w14:textFill>
                  <w14:solidFill>
                    <w14:schemeClr w14:val="tx1"/>
                  </w14:solidFill>
                </w14:textFill>
              </w:rPr>
              <w:t>、钢材</w:t>
            </w:r>
            <w:r>
              <w:rPr>
                <w:color w:val="000000" w:themeColor="text1"/>
                <w:sz w:val="24"/>
                <w14:textFill>
                  <w14:solidFill>
                    <w14:schemeClr w14:val="tx1"/>
                  </w14:solidFill>
                </w14:textFill>
              </w:rPr>
              <w:t>，可以大大减少施工废水的产生，因此，施工废水主要来自于施工机械的冲刷、楼地及墙面的冲洗、构件与建筑材料的保潮、墙体的浸润、材料的洗刷以及桩基础施工中排出的泥浆等。该部分废水中的主要污染物为pH、SS、COD、石油类。污水中CODc</w:t>
            </w:r>
            <w:r>
              <w:rPr>
                <w:color w:val="000000" w:themeColor="text1"/>
                <w:sz w:val="24"/>
                <w:vertAlign w:val="subscript"/>
                <w14:textFill>
                  <w14:solidFill>
                    <w14:schemeClr w14:val="tx1"/>
                  </w14:solidFill>
                </w14:textFill>
              </w:rPr>
              <w:t>r</w:t>
            </w:r>
            <w:r>
              <w:rPr>
                <w:color w:val="000000" w:themeColor="text1"/>
                <w:sz w:val="24"/>
                <w14:textFill>
                  <w14:solidFill>
                    <w14:schemeClr w14:val="tx1"/>
                  </w14:solidFill>
                </w14:textFill>
              </w:rPr>
              <w:t>浓度值最高约300 m/L、BOD</w:t>
            </w:r>
            <w:r>
              <w:rPr>
                <w:color w:val="000000" w:themeColor="text1"/>
                <w:sz w:val="24"/>
                <w:vertAlign w:val="subscript"/>
                <w14:textFill>
                  <w14:solidFill>
                    <w14:schemeClr w14:val="tx1"/>
                  </w14:solidFill>
                </w14:textFill>
              </w:rPr>
              <w:t>5</w:t>
            </w:r>
            <w:r>
              <w:rPr>
                <w:color w:val="000000" w:themeColor="text1"/>
                <w:sz w:val="24"/>
                <w14:textFill>
                  <w14:solidFill>
                    <w14:schemeClr w14:val="tx1"/>
                  </w14:solidFill>
                </w14:textFill>
              </w:rPr>
              <w:t>约200 mg/L、SS约1000 mg/L，污水排入现有沉砂池，经沉淀处理后回用，池底泥沙作为固废运往建筑垃圾堆放场。</w:t>
            </w:r>
          </w:p>
          <w:p w14:paraId="0E103F7A">
            <w:pPr>
              <w:widowControl/>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本评价建议在施工过程中还需采取以下措施：</w:t>
            </w:r>
          </w:p>
          <w:p w14:paraId="205FDB34">
            <w:pPr>
              <w:widowControl/>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1、在施工过程中，人工运输水泥砂浆时，应避免泄漏，泄漏水泥砂浆应及时清理，运浆容器等用具尽量集中放置，及时清洗，冲洗水引入沉砂池。</w:t>
            </w:r>
          </w:p>
          <w:p w14:paraId="18690FFE">
            <w:pPr>
              <w:widowControl/>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2、在施工堆场四周设截流沟，减少施工物质的流失。</w:t>
            </w:r>
          </w:p>
          <w:p w14:paraId="11973C4C">
            <w:pPr>
              <w:keepNext/>
              <w:keepLines/>
              <w:widowControl/>
              <w:spacing w:line="360" w:lineRule="auto"/>
              <w:outlineLvl w:val="3"/>
              <w:rPr>
                <w:b/>
                <w:color w:val="000000" w:themeColor="text1"/>
                <w:sz w:val="24"/>
                <w:szCs w:val="20"/>
                <w14:textFill>
                  <w14:solidFill>
                    <w14:schemeClr w14:val="tx1"/>
                  </w14:solidFill>
                </w14:textFill>
              </w:rPr>
            </w:pPr>
            <w:r>
              <w:rPr>
                <w:b/>
                <w:color w:val="000000" w:themeColor="text1"/>
                <w:sz w:val="24"/>
                <w:szCs w:val="20"/>
                <w14:textFill>
                  <w14:solidFill>
                    <w14:schemeClr w14:val="tx1"/>
                  </w14:solidFill>
                </w14:textFill>
              </w:rPr>
              <w:t>2、施工期废气</w:t>
            </w:r>
          </w:p>
          <w:p w14:paraId="71F0EBD9">
            <w:pPr>
              <w:widowControl/>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项目施工期间对环境空气的污染主要来自施工扬尘、施工机械废气以及少量的油漆废气。</w:t>
            </w:r>
          </w:p>
          <w:p w14:paraId="4294E588">
            <w:pPr>
              <w:widowControl/>
              <w:spacing w:line="360" w:lineRule="auto"/>
              <w:ind w:firstLine="480" w:firstLineChars="200"/>
              <w:rPr>
                <w:bCs/>
                <w:color w:val="000000" w:themeColor="text1"/>
                <w:sz w:val="24"/>
                <w14:textFill>
                  <w14:solidFill>
                    <w14:schemeClr w14:val="tx1"/>
                  </w14:solidFill>
                </w14:textFill>
              </w:rPr>
            </w:pPr>
            <w:r>
              <w:rPr>
                <w:bCs/>
                <w:color w:val="000000" w:themeColor="text1"/>
                <w:sz w:val="24"/>
                <w14:textFill>
                  <w14:solidFill>
                    <w14:schemeClr w14:val="tx1"/>
                  </w14:solidFill>
                </w14:textFill>
              </w:rPr>
              <w:t>（1）扬尘</w:t>
            </w:r>
          </w:p>
          <w:p w14:paraId="65367C6E">
            <w:pPr>
              <w:widowControl/>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项目在建设施工过程中的大气污染主要来自于施工场地的扬尘。本项目土地平整已完成，则在整个施工期产生扬尘的作业有建材运输、露天堆放、装卸等过程，如遇干旱无雨季节，加上大风，施工扬尘将更严重。</w:t>
            </w:r>
          </w:p>
          <w:p w14:paraId="7650629F">
            <w:pPr>
              <w:widowControl/>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（2）施工机械废气</w:t>
            </w:r>
          </w:p>
          <w:p w14:paraId="04E465BA">
            <w:pPr>
              <w:widowControl/>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施工期间，使用机动车运送原材料、设备和建筑机械设备的运转，均会排放一定量的CO、NO</w:t>
            </w:r>
            <w:r>
              <w:rPr>
                <w:color w:val="000000" w:themeColor="text1"/>
                <w:sz w:val="24"/>
                <w:vertAlign w:val="subscript"/>
                <w14:textFill>
                  <w14:solidFill>
                    <w14:schemeClr w14:val="tx1"/>
                  </w14:solidFill>
                </w14:textFill>
              </w:rPr>
              <w:t>x</w:t>
            </w:r>
            <w:r>
              <w:rPr>
                <w:color w:val="000000" w:themeColor="text1"/>
                <w:sz w:val="24"/>
                <w14:textFill>
                  <w14:solidFill>
                    <w14:schemeClr w14:val="tx1"/>
                  </w14:solidFill>
                </w14:textFill>
              </w:rPr>
              <w:t>以及未完全燃烧的HC等，其特点是排放量小，且属间断性无组织排放，由于其这一特点，因此不会引起大的大气环境污染。对此，本环评要求在施工期内多加注意施工设备的维护，使其能够正常的运行，从而可以避免施工机械因病态而使产生的废气超标的现象发生。</w:t>
            </w:r>
          </w:p>
          <w:p w14:paraId="491F3CB4">
            <w:pPr>
              <w:widowControl/>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 xml:space="preserve">本评价建议在施工过程中还需采取以下措施： </w:t>
            </w:r>
          </w:p>
          <w:p w14:paraId="4E689EB4">
            <w:pPr>
              <w:widowControl/>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1、在施工过程中，</w:t>
            </w:r>
            <w:r>
              <w:rPr>
                <w:rFonts w:hint="eastAsia"/>
                <w:color w:val="000000" w:themeColor="text1"/>
                <w:sz w:val="24"/>
                <w14:textFill>
                  <w14:solidFill>
                    <w14:schemeClr w14:val="tx1"/>
                  </w14:solidFill>
                </w14:textFill>
              </w:rPr>
              <w:t>定期对施工场地进行洒水降尘，降低施工扬尘排放</w:t>
            </w:r>
            <w:r>
              <w:rPr>
                <w:color w:val="000000" w:themeColor="text1"/>
                <w:sz w:val="24"/>
                <w14:textFill>
                  <w14:solidFill>
                    <w14:schemeClr w14:val="tx1"/>
                  </w14:solidFill>
                </w14:textFill>
              </w:rPr>
              <w:t>。</w:t>
            </w:r>
          </w:p>
          <w:p w14:paraId="1E9D4D03">
            <w:pPr>
              <w:widowControl/>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定期对施工机械进行维护保养，保证其能够正常运行，降低施工机械废气排放</w:t>
            </w:r>
            <w:r>
              <w:rPr>
                <w:color w:val="000000" w:themeColor="text1"/>
                <w:sz w:val="24"/>
                <w14:textFill>
                  <w14:solidFill>
                    <w14:schemeClr w14:val="tx1"/>
                  </w14:solidFill>
                </w14:textFill>
              </w:rPr>
              <w:t>。</w:t>
            </w:r>
          </w:p>
          <w:p w14:paraId="13A03BF7">
            <w:pPr>
              <w:tabs>
                <w:tab w:val="left" w:pos="2040"/>
              </w:tabs>
              <w:adjustRightInd w:val="0"/>
              <w:spacing w:after="120" w:line="312" w:lineRule="atLeast"/>
              <w:textAlignment w:val="baseline"/>
              <w:rPr>
                <w:rFonts w:ascii="宋体"/>
                <w:color w:val="000000" w:themeColor="text1"/>
                <w:kern w:val="0"/>
                <w:szCs w:val="20"/>
                <w14:textFill>
                  <w14:solidFill>
                    <w14:schemeClr w14:val="tx1"/>
                  </w14:solidFill>
                </w14:textFill>
              </w:rPr>
            </w:pPr>
            <w:r>
              <w:rPr>
                <w:rFonts w:ascii="宋体"/>
                <w:b/>
                <w:color w:val="000000" w:themeColor="text1"/>
                <w:kern w:val="0"/>
                <w:sz w:val="24"/>
                <w:szCs w:val="20"/>
                <w14:textFill>
                  <w14:solidFill>
                    <w14:schemeClr w14:val="tx1"/>
                  </w14:solidFill>
                </w14:textFill>
              </w:rPr>
              <w:t>3、施工期噪声</w:t>
            </w:r>
          </w:p>
          <w:p w14:paraId="05293E56">
            <w:pPr>
              <w:widowControl/>
              <w:spacing w:line="360" w:lineRule="auto"/>
              <w:ind w:firstLine="480" w:firstLineChars="200"/>
              <w:rPr>
                <w:color w:val="000000" w:themeColor="text1"/>
                <w:sz w:val="24"/>
                <w14:textFill>
                  <w14:solidFill>
                    <w14:schemeClr w14:val="tx1"/>
                  </w14:solidFill>
                </w14:textFill>
              </w:rPr>
            </w:pPr>
            <w:r>
              <w:rPr>
                <w:bCs/>
                <w:color w:val="000000" w:themeColor="text1"/>
                <w:sz w:val="24"/>
                <w14:textFill>
                  <w14:solidFill>
                    <w14:schemeClr w14:val="tx1"/>
                  </w14:solidFill>
                </w14:textFill>
              </w:rPr>
              <w:t>施工期噪声主要来源于土石方阶段的挖土机，打桩阶段的打桩机，结构施工阶段的振捣棒和运输车辆及辅助设备中的电锯、砂轮锯的噪声，装修阶段的砂轮机、电锯、切割机、磨石机等设备噪声。</w:t>
            </w:r>
            <w:r>
              <w:rPr>
                <w:color w:val="000000" w:themeColor="text1"/>
                <w:sz w:val="24"/>
                <w14:textFill>
                  <w14:solidFill>
                    <w14:schemeClr w14:val="tx1"/>
                  </w14:solidFill>
                </w14:textFill>
              </w:rPr>
              <w:t>施工期噪声应严格执行《</w:t>
            </w:r>
            <w:r>
              <w:rPr>
                <w:rFonts w:hint="eastAsia"/>
                <w:color w:val="000000" w:themeColor="text1"/>
                <w:sz w:val="24"/>
                <w14:textFill>
                  <w14:solidFill>
                    <w14:schemeClr w14:val="tx1"/>
                  </w14:solidFill>
                </w14:textFill>
              </w:rPr>
              <w:t>建筑施工噪声排放标准</w:t>
            </w:r>
            <w:r>
              <w:rPr>
                <w:color w:val="000000" w:themeColor="text1"/>
                <w:sz w:val="24"/>
                <w14:textFill>
                  <w14:solidFill>
                    <w14:schemeClr w14:val="tx1"/>
                  </w14:solidFill>
                </w14:textFill>
              </w:rPr>
              <w:t>》（GBl2523-20</w:t>
            </w:r>
            <w:r>
              <w:rPr>
                <w:rFonts w:hint="eastAsia"/>
                <w:color w:val="000000" w:themeColor="text1"/>
                <w:sz w:val="24"/>
                <w:lang w:val="en-US" w:eastAsia="zh-CN"/>
                <w14:textFill>
                  <w14:solidFill>
                    <w14:schemeClr w14:val="tx1"/>
                  </w14:solidFill>
                </w14:textFill>
              </w:rPr>
              <w:t>25</w:t>
            </w:r>
            <w:r>
              <w:rPr>
                <w:color w:val="000000" w:themeColor="text1"/>
                <w:sz w:val="24"/>
                <w14:textFill>
                  <w14:solidFill>
                    <w14:schemeClr w14:val="tx1"/>
                  </w14:solidFill>
                </w14:textFill>
              </w:rPr>
              <w:t>）标准要求，各种施工机械噪声源强见表4-2。</w:t>
            </w:r>
          </w:p>
          <w:p w14:paraId="1A492749">
            <w:pPr>
              <w:keepNext/>
              <w:numPr>
                <w:ilvl w:val="4"/>
                <w:numId w:val="15"/>
              </w:numPr>
              <w:tabs>
                <w:tab w:val="left" w:pos="360"/>
              </w:tabs>
              <w:jc w:val="center"/>
              <w:outlineLvl w:val="4"/>
              <w:rPr>
                <w:b/>
                <w:color w:val="000000" w:themeColor="text1"/>
                <w:sz w:val="24"/>
                <w:szCs w:val="20"/>
                <w14:textFill>
                  <w14:solidFill>
                    <w14:schemeClr w14:val="tx1"/>
                  </w14:solidFill>
                </w14:textFill>
              </w:rPr>
            </w:pPr>
            <w:r>
              <w:rPr>
                <w:rFonts w:hint="eastAsia"/>
                <w:b/>
                <w:color w:val="000000" w:themeColor="text1"/>
                <w:sz w:val="24"/>
                <w:szCs w:val="20"/>
                <w14:textFill>
                  <w14:solidFill>
                    <w14:schemeClr w14:val="tx1"/>
                  </w14:solidFill>
                </w14:textFill>
              </w:rPr>
              <w:t xml:space="preserve"> </w:t>
            </w:r>
            <w:r>
              <w:rPr>
                <w:b/>
                <w:color w:val="000000" w:themeColor="text1"/>
                <w:sz w:val="24"/>
                <w:szCs w:val="20"/>
                <w14:textFill>
                  <w14:solidFill>
                    <w14:schemeClr w14:val="tx1"/>
                  </w14:solidFill>
                </w14:textFill>
              </w:rPr>
              <w:t>各施工阶段使用设备及噪声源强    单位：dB(A)</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3290"/>
              <w:gridCol w:w="4962"/>
              <w:gridCol w:w="2643"/>
              <w:gridCol w:w="746"/>
              <w:gridCol w:w="1968"/>
            </w:tblGrid>
            <w:tr w14:paraId="5A2967F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exact"/>
              </w:trPr>
              <w:tc>
                <w:tcPr>
                  <w:tcW w:w="1209" w:type="pct"/>
                  <w:vAlign w:val="center"/>
                </w:tcPr>
                <w:p w14:paraId="0374DE49">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施工阶段</w:t>
                  </w:r>
                </w:p>
              </w:tc>
              <w:tc>
                <w:tcPr>
                  <w:tcW w:w="1823" w:type="pct"/>
                  <w:vAlign w:val="center"/>
                </w:tcPr>
                <w:p w14:paraId="358043ED">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设备</w:t>
                  </w:r>
                </w:p>
              </w:tc>
              <w:tc>
                <w:tcPr>
                  <w:tcW w:w="1968" w:type="pct"/>
                  <w:gridSpan w:val="3"/>
                  <w:vAlign w:val="center"/>
                </w:tcPr>
                <w:p w14:paraId="14BAB7C9">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源强</w:t>
                  </w:r>
                </w:p>
              </w:tc>
            </w:tr>
            <w:tr w14:paraId="5563B14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exact"/>
              </w:trPr>
              <w:tc>
                <w:tcPr>
                  <w:tcW w:w="1209" w:type="pct"/>
                  <w:vMerge w:val="restart"/>
                  <w:vAlign w:val="center"/>
                </w:tcPr>
                <w:p w14:paraId="01858529">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土石方阶段</w:t>
                  </w:r>
                </w:p>
              </w:tc>
              <w:tc>
                <w:tcPr>
                  <w:tcW w:w="1823" w:type="pct"/>
                  <w:vAlign w:val="center"/>
                </w:tcPr>
                <w:p w14:paraId="7A522BFD">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挖土机</w:t>
                  </w:r>
                </w:p>
              </w:tc>
              <w:tc>
                <w:tcPr>
                  <w:tcW w:w="1968" w:type="pct"/>
                  <w:gridSpan w:val="3"/>
                  <w:vAlign w:val="center"/>
                </w:tcPr>
                <w:p w14:paraId="3D6E8EA9">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96</w:t>
                  </w:r>
                </w:p>
              </w:tc>
            </w:tr>
            <w:tr w14:paraId="690CCE1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exact"/>
              </w:trPr>
              <w:tc>
                <w:tcPr>
                  <w:tcW w:w="1209" w:type="pct"/>
                  <w:vMerge w:val="continue"/>
                  <w:vAlign w:val="center"/>
                </w:tcPr>
                <w:p w14:paraId="6C93C581">
                  <w:pPr>
                    <w:widowControl/>
                    <w:snapToGrid w:val="0"/>
                    <w:jc w:val="center"/>
                    <w:textAlignment w:val="center"/>
                    <w:rPr>
                      <w:color w:val="000000" w:themeColor="text1"/>
                      <w:sz w:val="18"/>
                      <w:szCs w:val="18"/>
                      <w:lang w:bidi="ar"/>
                      <w14:textFill>
                        <w14:solidFill>
                          <w14:schemeClr w14:val="tx1"/>
                        </w14:solidFill>
                      </w14:textFill>
                    </w:rPr>
                  </w:pPr>
                </w:p>
              </w:tc>
              <w:tc>
                <w:tcPr>
                  <w:tcW w:w="1823" w:type="pct"/>
                  <w:vAlign w:val="center"/>
                </w:tcPr>
                <w:p w14:paraId="7C0CDD39">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卡车</w:t>
                  </w:r>
                </w:p>
              </w:tc>
              <w:tc>
                <w:tcPr>
                  <w:tcW w:w="1968" w:type="pct"/>
                  <w:gridSpan w:val="3"/>
                  <w:vAlign w:val="center"/>
                </w:tcPr>
                <w:p w14:paraId="148FBB30">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85</w:t>
                  </w:r>
                </w:p>
              </w:tc>
            </w:tr>
            <w:tr w14:paraId="6A4ED7F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exact"/>
              </w:trPr>
              <w:tc>
                <w:tcPr>
                  <w:tcW w:w="1209" w:type="pct"/>
                  <w:vMerge w:val="continue"/>
                  <w:vAlign w:val="center"/>
                </w:tcPr>
                <w:p w14:paraId="2B4A53C5">
                  <w:pPr>
                    <w:widowControl/>
                    <w:snapToGrid w:val="0"/>
                    <w:jc w:val="center"/>
                    <w:textAlignment w:val="center"/>
                    <w:rPr>
                      <w:color w:val="000000" w:themeColor="text1"/>
                      <w:sz w:val="18"/>
                      <w:szCs w:val="18"/>
                      <w:lang w:bidi="ar"/>
                      <w14:textFill>
                        <w14:solidFill>
                          <w14:schemeClr w14:val="tx1"/>
                        </w14:solidFill>
                      </w14:textFill>
                    </w:rPr>
                  </w:pPr>
                </w:p>
              </w:tc>
              <w:tc>
                <w:tcPr>
                  <w:tcW w:w="1823" w:type="pct"/>
                  <w:vAlign w:val="center"/>
                </w:tcPr>
                <w:p w14:paraId="5D7C6E21">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推土机</w:t>
                  </w:r>
                </w:p>
              </w:tc>
              <w:tc>
                <w:tcPr>
                  <w:tcW w:w="1968" w:type="pct"/>
                  <w:gridSpan w:val="3"/>
                  <w:vAlign w:val="center"/>
                </w:tcPr>
                <w:p w14:paraId="0999BF5C">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90</w:t>
                  </w:r>
                </w:p>
              </w:tc>
            </w:tr>
            <w:tr w14:paraId="67F8563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exact"/>
              </w:trPr>
              <w:tc>
                <w:tcPr>
                  <w:tcW w:w="1209" w:type="pct"/>
                  <w:vAlign w:val="center"/>
                </w:tcPr>
                <w:p w14:paraId="6DBF99EF">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打桩</w:t>
                  </w:r>
                </w:p>
              </w:tc>
              <w:tc>
                <w:tcPr>
                  <w:tcW w:w="1823" w:type="pct"/>
                  <w:vAlign w:val="center"/>
                </w:tcPr>
                <w:p w14:paraId="6A814E0C">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打桩机</w:t>
                  </w:r>
                </w:p>
              </w:tc>
              <w:tc>
                <w:tcPr>
                  <w:tcW w:w="1968" w:type="pct"/>
                  <w:gridSpan w:val="3"/>
                  <w:vAlign w:val="center"/>
                </w:tcPr>
                <w:p w14:paraId="7D9C15AC">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105</w:t>
                  </w:r>
                </w:p>
              </w:tc>
            </w:tr>
            <w:tr w14:paraId="50ADD5B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exact"/>
              </w:trPr>
              <w:tc>
                <w:tcPr>
                  <w:tcW w:w="1209" w:type="pct"/>
                  <w:vMerge w:val="restart"/>
                  <w:vAlign w:val="center"/>
                </w:tcPr>
                <w:p w14:paraId="3D10DAE5">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结构阶段</w:t>
                  </w:r>
                </w:p>
              </w:tc>
              <w:tc>
                <w:tcPr>
                  <w:tcW w:w="1823" w:type="pct"/>
                  <w:vAlign w:val="center"/>
                </w:tcPr>
                <w:p w14:paraId="4AAA4547">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卡车</w:t>
                  </w:r>
                </w:p>
              </w:tc>
              <w:tc>
                <w:tcPr>
                  <w:tcW w:w="971" w:type="pct"/>
                  <w:vAlign w:val="center"/>
                </w:tcPr>
                <w:p w14:paraId="01309694">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85</w:t>
                  </w:r>
                </w:p>
              </w:tc>
              <w:tc>
                <w:tcPr>
                  <w:tcW w:w="274" w:type="pct"/>
                  <w:vMerge w:val="restart"/>
                  <w:vAlign w:val="center"/>
                </w:tcPr>
                <w:p w14:paraId="400D60D1">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建筑隔声</w:t>
                  </w:r>
                </w:p>
              </w:tc>
              <w:tc>
                <w:tcPr>
                  <w:tcW w:w="723" w:type="pct"/>
                  <w:vAlign w:val="center"/>
                </w:tcPr>
                <w:p w14:paraId="5C47FC7B">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65</w:t>
                  </w:r>
                </w:p>
              </w:tc>
            </w:tr>
            <w:tr w14:paraId="2C63ABC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exact"/>
              </w:trPr>
              <w:tc>
                <w:tcPr>
                  <w:tcW w:w="1209" w:type="pct"/>
                  <w:vMerge w:val="continue"/>
                  <w:vAlign w:val="center"/>
                </w:tcPr>
                <w:p w14:paraId="37ECE848">
                  <w:pPr>
                    <w:widowControl/>
                    <w:snapToGrid w:val="0"/>
                    <w:jc w:val="center"/>
                    <w:textAlignment w:val="center"/>
                    <w:rPr>
                      <w:color w:val="000000" w:themeColor="text1"/>
                      <w:sz w:val="18"/>
                      <w:szCs w:val="18"/>
                      <w:lang w:bidi="ar"/>
                      <w14:textFill>
                        <w14:solidFill>
                          <w14:schemeClr w14:val="tx1"/>
                        </w14:solidFill>
                      </w14:textFill>
                    </w:rPr>
                  </w:pPr>
                </w:p>
              </w:tc>
              <w:tc>
                <w:tcPr>
                  <w:tcW w:w="1823" w:type="pct"/>
                  <w:vAlign w:val="center"/>
                </w:tcPr>
                <w:p w14:paraId="1697F657">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振捣棒</w:t>
                  </w:r>
                </w:p>
              </w:tc>
              <w:tc>
                <w:tcPr>
                  <w:tcW w:w="971" w:type="pct"/>
                  <w:vAlign w:val="center"/>
                </w:tcPr>
                <w:p w14:paraId="5ED21576">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107</w:t>
                  </w:r>
                </w:p>
              </w:tc>
              <w:tc>
                <w:tcPr>
                  <w:tcW w:w="274" w:type="pct"/>
                  <w:vMerge w:val="continue"/>
                  <w:vAlign w:val="center"/>
                </w:tcPr>
                <w:p w14:paraId="3C8E3000">
                  <w:pPr>
                    <w:widowControl/>
                    <w:snapToGrid w:val="0"/>
                    <w:jc w:val="center"/>
                    <w:textAlignment w:val="center"/>
                    <w:rPr>
                      <w:color w:val="000000" w:themeColor="text1"/>
                      <w:sz w:val="18"/>
                      <w:szCs w:val="18"/>
                      <w:lang w:bidi="ar"/>
                      <w14:textFill>
                        <w14:solidFill>
                          <w14:schemeClr w14:val="tx1"/>
                        </w14:solidFill>
                      </w14:textFill>
                    </w:rPr>
                  </w:pPr>
                </w:p>
              </w:tc>
              <w:tc>
                <w:tcPr>
                  <w:tcW w:w="723" w:type="pct"/>
                  <w:vAlign w:val="center"/>
                </w:tcPr>
                <w:p w14:paraId="35D44B90">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87</w:t>
                  </w:r>
                </w:p>
              </w:tc>
            </w:tr>
            <w:tr w14:paraId="3C98F20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exact"/>
              </w:trPr>
              <w:tc>
                <w:tcPr>
                  <w:tcW w:w="1209" w:type="pct"/>
                  <w:vMerge w:val="continue"/>
                  <w:vAlign w:val="center"/>
                </w:tcPr>
                <w:p w14:paraId="06C2C52C">
                  <w:pPr>
                    <w:widowControl/>
                    <w:snapToGrid w:val="0"/>
                    <w:jc w:val="center"/>
                    <w:textAlignment w:val="center"/>
                    <w:rPr>
                      <w:color w:val="000000" w:themeColor="text1"/>
                      <w:sz w:val="18"/>
                      <w:szCs w:val="18"/>
                      <w:lang w:bidi="ar"/>
                      <w14:textFill>
                        <w14:solidFill>
                          <w14:schemeClr w14:val="tx1"/>
                        </w14:solidFill>
                      </w14:textFill>
                    </w:rPr>
                  </w:pPr>
                </w:p>
              </w:tc>
              <w:tc>
                <w:tcPr>
                  <w:tcW w:w="1823" w:type="pct"/>
                  <w:vAlign w:val="center"/>
                </w:tcPr>
                <w:p w14:paraId="7912D976">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吊车</w:t>
                  </w:r>
                </w:p>
              </w:tc>
              <w:tc>
                <w:tcPr>
                  <w:tcW w:w="971" w:type="pct"/>
                  <w:vAlign w:val="center"/>
                </w:tcPr>
                <w:p w14:paraId="632D71B6">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75</w:t>
                  </w:r>
                </w:p>
              </w:tc>
              <w:tc>
                <w:tcPr>
                  <w:tcW w:w="274" w:type="pct"/>
                  <w:vMerge w:val="continue"/>
                  <w:vAlign w:val="center"/>
                </w:tcPr>
                <w:p w14:paraId="6170380B">
                  <w:pPr>
                    <w:widowControl/>
                    <w:snapToGrid w:val="0"/>
                    <w:jc w:val="center"/>
                    <w:textAlignment w:val="center"/>
                    <w:rPr>
                      <w:color w:val="000000" w:themeColor="text1"/>
                      <w:sz w:val="18"/>
                      <w:szCs w:val="18"/>
                      <w:lang w:bidi="ar"/>
                      <w14:textFill>
                        <w14:solidFill>
                          <w14:schemeClr w14:val="tx1"/>
                        </w14:solidFill>
                      </w14:textFill>
                    </w:rPr>
                  </w:pPr>
                </w:p>
              </w:tc>
              <w:tc>
                <w:tcPr>
                  <w:tcW w:w="723" w:type="pct"/>
                  <w:vAlign w:val="center"/>
                </w:tcPr>
                <w:p w14:paraId="2922F18A">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55</w:t>
                  </w:r>
                </w:p>
              </w:tc>
            </w:tr>
            <w:tr w14:paraId="3D679C9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exact"/>
              </w:trPr>
              <w:tc>
                <w:tcPr>
                  <w:tcW w:w="1209" w:type="pct"/>
                  <w:vMerge w:val="continue"/>
                  <w:vAlign w:val="center"/>
                </w:tcPr>
                <w:p w14:paraId="528AE265">
                  <w:pPr>
                    <w:widowControl/>
                    <w:snapToGrid w:val="0"/>
                    <w:jc w:val="center"/>
                    <w:textAlignment w:val="center"/>
                    <w:rPr>
                      <w:color w:val="000000" w:themeColor="text1"/>
                      <w:sz w:val="18"/>
                      <w:szCs w:val="18"/>
                      <w:lang w:bidi="ar"/>
                      <w14:textFill>
                        <w14:solidFill>
                          <w14:schemeClr w14:val="tx1"/>
                        </w14:solidFill>
                      </w14:textFill>
                    </w:rPr>
                  </w:pPr>
                </w:p>
              </w:tc>
              <w:tc>
                <w:tcPr>
                  <w:tcW w:w="1823" w:type="pct"/>
                  <w:vAlign w:val="center"/>
                </w:tcPr>
                <w:p w14:paraId="351C1854">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混凝土输送</w:t>
                  </w:r>
                </w:p>
              </w:tc>
              <w:tc>
                <w:tcPr>
                  <w:tcW w:w="971" w:type="pct"/>
                  <w:vAlign w:val="center"/>
                </w:tcPr>
                <w:p w14:paraId="11DE2DFA">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100</w:t>
                  </w:r>
                </w:p>
              </w:tc>
              <w:tc>
                <w:tcPr>
                  <w:tcW w:w="274" w:type="pct"/>
                  <w:vMerge w:val="continue"/>
                  <w:vAlign w:val="center"/>
                </w:tcPr>
                <w:p w14:paraId="13969309">
                  <w:pPr>
                    <w:widowControl/>
                    <w:snapToGrid w:val="0"/>
                    <w:jc w:val="center"/>
                    <w:textAlignment w:val="center"/>
                    <w:rPr>
                      <w:color w:val="000000" w:themeColor="text1"/>
                      <w:sz w:val="18"/>
                      <w:szCs w:val="18"/>
                      <w:lang w:bidi="ar"/>
                      <w14:textFill>
                        <w14:solidFill>
                          <w14:schemeClr w14:val="tx1"/>
                        </w14:solidFill>
                      </w14:textFill>
                    </w:rPr>
                  </w:pPr>
                </w:p>
              </w:tc>
              <w:tc>
                <w:tcPr>
                  <w:tcW w:w="723" w:type="pct"/>
                  <w:vAlign w:val="center"/>
                </w:tcPr>
                <w:p w14:paraId="12937120">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80</w:t>
                  </w:r>
                </w:p>
              </w:tc>
            </w:tr>
            <w:tr w14:paraId="141ED8A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exact"/>
              </w:trPr>
              <w:tc>
                <w:tcPr>
                  <w:tcW w:w="1209" w:type="pct"/>
                  <w:vMerge w:val="restart"/>
                  <w:vAlign w:val="center"/>
                </w:tcPr>
                <w:p w14:paraId="4AEEF6AA">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装修、安装阶段</w:t>
                  </w:r>
                </w:p>
              </w:tc>
              <w:tc>
                <w:tcPr>
                  <w:tcW w:w="1823" w:type="pct"/>
                  <w:vAlign w:val="center"/>
                </w:tcPr>
                <w:p w14:paraId="4C79BF3C">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多功能木工刨</w:t>
                  </w:r>
                </w:p>
              </w:tc>
              <w:tc>
                <w:tcPr>
                  <w:tcW w:w="971" w:type="pct"/>
                  <w:vAlign w:val="center"/>
                </w:tcPr>
                <w:p w14:paraId="75AA34B7">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100</w:t>
                  </w:r>
                </w:p>
              </w:tc>
              <w:tc>
                <w:tcPr>
                  <w:tcW w:w="274" w:type="pct"/>
                  <w:vMerge w:val="continue"/>
                  <w:vAlign w:val="center"/>
                </w:tcPr>
                <w:p w14:paraId="1DB53B1B">
                  <w:pPr>
                    <w:widowControl/>
                    <w:snapToGrid w:val="0"/>
                    <w:jc w:val="center"/>
                    <w:textAlignment w:val="center"/>
                    <w:rPr>
                      <w:color w:val="000000" w:themeColor="text1"/>
                      <w:sz w:val="18"/>
                      <w:szCs w:val="18"/>
                      <w:lang w:bidi="ar"/>
                      <w14:textFill>
                        <w14:solidFill>
                          <w14:schemeClr w14:val="tx1"/>
                        </w14:solidFill>
                      </w14:textFill>
                    </w:rPr>
                  </w:pPr>
                </w:p>
              </w:tc>
              <w:tc>
                <w:tcPr>
                  <w:tcW w:w="723" w:type="pct"/>
                  <w:vAlign w:val="center"/>
                </w:tcPr>
                <w:p w14:paraId="4CA94091">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80</w:t>
                  </w:r>
                </w:p>
              </w:tc>
            </w:tr>
            <w:tr w14:paraId="398A51A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exact"/>
              </w:trPr>
              <w:tc>
                <w:tcPr>
                  <w:tcW w:w="1209" w:type="pct"/>
                  <w:vMerge w:val="continue"/>
                  <w:vAlign w:val="center"/>
                </w:tcPr>
                <w:p w14:paraId="7E69B682">
                  <w:pPr>
                    <w:widowControl/>
                    <w:spacing w:line="360" w:lineRule="auto"/>
                    <w:jc w:val="center"/>
                    <w:rPr>
                      <w:color w:val="000000" w:themeColor="text1"/>
                      <w:spacing w:val="3"/>
                      <w:sz w:val="18"/>
                      <w:szCs w:val="18"/>
                      <w14:textFill>
                        <w14:solidFill>
                          <w14:schemeClr w14:val="tx1"/>
                        </w14:solidFill>
                      </w14:textFill>
                    </w:rPr>
                  </w:pPr>
                </w:p>
              </w:tc>
              <w:tc>
                <w:tcPr>
                  <w:tcW w:w="1823" w:type="pct"/>
                  <w:vAlign w:val="center"/>
                </w:tcPr>
                <w:p w14:paraId="388B9C80">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空压机</w:t>
                  </w:r>
                </w:p>
              </w:tc>
              <w:tc>
                <w:tcPr>
                  <w:tcW w:w="971" w:type="pct"/>
                  <w:vAlign w:val="center"/>
                </w:tcPr>
                <w:p w14:paraId="5EFFBD54">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75</w:t>
                  </w:r>
                </w:p>
              </w:tc>
              <w:tc>
                <w:tcPr>
                  <w:tcW w:w="274" w:type="pct"/>
                  <w:vMerge w:val="continue"/>
                  <w:vAlign w:val="center"/>
                </w:tcPr>
                <w:p w14:paraId="140F2FC3">
                  <w:pPr>
                    <w:widowControl/>
                    <w:snapToGrid w:val="0"/>
                    <w:jc w:val="center"/>
                    <w:textAlignment w:val="center"/>
                    <w:rPr>
                      <w:color w:val="000000" w:themeColor="text1"/>
                      <w:sz w:val="18"/>
                      <w:szCs w:val="18"/>
                      <w:lang w:bidi="ar"/>
                      <w14:textFill>
                        <w14:solidFill>
                          <w14:schemeClr w14:val="tx1"/>
                        </w14:solidFill>
                      </w14:textFill>
                    </w:rPr>
                  </w:pPr>
                </w:p>
              </w:tc>
              <w:tc>
                <w:tcPr>
                  <w:tcW w:w="723" w:type="pct"/>
                  <w:vAlign w:val="center"/>
                </w:tcPr>
                <w:p w14:paraId="25A80310">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55</w:t>
                  </w:r>
                </w:p>
              </w:tc>
            </w:tr>
            <w:tr w14:paraId="1311E43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exact"/>
              </w:trPr>
              <w:tc>
                <w:tcPr>
                  <w:tcW w:w="1209" w:type="pct"/>
                  <w:vMerge w:val="continue"/>
                  <w:vAlign w:val="center"/>
                </w:tcPr>
                <w:p w14:paraId="0A6A7F02">
                  <w:pPr>
                    <w:widowControl/>
                    <w:spacing w:line="360" w:lineRule="auto"/>
                    <w:jc w:val="center"/>
                    <w:rPr>
                      <w:color w:val="000000" w:themeColor="text1"/>
                      <w:spacing w:val="3"/>
                      <w:sz w:val="18"/>
                      <w:szCs w:val="18"/>
                      <w14:textFill>
                        <w14:solidFill>
                          <w14:schemeClr w14:val="tx1"/>
                        </w14:solidFill>
                      </w14:textFill>
                    </w:rPr>
                  </w:pPr>
                </w:p>
              </w:tc>
              <w:tc>
                <w:tcPr>
                  <w:tcW w:w="1823" w:type="pct"/>
                  <w:vAlign w:val="center"/>
                </w:tcPr>
                <w:p w14:paraId="32972A52">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电锯</w:t>
                  </w:r>
                </w:p>
              </w:tc>
              <w:tc>
                <w:tcPr>
                  <w:tcW w:w="971" w:type="pct"/>
                  <w:vAlign w:val="center"/>
                </w:tcPr>
                <w:p w14:paraId="6C3F6746">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100</w:t>
                  </w:r>
                </w:p>
              </w:tc>
              <w:tc>
                <w:tcPr>
                  <w:tcW w:w="274" w:type="pct"/>
                  <w:vMerge w:val="continue"/>
                  <w:vAlign w:val="center"/>
                </w:tcPr>
                <w:p w14:paraId="5769E050">
                  <w:pPr>
                    <w:widowControl/>
                    <w:snapToGrid w:val="0"/>
                    <w:jc w:val="center"/>
                    <w:textAlignment w:val="center"/>
                    <w:rPr>
                      <w:color w:val="000000" w:themeColor="text1"/>
                      <w:sz w:val="18"/>
                      <w:szCs w:val="18"/>
                      <w:lang w:bidi="ar"/>
                      <w14:textFill>
                        <w14:solidFill>
                          <w14:schemeClr w14:val="tx1"/>
                        </w14:solidFill>
                      </w14:textFill>
                    </w:rPr>
                  </w:pPr>
                </w:p>
              </w:tc>
              <w:tc>
                <w:tcPr>
                  <w:tcW w:w="723" w:type="pct"/>
                  <w:vAlign w:val="center"/>
                </w:tcPr>
                <w:p w14:paraId="13CF4EE2">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80</w:t>
                  </w:r>
                </w:p>
              </w:tc>
            </w:tr>
            <w:tr w14:paraId="31FEDE7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exact"/>
              </w:trPr>
              <w:tc>
                <w:tcPr>
                  <w:tcW w:w="1209" w:type="pct"/>
                  <w:vMerge w:val="continue"/>
                  <w:vAlign w:val="center"/>
                </w:tcPr>
                <w:p w14:paraId="306C9042">
                  <w:pPr>
                    <w:widowControl/>
                    <w:spacing w:line="360" w:lineRule="auto"/>
                    <w:jc w:val="center"/>
                    <w:rPr>
                      <w:color w:val="000000" w:themeColor="text1"/>
                      <w:spacing w:val="3"/>
                      <w:sz w:val="18"/>
                      <w:szCs w:val="18"/>
                      <w14:textFill>
                        <w14:solidFill>
                          <w14:schemeClr w14:val="tx1"/>
                        </w14:solidFill>
                      </w14:textFill>
                    </w:rPr>
                  </w:pPr>
                </w:p>
              </w:tc>
              <w:tc>
                <w:tcPr>
                  <w:tcW w:w="1823" w:type="pct"/>
                  <w:vAlign w:val="center"/>
                </w:tcPr>
                <w:p w14:paraId="4FE706FF">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无齿锯</w:t>
                  </w:r>
                </w:p>
              </w:tc>
              <w:tc>
                <w:tcPr>
                  <w:tcW w:w="971" w:type="pct"/>
                  <w:vAlign w:val="center"/>
                </w:tcPr>
                <w:p w14:paraId="6D04485D">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105</w:t>
                  </w:r>
                </w:p>
              </w:tc>
              <w:tc>
                <w:tcPr>
                  <w:tcW w:w="274" w:type="pct"/>
                  <w:vMerge w:val="continue"/>
                  <w:vAlign w:val="center"/>
                </w:tcPr>
                <w:p w14:paraId="58590EEC">
                  <w:pPr>
                    <w:widowControl/>
                    <w:snapToGrid w:val="0"/>
                    <w:jc w:val="center"/>
                    <w:textAlignment w:val="center"/>
                    <w:rPr>
                      <w:color w:val="000000" w:themeColor="text1"/>
                      <w:sz w:val="18"/>
                      <w:szCs w:val="18"/>
                      <w:lang w:bidi="ar"/>
                      <w14:textFill>
                        <w14:solidFill>
                          <w14:schemeClr w14:val="tx1"/>
                        </w14:solidFill>
                      </w14:textFill>
                    </w:rPr>
                  </w:pPr>
                </w:p>
              </w:tc>
              <w:tc>
                <w:tcPr>
                  <w:tcW w:w="723" w:type="pct"/>
                  <w:vAlign w:val="center"/>
                </w:tcPr>
                <w:p w14:paraId="6B9E4661">
                  <w:pPr>
                    <w:widowControl/>
                    <w:snapToGrid w:val="0"/>
                    <w:jc w:val="center"/>
                    <w:textAlignment w:val="center"/>
                    <w:rPr>
                      <w:color w:val="000000" w:themeColor="text1"/>
                      <w:sz w:val="18"/>
                      <w:szCs w:val="18"/>
                      <w:lang w:bidi="ar"/>
                      <w14:textFill>
                        <w14:solidFill>
                          <w14:schemeClr w14:val="tx1"/>
                        </w14:solidFill>
                      </w14:textFill>
                    </w:rPr>
                  </w:pPr>
                  <w:r>
                    <w:rPr>
                      <w:color w:val="000000" w:themeColor="text1"/>
                      <w:sz w:val="18"/>
                      <w:szCs w:val="18"/>
                      <w:lang w:bidi="ar"/>
                      <w14:textFill>
                        <w14:solidFill>
                          <w14:schemeClr w14:val="tx1"/>
                        </w14:solidFill>
                      </w14:textFill>
                    </w:rPr>
                    <w:t>85</w:t>
                  </w:r>
                </w:p>
              </w:tc>
            </w:tr>
          </w:tbl>
          <w:p w14:paraId="19AA46F1">
            <w:pPr>
              <w:keepNext/>
              <w:keepLines/>
              <w:widowControl/>
              <w:spacing w:line="360" w:lineRule="auto"/>
              <w:outlineLvl w:val="3"/>
              <w:rPr>
                <w:b/>
                <w:color w:val="000000" w:themeColor="text1"/>
                <w:sz w:val="24"/>
                <w:szCs w:val="20"/>
                <w14:textFill>
                  <w14:solidFill>
                    <w14:schemeClr w14:val="tx1"/>
                  </w14:solidFill>
                </w14:textFill>
              </w:rPr>
            </w:pPr>
            <w:r>
              <w:rPr>
                <w:b/>
                <w:color w:val="000000" w:themeColor="text1"/>
                <w:sz w:val="24"/>
                <w:szCs w:val="20"/>
                <w14:textFill>
                  <w14:solidFill>
                    <w14:schemeClr w14:val="tx1"/>
                  </w14:solidFill>
                </w14:textFill>
              </w:rPr>
              <w:t>4、施工期固体废物</w:t>
            </w:r>
          </w:p>
          <w:p w14:paraId="347043BF">
            <w:pPr>
              <w:widowControl/>
              <w:tabs>
                <w:tab w:val="left" w:pos="0"/>
                <w:tab w:val="left" w:pos="3744"/>
              </w:tabs>
              <w:spacing w:line="360" w:lineRule="auto"/>
              <w:ind w:firstLine="480" w:firstLineChars="200"/>
              <w:rPr>
                <w:color w:val="000000" w:themeColor="text1"/>
                <w:sz w:val="24"/>
                <w14:textFill>
                  <w14:solidFill>
                    <w14:schemeClr w14:val="tx1"/>
                  </w14:solidFill>
                </w14:textFill>
              </w:rPr>
            </w:pPr>
            <w:r>
              <w:rPr>
                <w:snapToGrid w:val="0"/>
                <w:color w:val="000000" w:themeColor="text1"/>
                <w:kern w:val="18"/>
                <w:sz w:val="24"/>
                <w14:textFill>
                  <w14:solidFill>
                    <w14:schemeClr w14:val="tx1"/>
                  </w14:solidFill>
                </w14:textFill>
              </w:rPr>
              <w:t>施工期的固体废弃物包括生活垃圾、建筑垃圾等</w:t>
            </w:r>
            <w:r>
              <w:rPr>
                <w:color w:val="000000" w:themeColor="text1"/>
                <w:sz w:val="24"/>
                <w14:textFill>
                  <w14:solidFill>
                    <w14:schemeClr w14:val="tx1"/>
                  </w14:solidFill>
                </w14:textFill>
              </w:rPr>
              <w:t>。</w:t>
            </w:r>
          </w:p>
          <w:p w14:paraId="51E3D911">
            <w:pPr>
              <w:widowControl/>
              <w:tabs>
                <w:tab w:val="left" w:pos="0"/>
                <w:tab w:val="left" w:pos="3744"/>
              </w:tabs>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（1）建筑垃圾</w:t>
            </w:r>
          </w:p>
          <w:p w14:paraId="2D0B437C">
            <w:pPr>
              <w:widowControl/>
              <w:tabs>
                <w:tab w:val="left" w:pos="0"/>
                <w:tab w:val="left" w:pos="3744"/>
              </w:tabs>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建筑垃圾产生量按2.0kg/m</w:t>
            </w:r>
            <w:r>
              <w:rPr>
                <w:color w:val="000000" w:themeColor="text1"/>
                <w:sz w:val="24"/>
                <w:vertAlign w:val="superscript"/>
                <w14:textFill>
                  <w14:solidFill>
                    <w14:schemeClr w14:val="tx1"/>
                  </w14:solidFill>
                </w14:textFill>
              </w:rPr>
              <w:t>2</w:t>
            </w:r>
            <w:r>
              <w:rPr>
                <w:color w:val="000000" w:themeColor="text1"/>
                <w:sz w:val="24"/>
                <w14:textFill>
                  <w14:solidFill>
                    <w14:schemeClr w14:val="tx1"/>
                  </w14:solidFill>
                </w14:textFill>
              </w:rPr>
              <w:t>计算，本项目建筑垃圾产生总量约</w:t>
            </w:r>
            <w:r>
              <w:rPr>
                <w:rFonts w:hint="eastAsia"/>
                <w:color w:val="000000" w:themeColor="text1"/>
                <w:sz w:val="24"/>
                <w14:textFill>
                  <w14:solidFill>
                    <w14:schemeClr w14:val="tx1"/>
                  </w14:solidFill>
                </w14:textFill>
              </w:rPr>
              <w:t>20</w:t>
            </w:r>
            <w:r>
              <w:rPr>
                <w:color w:val="000000" w:themeColor="text1"/>
                <w:sz w:val="24"/>
                <w14:textFill>
                  <w14:solidFill>
                    <w14:schemeClr w14:val="tx1"/>
                  </w14:solidFill>
                </w14:textFill>
              </w:rPr>
              <w:t>t。</w:t>
            </w:r>
          </w:p>
          <w:p w14:paraId="2428AB83">
            <w:pPr>
              <w:widowControl/>
              <w:tabs>
                <w:tab w:val="left" w:pos="0"/>
                <w:tab w:val="left" w:pos="3744"/>
              </w:tabs>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（2）生活垃圾</w:t>
            </w:r>
          </w:p>
          <w:p w14:paraId="474894A9">
            <w:pPr>
              <w:snapToGrid w:val="0"/>
              <w:spacing w:line="360" w:lineRule="auto"/>
              <w:ind w:firstLine="480" w:firstLineChars="200"/>
              <w:rPr>
                <w:b/>
                <w:color w:val="000000" w:themeColor="text1"/>
                <w:sz w:val="24"/>
                <w14:textFill>
                  <w14:solidFill>
                    <w14:schemeClr w14:val="tx1"/>
                  </w14:solidFill>
                </w14:textFill>
              </w:rPr>
            </w:pPr>
            <w:r>
              <w:rPr>
                <w:bCs/>
                <w:color w:val="000000" w:themeColor="text1"/>
                <w:sz w:val="24"/>
                <w14:textFill>
                  <w14:solidFill>
                    <w14:schemeClr w14:val="tx1"/>
                  </w14:solidFill>
                </w14:textFill>
              </w:rPr>
              <w:t>生活垃圾按人均产生量0.5kg/d计算，施工期人数以50人计，施工期为</w:t>
            </w:r>
            <w:r>
              <w:rPr>
                <w:rFonts w:hint="eastAsia"/>
                <w:bCs/>
                <w:color w:val="000000" w:themeColor="text1"/>
                <w:sz w:val="24"/>
                <w14:textFill>
                  <w14:solidFill>
                    <w14:schemeClr w14:val="tx1"/>
                  </w14:solidFill>
                </w14:textFill>
              </w:rPr>
              <w:t>3</w:t>
            </w:r>
            <w:r>
              <w:rPr>
                <w:bCs/>
                <w:color w:val="000000" w:themeColor="text1"/>
                <w:sz w:val="24"/>
                <w14:textFill>
                  <w14:solidFill>
                    <w14:schemeClr w14:val="tx1"/>
                  </w14:solidFill>
                </w14:textFill>
              </w:rPr>
              <w:t>个月，则生活垃圾产生量为</w:t>
            </w:r>
            <w:r>
              <w:rPr>
                <w:rFonts w:hint="eastAsia"/>
                <w:bCs/>
                <w:color w:val="000000" w:themeColor="text1"/>
                <w:sz w:val="24"/>
                <w14:textFill>
                  <w14:solidFill>
                    <w14:schemeClr w14:val="tx1"/>
                  </w14:solidFill>
                </w14:textFill>
              </w:rPr>
              <w:t>2.25</w:t>
            </w:r>
            <w:r>
              <w:rPr>
                <w:color w:val="000000" w:themeColor="text1"/>
                <w:sz w:val="24"/>
                <w14:textFill>
                  <w14:solidFill>
                    <w14:schemeClr w14:val="tx1"/>
                  </w14:solidFill>
                </w14:textFill>
              </w:rPr>
              <w:t>t。</w:t>
            </w:r>
          </w:p>
          <w:p w14:paraId="467BE997">
            <w:pPr>
              <w:snapToGrid w:val="0"/>
              <w:spacing w:line="360" w:lineRule="auto"/>
              <w:jc w:val="left"/>
              <w:rPr>
                <w:b/>
                <w:color w:val="000000" w:themeColor="text1"/>
                <w:spacing w:val="-10"/>
                <w:sz w:val="24"/>
                <w14:textFill>
                  <w14:solidFill>
                    <w14:schemeClr w14:val="tx1"/>
                  </w14:solidFill>
                </w14:textFill>
              </w:rPr>
            </w:pPr>
            <w:r>
              <w:rPr>
                <w:b/>
                <w:color w:val="000000" w:themeColor="text1"/>
                <w:spacing w:val="-10"/>
                <w:sz w:val="24"/>
                <w14:textFill>
                  <w14:solidFill>
                    <w14:schemeClr w14:val="tx1"/>
                  </w14:solidFill>
                </w14:textFill>
              </w:rPr>
              <w:t>5、施工期</w:t>
            </w:r>
            <w:r>
              <w:rPr>
                <w:rFonts w:hint="eastAsia"/>
                <w:b/>
                <w:color w:val="000000" w:themeColor="text1"/>
                <w:spacing w:val="-10"/>
                <w:sz w:val="24"/>
                <w14:textFill>
                  <w14:solidFill>
                    <w14:schemeClr w14:val="tx1"/>
                  </w14:solidFill>
                </w14:textFill>
              </w:rPr>
              <w:t>生态环境影响和保护措施</w:t>
            </w:r>
          </w:p>
          <w:p w14:paraId="1ABD29AA">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项目对生态环境的影响主要表现为场地填筑与开挖等工程施工，对区域陆生植被、景观等造成的影响。建设期间施工活动将扰动地表，使施工区原有地形、地貌、土地利用方式发生改变，破坏土地上覆盖物和植被，也易产生水土流失。临时堆土如不采取防护措施，遇降水冲刷，会造成严重的水土流失。</w:t>
            </w:r>
          </w:p>
          <w:p w14:paraId="65F41022">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（1）项目建设对土地的影响</w:t>
            </w:r>
          </w:p>
          <w:p w14:paraId="5F1BDD17">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根据项目的设计方案，原有的用地将被各类建（构）筑物、道路、绿化等取代，土地使用功能发生了改变，项目建设占用土地在一定程度上存在着负面的影响，尤其是周边现状用地的影响，因此项目建设在满足技术标准的前提下，施工建设应尽量避免高填深挖，减少土石方挖填量，降低水土资源的占用，最大限度地减少对周边生态环境的破坏。</w:t>
            </w:r>
          </w:p>
          <w:p w14:paraId="4AFD950B">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（2）植被资源的影响分析</w:t>
            </w:r>
          </w:p>
          <w:p w14:paraId="7D4BB117">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项目用地红线范围内部分地块会涉及到土地的平整，而工程建设、施工开挖等，部分植被从地表剥离会直接对植被造成损害，在一定程度上降低区域的生物量和生产力。但项目工程量小，施工时间较短，对区域生态环境影响小。同时根据调查，项目用地红线范围内涉及土地平整的区域现状种植树种主要为低矮灌木、落叶林、灌草藤植物等，均为当地常见物种，不涉及珍稀保护物种和名木古树等树种。项目施工期不会对区域植被群落结构产生大的影响，对区域植物多样性的影响不大，同时项目建成后厂区通过加大绿化面积，对原生态环境进行补偿，因此项目的建设对区域生态环境影响较小。</w:t>
            </w:r>
          </w:p>
          <w:p w14:paraId="5BD5C759">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（3）项目施工期间对动物影响分析</w:t>
            </w:r>
          </w:p>
          <w:p w14:paraId="334D953F">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施工期对野生动物的主要影响因素有人类活动、车辆运输、工程建设，施工便道等，这些施工行为，可能影响野生动物的栖息环境，如施工机械噪声对动物的干扰等。施工的挖填方作业将对两栖和爬行类，特别是对两栖类动物小生境的破坏。将使得项目附近的大部分两栖类迁移它处，远离施工区范围；一部分鸟类和爬行类动物会通过迁移和飞翔来避免项目施工所造成的影响，导致项目周围环境的动物数量有所减少，但是在工程建成后施工噪声等影响减弱后又会回到原来比较适宜生存和活动的地域。</w:t>
            </w:r>
          </w:p>
          <w:p w14:paraId="42636BA7">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施工期间，施工地段将有相当数量的人员进驻，施工队伍临时驻地污水排放、生活垃圾等各类污染物收集起来，运至指定地点集中处理，不会对周围环境及野生动物产生影响。但是，施工人员可能的行为方式如采挖植物和直接捕杀野生动物的行为，会对周围野生动物造成不利的影响。</w:t>
            </w:r>
          </w:p>
          <w:p w14:paraId="7B25B05E">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从现状调查情况看，评价区内尚未发现受国家Ⅰ、Ⅱ级重点保护动物分布以及鸟类、蛇类栖息地。因此，只要加强环境保护措施及对施工人员的监督和环保意识的宣传，本工程对区域内野生动物不会产生大的影响，对其生存及种群数量、种类影响很小，也不会导致动物多样性降低。</w:t>
            </w:r>
          </w:p>
          <w:p w14:paraId="6FEC0A05">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（4）水土流失影响</w:t>
            </w:r>
          </w:p>
          <w:p w14:paraId="4D495608">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工程建设施工期的土石方开挖，土地占用、施工场地等，存在损坏或压埋原有植被、地形地貌受到扰动，对原有水土保持设施产生不同程度的破坏，地表裸露，失去原有植被的防冲、固土能力，可能降低其水土保持功能，发生冲刷、崩塌现象，增加新的水土流失。</w:t>
            </w:r>
          </w:p>
          <w:p w14:paraId="11764042">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①水土流失产生原因</w:t>
            </w:r>
          </w:p>
          <w:p w14:paraId="008BE52B">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降雨、植被、地形和土壤是影响水土流失的重要因素。</w:t>
            </w:r>
          </w:p>
          <w:p w14:paraId="11E35726">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a降雨是土壤受水侵蚀的动力来源，项目所在地降雨量的大小是影响水土流失的重要因素。在每年雨季这段时间的道路施工，将会产生较大的水土流失。</w:t>
            </w:r>
          </w:p>
          <w:p w14:paraId="59930CF1">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b植被是抵抗土壤侵蚀的重要因素，它起着截留雨水，减少雨滴打击力，改善土壤结构，增加渗透率的作用。地面上是否有植被，其覆盖率多少，在很大程度上就决定了土壤侵蚀量的大小。项目施工致使施工区域内的土壤失去植被保护直接裸露出来，从而增大水土流失的可能性。</w:t>
            </w:r>
          </w:p>
          <w:p w14:paraId="79647178">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c地形是影响水土流失的重要因素。在工程区域内，由于路基的填、挖将改变原有的地形并且造成表土和风化物疏松。</w:t>
            </w:r>
          </w:p>
          <w:p w14:paraId="1D62111E">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d土壤是降雨冲刷的对象，其本身的特性如土壤质地、有机质含量与土壤受侵蚀程度有很大的关系。该项目施工表层土被剥离后，露出的底层较易产生水土流失。</w:t>
            </w:r>
          </w:p>
          <w:p w14:paraId="56375D93">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本项目工程施工将破坏局部地区土层的稳定性，造成施工区土地裸露、地表松散、植被破坏，使原有水土保持功能降低，在大风和降雨时，易产生水土流失。</w:t>
            </w:r>
          </w:p>
          <w:p w14:paraId="250DBAA7">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②水土流失危害分析</w:t>
            </w:r>
          </w:p>
          <w:p w14:paraId="1ABE61E0">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工程施工将形成大面积的裸露面和产生临时堆土石料，在降雨和重力作用下，易造成水土流失，主要集中在以下几个方面。</w:t>
            </w:r>
          </w:p>
          <w:p w14:paraId="14BD939D">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a影响周边生态环境，加剧原有的水土流失</w:t>
            </w:r>
          </w:p>
          <w:p w14:paraId="47D49B37">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 xml:space="preserve">工程建设过程中，扰动原地貌，损坏原有表土层结构和地表植被，使其原有的水土保持功能降低或丧失，抗侵蚀能力减弱，雨季必然发生水力侵蚀；加上表土层损失，土壤瘠薄，其损坏的植被短期内难以恢复到原有水平。另一方面在施工中场地开挖形成的裸露面、松散的临时堆土、弃渣等，极易造成水土流失。项目区扰动地表年侵蚀模数远远超过容许范围，从而加剧原有的水土流失。 </w:t>
            </w:r>
          </w:p>
          <w:p w14:paraId="42537B20">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b破坏土地资源、影响土地生产力</w:t>
            </w:r>
          </w:p>
          <w:p w14:paraId="17A754EB">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挖填抛洒的土方遇降雨极易形成地表侵蚀，泥沙中细小的部分会随水流进入周边水域下游，以“黄泥水”的形式侵入下游土层中，影响土壤理化性质，造成土地生产力下降。</w:t>
            </w:r>
          </w:p>
          <w:p w14:paraId="09716A21">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c影响区域景观和生态环境</w:t>
            </w:r>
          </w:p>
          <w:p w14:paraId="5F0134A6">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施工期间，工程临时及永久占地范围内原状地貌将被施工现场和工程景观所替代，同时施工期土方装卸堆存过程中易产生粉尘，在台风力作用下，易引起水蚀、风蚀叠加影响；在阵风作用下，易引起风蚀产生大气粉尘污染，对局部区域生态环境造成不良影响。</w:t>
            </w:r>
          </w:p>
          <w:p w14:paraId="4C4DBB24">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d影响土地生产力</w:t>
            </w:r>
          </w:p>
          <w:p w14:paraId="5D113110">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工程施工直接造成对原地表的扰动，裸露的地面在雨水的冲刷下会形成面蚀或沟蚀，从而带走表层土的营养元素，破坏土壤团粒结构，降低土壤肥力，使土地退化。同时在降雨、风力作用下，工程施工产生的水土流失可能直接流入周边的农业用地，将形成面上压砂现象，改变土壤的性质，土壤肥力下降，从而影响农作物生长。</w:t>
            </w:r>
          </w:p>
          <w:p w14:paraId="77941C9C">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建设单位在施工期应严格做好水土保持工作。</w:t>
            </w:r>
          </w:p>
          <w:p w14:paraId="081A78CC">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③水土流失防治措施</w:t>
            </w:r>
          </w:p>
          <w:p w14:paraId="7A98E1C7">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a</w:t>
            </w:r>
            <w:r>
              <w:rPr>
                <w:bCs/>
                <w:color w:val="000000" w:themeColor="text1"/>
                <w:sz w:val="24"/>
                <w14:textFill>
                  <w14:solidFill>
                    <w14:schemeClr w14:val="tx1"/>
                  </w14:solidFill>
                </w14:textFill>
              </w:rPr>
              <w:t>临时拦挡</w:t>
            </w:r>
          </w:p>
          <w:p w14:paraId="561A8DEC">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施工期设置临时堆土场、弃渣临时堆放区周边用编织袋（装土或砂）筑埂，高度 0.5-1 米，配合彩条布围挡，防止雨水冲刷。施工便道两侧设置临时土埂（高 30cm），引导雨水至临时排水沟。</w:t>
            </w:r>
          </w:p>
          <w:p w14:paraId="53C36FAC">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b临时覆盖</w:t>
            </w:r>
          </w:p>
          <w:p w14:paraId="0BA00AA1">
            <w:pPr>
              <w:snapToGrid w:val="0"/>
              <w:spacing w:line="360" w:lineRule="auto"/>
              <w:ind w:firstLine="480" w:firstLineChars="200"/>
              <w:rPr>
                <w:bCs/>
                <w:color w:val="000000" w:themeColor="text1"/>
                <w:sz w:val="24"/>
                <w14:textFill>
                  <w14:solidFill>
                    <w14:schemeClr w14:val="tx1"/>
                  </w14:solidFill>
                </w14:textFill>
              </w:rPr>
            </w:pPr>
            <w:r>
              <w:rPr>
                <w:bCs/>
                <w:color w:val="000000" w:themeColor="text1"/>
                <w:sz w:val="24"/>
                <w14:textFill>
                  <w14:solidFill>
                    <w14:schemeClr w14:val="tx1"/>
                  </w14:solidFill>
                </w14:textFill>
              </w:rPr>
              <w:t>裸露土体（如未施工的场地、堆土场）用防尘网（无纺布）、彩条布覆盖，覆盖率 100%，大风天气需用沙袋压实边角。</w:t>
            </w:r>
          </w:p>
          <w:p w14:paraId="15C4809B">
            <w:pPr>
              <w:snapToGrid w:val="0"/>
              <w:spacing w:line="360" w:lineRule="auto"/>
              <w:ind w:firstLine="480" w:firstLineChars="200"/>
              <w:rPr>
                <w:bCs/>
                <w:color w:val="000000" w:themeColor="text1"/>
                <w:sz w:val="24"/>
                <w14:textFill>
                  <w14:solidFill>
                    <w14:schemeClr w14:val="tx1"/>
                  </w14:solidFill>
                </w14:textFill>
              </w:rPr>
            </w:pPr>
            <w:r>
              <w:rPr>
                <w:bCs/>
                <w:color w:val="000000" w:themeColor="text1"/>
                <w:sz w:val="24"/>
                <w14:textFill>
                  <w14:solidFill>
                    <w14:schemeClr w14:val="tx1"/>
                  </w14:solidFill>
                </w14:textFill>
              </w:rPr>
              <w:t>混凝土浇筑后未硬化的场地，覆盖塑料膜保湿，同时防止雨水冲刷表面浮土。</w:t>
            </w:r>
          </w:p>
          <w:p w14:paraId="2E86840A">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c临时排水</w:t>
            </w:r>
          </w:p>
          <w:p w14:paraId="79844347">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施工场地内设置临时排水沟（用砖砌或塑料波纹管），间距 50-100 米，将雨水引至临时沉沙池，避免场地积水。</w:t>
            </w:r>
          </w:p>
          <w:p w14:paraId="6215FE37">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雨季施工时，在边坡顶部增设临时挡水埂（高 20-30cm），拦截坡面汇水。</w:t>
            </w:r>
          </w:p>
          <w:p w14:paraId="00C674E7">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d临时植被</w:t>
            </w:r>
          </w:p>
          <w:p w14:paraId="587F6B21">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在施工区域的闲置地块，播种速生草种（如黑麦草），快速覆盖地表，施工前铲除即可。</w:t>
            </w:r>
          </w:p>
          <w:p w14:paraId="2B3DA715">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（5）自然景观影响</w:t>
            </w:r>
          </w:p>
          <w:p w14:paraId="773FAA9D">
            <w:pPr>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在施工期，项目的建设将对景观产生负面影响，项目施工期对景观的影响主要是对自然景观的影响。施工过程中的一些施工行为势必会破坏施工场地的植被景观，引起水体流失，与周围景观产生不协调感，破坏了施工场地及其周边的景观。尤其是消纳地块的管道施工行为会使沿线自然景观破碎，破坏了自然景观的和谐性，将对景观产生一定程度的不利影响，这是施工建设不可避免的。据调查项目施工场地内未发现有列入法规保护的文物、保护区等敏感区。施工建设对景观的破坏是暂时的，但也应加强水土保持工作，采取绿化、护坡等工程措施，防止水土流失。通过在工程建设过程中采取的防护措施和后期的恢复措施，可以将拟建工程对景观的影响降低到最小。</w:t>
            </w:r>
          </w:p>
          <w:p w14:paraId="60814F01">
            <w:pPr>
              <w:snapToGrid w:val="0"/>
              <w:spacing w:line="360" w:lineRule="auto"/>
              <w:rPr>
                <w:bCs/>
                <w:color w:val="000000" w:themeColor="text1"/>
                <w:spacing w:val="-10"/>
                <w14:textFill>
                  <w14:solidFill>
                    <w14:schemeClr w14:val="tx1"/>
                  </w14:solidFill>
                </w14:textFill>
              </w:rPr>
            </w:pPr>
          </w:p>
          <w:p w14:paraId="5BC0D0DF">
            <w:pPr>
              <w:snapToGrid w:val="0"/>
              <w:spacing w:line="360" w:lineRule="auto"/>
              <w:rPr>
                <w:bCs/>
                <w:color w:val="000000" w:themeColor="text1"/>
                <w:spacing w:val="-10"/>
                <w:szCs w:val="21"/>
                <w14:textFill>
                  <w14:solidFill>
                    <w14:schemeClr w14:val="tx1"/>
                  </w14:solidFill>
                </w14:textFill>
              </w:rPr>
            </w:pPr>
          </w:p>
        </w:tc>
      </w:tr>
      <w:tr w14:paraId="104096F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342" w:hRule="atLeast"/>
          <w:jc w:val="center"/>
        </w:trPr>
        <w:tc>
          <w:tcPr>
            <w:tcW w:w="290" w:type="pct"/>
            <w:tcMar>
              <w:left w:w="28" w:type="dxa"/>
              <w:right w:w="28" w:type="dxa"/>
            </w:tcMar>
            <w:vAlign w:val="center"/>
          </w:tcPr>
          <w:p w14:paraId="71267167">
            <w:pPr>
              <w:adjustRightInd w:val="0"/>
              <w:snapToGrid w:val="0"/>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运营</w:t>
            </w:r>
          </w:p>
          <w:p w14:paraId="6AD96BE9">
            <w:pPr>
              <w:adjustRightInd w:val="0"/>
              <w:snapToGrid w:val="0"/>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期环</w:t>
            </w:r>
          </w:p>
          <w:p w14:paraId="320DAE46">
            <w:pPr>
              <w:adjustRightInd w:val="0"/>
              <w:snapToGrid w:val="0"/>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境影</w:t>
            </w:r>
          </w:p>
          <w:p w14:paraId="51E38B2C">
            <w:pPr>
              <w:adjustRightInd w:val="0"/>
              <w:snapToGrid w:val="0"/>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响和</w:t>
            </w:r>
          </w:p>
          <w:p w14:paraId="215EE55D">
            <w:pPr>
              <w:adjustRightInd w:val="0"/>
              <w:snapToGrid w:val="0"/>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保护</w:t>
            </w:r>
          </w:p>
          <w:p w14:paraId="5091D41C">
            <w:pPr>
              <w:adjustRightInd w:val="0"/>
              <w:snapToGrid w:val="0"/>
              <w:jc w:val="center"/>
              <w:rPr>
                <w:bCs/>
                <w:color w:val="000000" w:themeColor="text1"/>
                <w:szCs w:val="21"/>
                <w14:textFill>
                  <w14:solidFill>
                    <w14:schemeClr w14:val="tx1"/>
                  </w14:solidFill>
                </w14:textFill>
              </w:rPr>
            </w:pPr>
            <w:r>
              <w:rPr>
                <w:b/>
                <w:color w:val="000000" w:themeColor="text1"/>
                <w:sz w:val="24"/>
                <w14:textFill>
                  <w14:solidFill>
                    <w14:schemeClr w14:val="tx1"/>
                  </w14:solidFill>
                </w14:textFill>
              </w:rPr>
              <w:t>措施</w:t>
            </w:r>
          </w:p>
        </w:tc>
        <w:tc>
          <w:tcPr>
            <w:tcW w:w="4710" w:type="pct"/>
          </w:tcPr>
          <w:p w14:paraId="05832046">
            <w:pPr>
              <w:snapToGrid w:val="0"/>
              <w:spacing w:line="360" w:lineRule="auto"/>
              <w:ind w:firstLine="482" w:firstLineChars="200"/>
              <w:rPr>
                <w:b/>
                <w:color w:val="000000" w:themeColor="text1"/>
                <w:sz w:val="24"/>
                <w14:textFill>
                  <w14:solidFill>
                    <w14:schemeClr w14:val="tx1"/>
                  </w14:solidFill>
                </w14:textFill>
              </w:rPr>
            </w:pPr>
            <w:r>
              <w:rPr>
                <w:b/>
                <w:color w:val="000000" w:themeColor="text1"/>
                <w:sz w:val="24"/>
                <w14:textFill>
                  <w14:solidFill>
                    <w14:schemeClr w14:val="tx1"/>
                  </w14:solidFill>
                </w14:textFill>
              </w:rPr>
              <w:t>一、运营期废气环境影响和保护措施</w:t>
            </w:r>
          </w:p>
          <w:p w14:paraId="1279D8B3">
            <w:pPr>
              <w:ind w:firstLine="48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w:t>
            </w:r>
            <w:r>
              <w:rPr>
                <w:rFonts w:hint="eastAsia"/>
                <w:b/>
                <w:bCs/>
                <w:color w:val="000000" w:themeColor="text1"/>
                <w:sz w:val="24"/>
                <w14:textFill>
                  <w14:solidFill>
                    <w14:schemeClr w14:val="tx1"/>
                  </w14:solidFill>
                </w14:textFill>
              </w:rPr>
              <w:t>4-3</w:t>
            </w:r>
            <w:r>
              <w:rPr>
                <w:b/>
                <w:bCs/>
                <w:color w:val="000000" w:themeColor="text1"/>
                <w:sz w:val="24"/>
                <w14:textFill>
                  <w14:solidFill>
                    <w14:schemeClr w14:val="tx1"/>
                  </w14:solidFill>
                </w14:textFill>
              </w:rPr>
              <w:t xml:space="preserve">  正常工况下废气产生及排放情况一览表</w:t>
            </w:r>
          </w:p>
          <w:tbl>
            <w:tblPr>
              <w:tblStyle w:val="45"/>
              <w:tblW w:w="5000" w:type="pct"/>
              <w:tblInd w:w="0" w:type="dxa"/>
              <w:tblLayout w:type="autofit"/>
              <w:tblCellMar>
                <w:top w:w="0" w:type="dxa"/>
                <w:left w:w="108" w:type="dxa"/>
                <w:bottom w:w="0" w:type="dxa"/>
                <w:right w:w="108" w:type="dxa"/>
              </w:tblCellMar>
            </w:tblPr>
            <w:tblGrid>
              <w:gridCol w:w="548"/>
              <w:gridCol w:w="371"/>
              <w:gridCol w:w="371"/>
              <w:gridCol w:w="764"/>
              <w:gridCol w:w="764"/>
              <w:gridCol w:w="671"/>
              <w:gridCol w:w="810"/>
              <w:gridCol w:w="573"/>
              <w:gridCol w:w="687"/>
              <w:gridCol w:w="524"/>
              <w:gridCol w:w="480"/>
              <w:gridCol w:w="614"/>
              <w:gridCol w:w="649"/>
              <w:gridCol w:w="671"/>
              <w:gridCol w:w="595"/>
              <w:gridCol w:w="595"/>
              <w:gridCol w:w="627"/>
              <w:gridCol w:w="352"/>
              <w:gridCol w:w="676"/>
              <w:gridCol w:w="873"/>
              <w:gridCol w:w="775"/>
              <w:gridCol w:w="649"/>
            </w:tblGrid>
            <w:tr w14:paraId="60825AC8">
              <w:tblPrEx>
                <w:tblCellMar>
                  <w:top w:w="0" w:type="dxa"/>
                  <w:left w:w="108" w:type="dxa"/>
                  <w:bottom w:w="0" w:type="dxa"/>
                  <w:right w:w="108" w:type="dxa"/>
                </w:tblCellMar>
              </w:tblPrEx>
              <w:trPr>
                <w:trHeight w:val="330" w:hRule="atLeast"/>
              </w:trPr>
              <w:tc>
                <w:tcPr>
                  <w:tcW w:w="201" w:type="pct"/>
                  <w:vMerge w:val="restart"/>
                  <w:tcBorders>
                    <w:top w:val="single" w:color="000000" w:sz="12" w:space="0"/>
                    <w:left w:val="single" w:color="000000" w:sz="12" w:space="0"/>
                    <w:bottom w:val="single" w:color="000000" w:sz="12" w:space="0"/>
                    <w:right w:val="single" w:color="000000" w:sz="12" w:space="0"/>
                  </w:tcBorders>
                  <w:vAlign w:val="center"/>
                </w:tcPr>
                <w:p w14:paraId="677B1880">
                  <w:pPr>
                    <w:widowControl/>
                    <w:jc w:val="center"/>
                    <w:textAlignment w:val="center"/>
                    <w:rPr>
                      <w:rFonts w:hint="eastAsia" w:ascii="宋体" w:hAnsi="宋体" w:cs="宋体"/>
                      <w:b/>
                      <w:bCs/>
                      <w:color w:val="000000" w:themeColor="text1"/>
                      <w:sz w:val="13"/>
                      <w:szCs w:val="13"/>
                      <w14:textFill>
                        <w14:solidFill>
                          <w14:schemeClr w14:val="tx1"/>
                        </w14:solidFill>
                      </w14:textFill>
                    </w:rPr>
                  </w:pPr>
                  <w:bookmarkStart w:id="52" w:name="_Hlk480810789"/>
                  <w:r>
                    <w:rPr>
                      <w:rFonts w:hint="eastAsia" w:ascii="宋体" w:hAnsi="宋体" w:cs="宋体"/>
                      <w:b/>
                      <w:bCs/>
                      <w:color w:val="000000" w:themeColor="text1"/>
                      <w:kern w:val="0"/>
                      <w:sz w:val="13"/>
                      <w:szCs w:val="13"/>
                      <w:lang w:bidi="ar"/>
                      <w14:textFill>
                        <w14:solidFill>
                          <w14:schemeClr w14:val="tx1"/>
                        </w14:solidFill>
                      </w14:textFill>
                    </w:rPr>
                    <w:t>污染源</w:t>
                  </w:r>
                </w:p>
              </w:tc>
              <w:tc>
                <w:tcPr>
                  <w:tcW w:w="136" w:type="pct"/>
                  <w:vMerge w:val="restart"/>
                  <w:tcBorders>
                    <w:top w:val="single" w:color="000000" w:sz="12" w:space="0"/>
                    <w:left w:val="single" w:color="000000" w:sz="12" w:space="0"/>
                    <w:bottom w:val="single" w:color="000000" w:sz="12" w:space="0"/>
                    <w:right w:val="single" w:color="000000" w:sz="12" w:space="0"/>
                  </w:tcBorders>
                  <w:vAlign w:val="center"/>
                </w:tcPr>
                <w:p w14:paraId="7867DFA8">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污染物名称</w:t>
                  </w:r>
                </w:p>
              </w:tc>
              <w:tc>
                <w:tcPr>
                  <w:tcW w:w="136" w:type="pct"/>
                  <w:vMerge w:val="restart"/>
                  <w:tcBorders>
                    <w:top w:val="single" w:color="000000" w:sz="12" w:space="0"/>
                    <w:left w:val="single" w:color="000000" w:sz="12" w:space="0"/>
                    <w:bottom w:val="single" w:color="000000" w:sz="12" w:space="0"/>
                    <w:right w:val="single" w:color="000000" w:sz="12" w:space="0"/>
                  </w:tcBorders>
                  <w:vAlign w:val="center"/>
                </w:tcPr>
                <w:p w14:paraId="43FC2538">
                  <w:pPr>
                    <w:jc w:val="center"/>
                    <w:rPr>
                      <w:rFonts w:hint="eastAsia" w:ascii="宋体" w:hAnsi="宋体" w:cs="宋体"/>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排放形式</w:t>
                  </w:r>
                </w:p>
                <w:p w14:paraId="3B2CB27B">
                  <w:pPr>
                    <w:widowControl/>
                    <w:jc w:val="center"/>
                    <w:textAlignment w:val="center"/>
                    <w:rPr>
                      <w:rFonts w:hint="eastAsia" w:ascii="宋体" w:hAnsi="宋体" w:cs="宋体"/>
                      <w:b/>
                      <w:bCs/>
                      <w:color w:val="000000" w:themeColor="text1"/>
                      <w:sz w:val="13"/>
                      <w:szCs w:val="13"/>
                      <w14:textFill>
                        <w14:solidFill>
                          <w14:schemeClr w14:val="tx1"/>
                        </w14:solidFill>
                      </w14:textFill>
                    </w:rPr>
                  </w:pPr>
                </w:p>
              </w:tc>
              <w:tc>
                <w:tcPr>
                  <w:tcW w:w="806" w:type="pct"/>
                  <w:gridSpan w:val="3"/>
                  <w:tcBorders>
                    <w:top w:val="single" w:color="000000" w:sz="12" w:space="0"/>
                    <w:left w:val="single" w:color="000000" w:sz="12" w:space="0"/>
                    <w:bottom w:val="single" w:color="000000" w:sz="12" w:space="0"/>
                    <w:right w:val="single" w:color="000000" w:sz="12" w:space="0"/>
                  </w:tcBorders>
                  <w:vAlign w:val="center"/>
                </w:tcPr>
                <w:p w14:paraId="3CC7EA0E">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产生情况</w:t>
                  </w:r>
                </w:p>
              </w:tc>
              <w:tc>
                <w:tcPr>
                  <w:tcW w:w="1127" w:type="pct"/>
                  <w:gridSpan w:val="5"/>
                  <w:tcBorders>
                    <w:top w:val="single" w:color="000000" w:sz="12" w:space="0"/>
                    <w:left w:val="single" w:color="000000" w:sz="12" w:space="0"/>
                    <w:bottom w:val="single" w:color="000000" w:sz="12" w:space="0"/>
                    <w:right w:val="single" w:color="000000" w:sz="12" w:space="0"/>
                  </w:tcBorders>
                  <w:vAlign w:val="center"/>
                </w:tcPr>
                <w:p w14:paraId="5C6AFEF7">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治理措施</w:t>
                  </w:r>
                </w:p>
              </w:tc>
              <w:tc>
                <w:tcPr>
                  <w:tcW w:w="709" w:type="pct"/>
                  <w:gridSpan w:val="3"/>
                  <w:tcBorders>
                    <w:top w:val="single" w:color="000000" w:sz="12" w:space="0"/>
                    <w:left w:val="single" w:color="000000" w:sz="12" w:space="0"/>
                    <w:bottom w:val="single" w:color="000000" w:sz="12" w:space="0"/>
                    <w:right w:val="single" w:color="000000" w:sz="12" w:space="0"/>
                  </w:tcBorders>
                  <w:vAlign w:val="center"/>
                </w:tcPr>
                <w:p w14:paraId="0FC42871">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排放情况</w:t>
                  </w:r>
                </w:p>
              </w:tc>
              <w:tc>
                <w:tcPr>
                  <w:tcW w:w="1042" w:type="pct"/>
                  <w:gridSpan w:val="5"/>
                  <w:tcBorders>
                    <w:top w:val="single" w:color="000000" w:sz="12" w:space="0"/>
                    <w:left w:val="single" w:color="000000" w:sz="12" w:space="0"/>
                    <w:bottom w:val="single" w:color="000000" w:sz="12" w:space="0"/>
                    <w:right w:val="single" w:color="000000" w:sz="12" w:space="0"/>
                  </w:tcBorders>
                  <w:vAlign w:val="center"/>
                </w:tcPr>
                <w:p w14:paraId="7350414D">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排放口</w:t>
                  </w:r>
                </w:p>
              </w:tc>
              <w:tc>
                <w:tcPr>
                  <w:tcW w:w="843" w:type="pct"/>
                  <w:gridSpan w:val="3"/>
                  <w:tcBorders>
                    <w:top w:val="single" w:color="000000" w:sz="12" w:space="0"/>
                    <w:left w:val="single" w:color="000000" w:sz="12" w:space="0"/>
                    <w:bottom w:val="single" w:color="000000" w:sz="12" w:space="0"/>
                    <w:right w:val="single" w:color="000000" w:sz="12" w:space="0"/>
                  </w:tcBorders>
                  <w:vAlign w:val="center"/>
                </w:tcPr>
                <w:p w14:paraId="68E62766">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排放标准</w:t>
                  </w:r>
                </w:p>
              </w:tc>
            </w:tr>
            <w:tr w14:paraId="17AC2373">
              <w:tblPrEx>
                <w:tblCellMar>
                  <w:top w:w="0" w:type="dxa"/>
                  <w:left w:w="108" w:type="dxa"/>
                  <w:bottom w:w="0" w:type="dxa"/>
                  <w:right w:w="108" w:type="dxa"/>
                </w:tblCellMar>
              </w:tblPrEx>
              <w:trPr>
                <w:trHeight w:val="761" w:hRule="atLeast"/>
              </w:trPr>
              <w:tc>
                <w:tcPr>
                  <w:tcW w:w="201" w:type="pct"/>
                  <w:vMerge w:val="continue"/>
                  <w:tcBorders>
                    <w:top w:val="single" w:color="000000" w:sz="12" w:space="0"/>
                    <w:left w:val="single" w:color="000000" w:sz="12" w:space="0"/>
                    <w:bottom w:val="single" w:color="000000" w:sz="12" w:space="0"/>
                    <w:right w:val="single" w:color="000000" w:sz="12" w:space="0"/>
                  </w:tcBorders>
                  <w:vAlign w:val="center"/>
                </w:tcPr>
                <w:p w14:paraId="03E185A0">
                  <w:pPr>
                    <w:jc w:val="center"/>
                    <w:rPr>
                      <w:rFonts w:hint="eastAsia" w:ascii="宋体" w:hAnsi="宋体" w:cs="宋体"/>
                      <w:b/>
                      <w:bCs/>
                      <w:color w:val="000000" w:themeColor="text1"/>
                      <w:sz w:val="13"/>
                      <w:szCs w:val="13"/>
                      <w14:textFill>
                        <w14:solidFill>
                          <w14:schemeClr w14:val="tx1"/>
                        </w14:solidFill>
                      </w14:textFill>
                    </w:rPr>
                  </w:pPr>
                </w:p>
              </w:tc>
              <w:tc>
                <w:tcPr>
                  <w:tcW w:w="136" w:type="pct"/>
                  <w:vMerge w:val="continue"/>
                  <w:tcBorders>
                    <w:top w:val="single" w:color="000000" w:sz="12" w:space="0"/>
                    <w:left w:val="single" w:color="000000" w:sz="12" w:space="0"/>
                    <w:bottom w:val="single" w:color="000000" w:sz="12" w:space="0"/>
                    <w:right w:val="single" w:color="000000" w:sz="12" w:space="0"/>
                  </w:tcBorders>
                  <w:vAlign w:val="center"/>
                </w:tcPr>
                <w:p w14:paraId="7DCFEBDD">
                  <w:pPr>
                    <w:jc w:val="center"/>
                    <w:rPr>
                      <w:rFonts w:hint="eastAsia" w:ascii="宋体" w:hAnsi="宋体" w:cs="宋体"/>
                      <w:b/>
                      <w:bCs/>
                      <w:color w:val="000000" w:themeColor="text1"/>
                      <w:sz w:val="13"/>
                      <w:szCs w:val="13"/>
                      <w14:textFill>
                        <w14:solidFill>
                          <w14:schemeClr w14:val="tx1"/>
                        </w14:solidFill>
                      </w14:textFill>
                    </w:rPr>
                  </w:pPr>
                </w:p>
              </w:tc>
              <w:tc>
                <w:tcPr>
                  <w:tcW w:w="136" w:type="pct"/>
                  <w:vMerge w:val="continue"/>
                  <w:tcBorders>
                    <w:top w:val="single" w:color="000000" w:sz="12" w:space="0"/>
                    <w:left w:val="single" w:color="000000" w:sz="12" w:space="0"/>
                    <w:bottom w:val="single" w:color="000000" w:sz="12" w:space="0"/>
                    <w:right w:val="single" w:color="000000" w:sz="12" w:space="0"/>
                  </w:tcBorders>
                  <w:vAlign w:val="center"/>
                </w:tcPr>
                <w:p w14:paraId="2C988BF3">
                  <w:pPr>
                    <w:jc w:val="center"/>
                    <w:rPr>
                      <w:rFonts w:hint="eastAsia" w:ascii="宋体" w:hAnsi="宋体" w:cs="宋体"/>
                      <w:b/>
                      <w:bCs/>
                      <w:color w:val="000000" w:themeColor="text1"/>
                      <w:sz w:val="13"/>
                      <w:szCs w:val="13"/>
                      <w14:textFill>
                        <w14:solidFill>
                          <w14:schemeClr w14:val="tx1"/>
                        </w14:solidFill>
                      </w14:textFill>
                    </w:rPr>
                  </w:pPr>
                </w:p>
              </w:tc>
              <w:tc>
                <w:tcPr>
                  <w:tcW w:w="280" w:type="pct"/>
                  <w:tcBorders>
                    <w:top w:val="nil"/>
                    <w:left w:val="single" w:color="000000" w:sz="12" w:space="0"/>
                    <w:bottom w:val="single" w:color="000000" w:sz="12" w:space="0"/>
                    <w:right w:val="single" w:color="000000" w:sz="12" w:space="0"/>
                  </w:tcBorders>
                  <w:vAlign w:val="center"/>
                </w:tcPr>
                <w:p w14:paraId="733DBD1F">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产生量</w:t>
                  </w:r>
                  <w:r>
                    <w:rPr>
                      <w:b/>
                      <w:bCs/>
                      <w:color w:val="000000" w:themeColor="text1"/>
                      <w:kern w:val="0"/>
                      <w:sz w:val="13"/>
                      <w:szCs w:val="13"/>
                      <w:lang w:bidi="ar"/>
                      <w14:textFill>
                        <w14:solidFill>
                          <w14:schemeClr w14:val="tx1"/>
                        </w14:solidFill>
                      </w14:textFill>
                    </w:rPr>
                    <w:t>(t/a)</w:t>
                  </w:r>
                </w:p>
              </w:tc>
              <w:tc>
                <w:tcPr>
                  <w:tcW w:w="280" w:type="pct"/>
                  <w:tcBorders>
                    <w:top w:val="nil"/>
                    <w:left w:val="single" w:color="000000" w:sz="12" w:space="0"/>
                    <w:bottom w:val="single" w:color="000000" w:sz="12" w:space="0"/>
                    <w:right w:val="single" w:color="000000" w:sz="12" w:space="0"/>
                  </w:tcBorders>
                  <w:vAlign w:val="center"/>
                </w:tcPr>
                <w:p w14:paraId="228D31EB">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产生速率</w:t>
                  </w:r>
                  <w:r>
                    <w:rPr>
                      <w:b/>
                      <w:bCs/>
                      <w:color w:val="000000" w:themeColor="text1"/>
                      <w:kern w:val="0"/>
                      <w:sz w:val="13"/>
                      <w:szCs w:val="13"/>
                      <w:lang w:bidi="ar"/>
                      <w14:textFill>
                        <w14:solidFill>
                          <w14:schemeClr w14:val="tx1"/>
                        </w14:solidFill>
                      </w14:textFill>
                    </w:rPr>
                    <w:t>(kg/h)</w:t>
                  </w:r>
                </w:p>
              </w:tc>
              <w:tc>
                <w:tcPr>
                  <w:tcW w:w="246" w:type="pct"/>
                  <w:tcBorders>
                    <w:top w:val="nil"/>
                    <w:left w:val="single" w:color="000000" w:sz="12" w:space="0"/>
                    <w:bottom w:val="single" w:color="000000" w:sz="12" w:space="0"/>
                    <w:right w:val="single" w:color="000000" w:sz="12" w:space="0"/>
                  </w:tcBorders>
                  <w:vAlign w:val="center"/>
                </w:tcPr>
                <w:p w14:paraId="1DC0CE54">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产生浓度</w:t>
                  </w:r>
                  <w:r>
                    <w:rPr>
                      <w:b/>
                      <w:bCs/>
                      <w:color w:val="000000" w:themeColor="text1"/>
                      <w:kern w:val="0"/>
                      <w:sz w:val="13"/>
                      <w:szCs w:val="13"/>
                      <w:lang w:bidi="ar"/>
                      <w14:textFill>
                        <w14:solidFill>
                          <w14:schemeClr w14:val="tx1"/>
                        </w14:solidFill>
                      </w14:textFill>
                    </w:rPr>
                    <w:t>(mg/m</w:t>
                  </w:r>
                  <w:r>
                    <w:rPr>
                      <w:b/>
                      <w:bCs/>
                      <w:color w:val="000000" w:themeColor="text1"/>
                      <w:kern w:val="0"/>
                      <w:sz w:val="13"/>
                      <w:szCs w:val="13"/>
                      <w:vertAlign w:val="superscript"/>
                      <w:lang w:bidi="ar"/>
                      <w14:textFill>
                        <w14:solidFill>
                          <w14:schemeClr w14:val="tx1"/>
                        </w14:solidFill>
                      </w14:textFill>
                    </w:rPr>
                    <w:t>3</w:t>
                  </w:r>
                  <w:r>
                    <w:rPr>
                      <w:b/>
                      <w:bCs/>
                      <w:color w:val="000000" w:themeColor="text1"/>
                      <w:kern w:val="0"/>
                      <w:sz w:val="13"/>
                      <w:szCs w:val="13"/>
                      <w:lang w:bidi="ar"/>
                      <w14:textFill>
                        <w14:solidFill>
                          <w14:schemeClr w14:val="tx1"/>
                        </w14:solidFill>
                      </w14:textFill>
                    </w:rPr>
                    <w:t>)</w:t>
                  </w:r>
                </w:p>
              </w:tc>
              <w:tc>
                <w:tcPr>
                  <w:tcW w:w="297" w:type="pct"/>
                  <w:tcBorders>
                    <w:top w:val="nil"/>
                    <w:left w:val="single" w:color="000000" w:sz="12" w:space="0"/>
                    <w:bottom w:val="single" w:color="000000" w:sz="12" w:space="0"/>
                    <w:right w:val="single" w:color="000000" w:sz="12" w:space="0"/>
                  </w:tcBorders>
                  <w:vAlign w:val="center"/>
                </w:tcPr>
                <w:p w14:paraId="08B82AB6">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处理能力</w:t>
                  </w:r>
                </w:p>
              </w:tc>
              <w:tc>
                <w:tcPr>
                  <w:tcW w:w="210" w:type="pct"/>
                  <w:tcBorders>
                    <w:top w:val="nil"/>
                    <w:left w:val="single" w:color="000000" w:sz="12" w:space="0"/>
                    <w:bottom w:val="single" w:color="000000" w:sz="12" w:space="0"/>
                    <w:right w:val="single" w:color="000000" w:sz="12" w:space="0"/>
                  </w:tcBorders>
                  <w:vAlign w:val="center"/>
                </w:tcPr>
                <w:p w14:paraId="1C4B3274">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收集效率</w:t>
                  </w:r>
                </w:p>
              </w:tc>
              <w:tc>
                <w:tcPr>
                  <w:tcW w:w="252" w:type="pct"/>
                  <w:tcBorders>
                    <w:top w:val="single" w:color="000000" w:sz="12" w:space="0"/>
                    <w:left w:val="single" w:color="000000" w:sz="12" w:space="0"/>
                    <w:bottom w:val="single" w:color="000000" w:sz="12" w:space="0"/>
                    <w:right w:val="single" w:color="000000" w:sz="12" w:space="0"/>
                  </w:tcBorders>
                  <w:vAlign w:val="center"/>
                </w:tcPr>
                <w:p w14:paraId="0BDB57AC">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去除率</w:t>
                  </w:r>
                </w:p>
              </w:tc>
              <w:tc>
                <w:tcPr>
                  <w:tcW w:w="192" w:type="pct"/>
                  <w:tcBorders>
                    <w:top w:val="single" w:color="000000" w:sz="12" w:space="0"/>
                    <w:left w:val="single" w:color="000000" w:sz="12" w:space="0"/>
                    <w:bottom w:val="single" w:color="auto" w:sz="12" w:space="0"/>
                    <w:right w:val="single" w:color="000000" w:sz="12" w:space="0"/>
                  </w:tcBorders>
                  <w:vAlign w:val="center"/>
                </w:tcPr>
                <w:p w14:paraId="78BF188E">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工艺</w:t>
                  </w:r>
                </w:p>
              </w:tc>
              <w:tc>
                <w:tcPr>
                  <w:tcW w:w="175" w:type="pct"/>
                  <w:tcBorders>
                    <w:top w:val="single" w:color="000000" w:sz="12" w:space="0"/>
                    <w:left w:val="single" w:color="000000" w:sz="12" w:space="0"/>
                    <w:bottom w:val="single" w:color="000000" w:sz="12" w:space="0"/>
                    <w:right w:val="single" w:color="000000" w:sz="12" w:space="0"/>
                  </w:tcBorders>
                  <w:vAlign w:val="center"/>
                </w:tcPr>
                <w:p w14:paraId="561DECD5">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是否可行技术</w:t>
                  </w:r>
                </w:p>
              </w:tc>
              <w:tc>
                <w:tcPr>
                  <w:tcW w:w="225" w:type="pct"/>
                  <w:tcBorders>
                    <w:top w:val="single" w:color="000000" w:sz="12" w:space="0"/>
                    <w:left w:val="single" w:color="000000" w:sz="12" w:space="0"/>
                    <w:bottom w:val="single" w:color="000000" w:sz="12" w:space="0"/>
                    <w:right w:val="single" w:color="000000" w:sz="12" w:space="0"/>
                  </w:tcBorders>
                  <w:vAlign w:val="center"/>
                </w:tcPr>
                <w:p w14:paraId="55137AEC">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排放量</w:t>
                  </w:r>
                  <w:r>
                    <w:rPr>
                      <w:b/>
                      <w:bCs/>
                      <w:color w:val="000000" w:themeColor="text1"/>
                      <w:kern w:val="0"/>
                      <w:sz w:val="13"/>
                      <w:szCs w:val="13"/>
                      <w:lang w:bidi="ar"/>
                      <w14:textFill>
                        <w14:solidFill>
                          <w14:schemeClr w14:val="tx1"/>
                        </w14:solidFill>
                      </w14:textFill>
                    </w:rPr>
                    <w:t>(t/a)</w:t>
                  </w:r>
                </w:p>
              </w:tc>
              <w:tc>
                <w:tcPr>
                  <w:tcW w:w="238" w:type="pct"/>
                  <w:tcBorders>
                    <w:top w:val="single" w:color="000000" w:sz="12" w:space="0"/>
                    <w:left w:val="single" w:color="000000" w:sz="12" w:space="0"/>
                    <w:bottom w:val="single" w:color="000000" w:sz="12" w:space="0"/>
                    <w:right w:val="single" w:color="000000" w:sz="12" w:space="0"/>
                  </w:tcBorders>
                  <w:vAlign w:val="center"/>
                </w:tcPr>
                <w:p w14:paraId="675F9DE0">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排放速率</w:t>
                  </w:r>
                  <w:r>
                    <w:rPr>
                      <w:b/>
                      <w:bCs/>
                      <w:color w:val="000000" w:themeColor="text1"/>
                      <w:kern w:val="0"/>
                      <w:sz w:val="13"/>
                      <w:szCs w:val="13"/>
                      <w:lang w:bidi="ar"/>
                      <w14:textFill>
                        <w14:solidFill>
                          <w14:schemeClr w14:val="tx1"/>
                        </w14:solidFill>
                      </w14:textFill>
                    </w:rPr>
                    <w:t>(kg/h)</w:t>
                  </w:r>
                </w:p>
              </w:tc>
              <w:tc>
                <w:tcPr>
                  <w:tcW w:w="246" w:type="pct"/>
                  <w:tcBorders>
                    <w:top w:val="single" w:color="000000" w:sz="12" w:space="0"/>
                    <w:left w:val="single" w:color="000000" w:sz="12" w:space="0"/>
                    <w:bottom w:val="single" w:color="000000" w:sz="12" w:space="0"/>
                    <w:right w:val="single" w:color="000000" w:sz="12" w:space="0"/>
                  </w:tcBorders>
                  <w:vAlign w:val="center"/>
                </w:tcPr>
                <w:p w14:paraId="5A389B07">
                  <w:pPr>
                    <w:widowControl/>
                    <w:jc w:val="center"/>
                    <w:textAlignment w:val="center"/>
                    <w:rPr>
                      <w:rFonts w:hint="eastAsia" w:ascii="宋体" w:hAnsi="宋体" w:cs="宋体"/>
                      <w:b/>
                      <w:bCs/>
                      <w:color w:val="000000" w:themeColor="text1"/>
                      <w:kern w:val="0"/>
                      <w:sz w:val="13"/>
                      <w:szCs w:val="13"/>
                      <w:lang w:bidi="ar"/>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排放</w:t>
                  </w:r>
                </w:p>
                <w:p w14:paraId="48A030A9">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浓度</w:t>
                  </w:r>
                  <w:r>
                    <w:rPr>
                      <w:b/>
                      <w:bCs/>
                      <w:color w:val="000000" w:themeColor="text1"/>
                      <w:kern w:val="0"/>
                      <w:sz w:val="13"/>
                      <w:szCs w:val="13"/>
                      <w:lang w:bidi="ar"/>
                      <w14:textFill>
                        <w14:solidFill>
                          <w14:schemeClr w14:val="tx1"/>
                        </w14:solidFill>
                      </w14:textFill>
                    </w:rPr>
                    <w:t>(mg/m</w:t>
                  </w:r>
                  <w:r>
                    <w:rPr>
                      <w:b/>
                      <w:bCs/>
                      <w:color w:val="000000" w:themeColor="text1"/>
                      <w:kern w:val="0"/>
                      <w:sz w:val="13"/>
                      <w:szCs w:val="13"/>
                      <w:vertAlign w:val="superscript"/>
                      <w:lang w:bidi="ar"/>
                      <w14:textFill>
                        <w14:solidFill>
                          <w14:schemeClr w14:val="tx1"/>
                        </w14:solidFill>
                      </w14:textFill>
                    </w:rPr>
                    <w:t>3</w:t>
                  </w:r>
                  <w:r>
                    <w:rPr>
                      <w:b/>
                      <w:bCs/>
                      <w:color w:val="000000" w:themeColor="text1"/>
                      <w:kern w:val="0"/>
                      <w:sz w:val="13"/>
                      <w:szCs w:val="13"/>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4477AA6C">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高度（</w:t>
                  </w:r>
                  <w:r>
                    <w:rPr>
                      <w:b/>
                      <w:bCs/>
                      <w:color w:val="000000" w:themeColor="text1"/>
                      <w:kern w:val="0"/>
                      <w:sz w:val="13"/>
                      <w:szCs w:val="13"/>
                      <w:lang w:bidi="ar"/>
                      <w14:textFill>
                        <w14:solidFill>
                          <w14:schemeClr w14:val="tx1"/>
                        </w14:solidFill>
                      </w14:textFill>
                    </w:rPr>
                    <w:t>m</w:t>
                  </w:r>
                  <w:r>
                    <w:rPr>
                      <w:rFonts w:hint="eastAsia" w:ascii="宋体" w:hAnsi="宋体" w:cs="宋体"/>
                      <w:b/>
                      <w:bCs/>
                      <w:color w:val="000000" w:themeColor="text1"/>
                      <w:kern w:val="0"/>
                      <w:sz w:val="13"/>
                      <w:szCs w:val="13"/>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3DD1C1B5">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内径（</w:t>
                  </w:r>
                  <w:r>
                    <w:rPr>
                      <w:b/>
                      <w:bCs/>
                      <w:color w:val="000000" w:themeColor="text1"/>
                      <w:kern w:val="0"/>
                      <w:sz w:val="13"/>
                      <w:szCs w:val="13"/>
                      <w:lang w:bidi="ar"/>
                      <w14:textFill>
                        <w14:solidFill>
                          <w14:schemeClr w14:val="tx1"/>
                        </w14:solidFill>
                      </w14:textFill>
                    </w:rPr>
                    <w:t>m</w:t>
                  </w:r>
                  <w:r>
                    <w:rPr>
                      <w:rFonts w:hint="eastAsia" w:ascii="宋体" w:hAnsi="宋体" w:cs="宋体"/>
                      <w:b/>
                      <w:bCs/>
                      <w:color w:val="000000" w:themeColor="text1"/>
                      <w:kern w:val="0"/>
                      <w:sz w:val="13"/>
                      <w:szCs w:val="13"/>
                      <w:lang w:bidi="ar"/>
                      <w14:textFill>
                        <w14:solidFill>
                          <w14:schemeClr w14:val="tx1"/>
                        </w14:solidFill>
                      </w14:textFill>
                    </w:rPr>
                    <w:t>）</w:t>
                  </w:r>
                </w:p>
              </w:tc>
              <w:tc>
                <w:tcPr>
                  <w:tcW w:w="230" w:type="pct"/>
                  <w:tcBorders>
                    <w:top w:val="single" w:color="000000" w:sz="12" w:space="0"/>
                    <w:left w:val="single" w:color="000000" w:sz="12" w:space="0"/>
                    <w:bottom w:val="single" w:color="000000" w:sz="12" w:space="0"/>
                    <w:right w:val="single" w:color="000000" w:sz="12" w:space="0"/>
                  </w:tcBorders>
                  <w:vAlign w:val="center"/>
                </w:tcPr>
                <w:p w14:paraId="330119BE">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温度（</w:t>
                  </w:r>
                  <w:r>
                    <w:rPr>
                      <w:b/>
                      <w:bCs/>
                      <w:color w:val="000000" w:themeColor="text1"/>
                      <w:kern w:val="0"/>
                      <w:sz w:val="13"/>
                      <w:szCs w:val="13"/>
                      <w:lang w:bidi="ar"/>
                      <w14:textFill>
                        <w14:solidFill>
                          <w14:schemeClr w14:val="tx1"/>
                        </w14:solidFill>
                      </w14:textFill>
                    </w:rPr>
                    <w:t>℃</w:t>
                  </w:r>
                  <w:r>
                    <w:rPr>
                      <w:rFonts w:hint="eastAsia" w:ascii="宋体" w:hAnsi="宋体" w:cs="宋体"/>
                      <w:b/>
                      <w:bCs/>
                      <w:color w:val="000000" w:themeColor="text1"/>
                      <w:kern w:val="0"/>
                      <w:sz w:val="13"/>
                      <w:szCs w:val="13"/>
                      <w:lang w:bidi="ar"/>
                      <w14:textFill>
                        <w14:solidFill>
                          <w14:schemeClr w14:val="tx1"/>
                        </w14:solidFill>
                      </w14:textFill>
                    </w:rPr>
                    <w:t>）</w:t>
                  </w:r>
                </w:p>
              </w:tc>
              <w:tc>
                <w:tcPr>
                  <w:tcW w:w="129" w:type="pct"/>
                  <w:tcBorders>
                    <w:top w:val="single" w:color="000000" w:sz="12" w:space="0"/>
                    <w:left w:val="single" w:color="000000" w:sz="12" w:space="0"/>
                    <w:bottom w:val="single" w:color="000000" w:sz="12" w:space="0"/>
                    <w:right w:val="single" w:color="000000" w:sz="12" w:space="0"/>
                  </w:tcBorders>
                  <w:vAlign w:val="center"/>
                </w:tcPr>
                <w:p w14:paraId="4C455175">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编号</w:t>
                  </w:r>
                </w:p>
              </w:tc>
              <w:tc>
                <w:tcPr>
                  <w:tcW w:w="248" w:type="pct"/>
                  <w:tcBorders>
                    <w:top w:val="single" w:color="000000" w:sz="12" w:space="0"/>
                    <w:left w:val="single" w:color="000000" w:sz="12" w:space="0"/>
                    <w:bottom w:val="single" w:color="000000" w:sz="12" w:space="0"/>
                    <w:right w:val="single" w:color="000000" w:sz="12" w:space="0"/>
                  </w:tcBorders>
                  <w:vAlign w:val="center"/>
                </w:tcPr>
                <w:p w14:paraId="1A52E1A1">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地理坐标</w:t>
                  </w:r>
                  <w:r>
                    <w:rPr>
                      <w:b/>
                      <w:bCs/>
                      <w:color w:val="000000" w:themeColor="text1"/>
                      <w:kern w:val="0"/>
                      <w:sz w:val="13"/>
                      <w:szCs w:val="13"/>
                      <w:lang w:bidi="ar"/>
                      <w14:textFill>
                        <w14:solidFill>
                          <w14:schemeClr w14:val="tx1"/>
                        </w14:solidFill>
                      </w14:textFill>
                    </w:rPr>
                    <w:t>/</w:t>
                  </w:r>
                  <w:r>
                    <w:rPr>
                      <w:rFonts w:hint="eastAsia" w:ascii="宋体" w:hAnsi="宋体" w:cs="宋体"/>
                      <w:b/>
                      <w:bCs/>
                      <w:color w:val="000000" w:themeColor="text1"/>
                      <w:kern w:val="0"/>
                      <w:sz w:val="13"/>
                      <w:szCs w:val="13"/>
                      <w:lang w:bidi="ar"/>
                      <w14:textFill>
                        <w14:solidFill>
                          <w14:schemeClr w14:val="tx1"/>
                        </w14:solidFill>
                      </w14:textFill>
                    </w:rPr>
                    <w:t>排放口性质</w:t>
                  </w:r>
                </w:p>
              </w:tc>
              <w:tc>
                <w:tcPr>
                  <w:tcW w:w="320" w:type="pct"/>
                  <w:tcBorders>
                    <w:top w:val="single" w:color="000000" w:sz="12" w:space="0"/>
                    <w:left w:val="single" w:color="000000" w:sz="12" w:space="0"/>
                    <w:bottom w:val="single" w:color="000000" w:sz="12" w:space="0"/>
                    <w:right w:val="single" w:color="000000" w:sz="12" w:space="0"/>
                  </w:tcBorders>
                  <w:vAlign w:val="center"/>
                </w:tcPr>
                <w:p w14:paraId="78A69515">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厂界最高浓度</w:t>
                  </w:r>
                  <w:r>
                    <w:rPr>
                      <w:b/>
                      <w:bCs/>
                      <w:color w:val="000000" w:themeColor="text1"/>
                      <w:kern w:val="0"/>
                      <w:sz w:val="13"/>
                      <w:szCs w:val="13"/>
                      <w:lang w:bidi="ar"/>
                      <w14:textFill>
                        <w14:solidFill>
                          <w14:schemeClr w14:val="tx1"/>
                        </w14:solidFill>
                      </w14:textFill>
                    </w:rPr>
                    <w:t>(mg/m</w:t>
                  </w:r>
                  <w:r>
                    <w:rPr>
                      <w:b/>
                      <w:bCs/>
                      <w:color w:val="000000" w:themeColor="text1"/>
                      <w:kern w:val="0"/>
                      <w:sz w:val="13"/>
                      <w:szCs w:val="13"/>
                      <w:vertAlign w:val="superscript"/>
                      <w:lang w:bidi="ar"/>
                      <w14:textFill>
                        <w14:solidFill>
                          <w14:schemeClr w14:val="tx1"/>
                        </w14:solidFill>
                      </w14:textFill>
                    </w:rPr>
                    <w:t>3</w:t>
                  </w:r>
                  <w:r>
                    <w:rPr>
                      <w:b/>
                      <w:bCs/>
                      <w:color w:val="000000" w:themeColor="text1"/>
                      <w:kern w:val="0"/>
                      <w:sz w:val="13"/>
                      <w:szCs w:val="13"/>
                      <w:lang w:bidi="ar"/>
                      <w14:textFill>
                        <w14:solidFill>
                          <w14:schemeClr w14:val="tx1"/>
                        </w14:solidFill>
                      </w14:textFill>
                    </w:rPr>
                    <w:t>)</w:t>
                  </w:r>
                </w:p>
              </w:tc>
              <w:tc>
                <w:tcPr>
                  <w:tcW w:w="284" w:type="pct"/>
                  <w:tcBorders>
                    <w:top w:val="single" w:color="000000" w:sz="12" w:space="0"/>
                    <w:left w:val="single" w:color="000000" w:sz="12" w:space="0"/>
                    <w:bottom w:val="single" w:color="000000" w:sz="12" w:space="0"/>
                    <w:right w:val="single" w:color="000000" w:sz="12" w:space="0"/>
                  </w:tcBorders>
                  <w:vAlign w:val="center"/>
                </w:tcPr>
                <w:p w14:paraId="29B23E4B">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排放浓度</w:t>
                  </w:r>
                  <w:r>
                    <w:rPr>
                      <w:b/>
                      <w:bCs/>
                      <w:color w:val="000000" w:themeColor="text1"/>
                      <w:kern w:val="0"/>
                      <w:sz w:val="13"/>
                      <w:szCs w:val="13"/>
                      <w:lang w:bidi="ar"/>
                      <w14:textFill>
                        <w14:solidFill>
                          <w14:schemeClr w14:val="tx1"/>
                        </w14:solidFill>
                      </w14:textFill>
                    </w:rPr>
                    <w:t>(mg/m</w:t>
                  </w:r>
                  <w:r>
                    <w:rPr>
                      <w:b/>
                      <w:bCs/>
                      <w:color w:val="000000" w:themeColor="text1"/>
                      <w:kern w:val="0"/>
                      <w:sz w:val="13"/>
                      <w:szCs w:val="13"/>
                      <w:vertAlign w:val="superscript"/>
                      <w:lang w:bidi="ar"/>
                      <w14:textFill>
                        <w14:solidFill>
                          <w14:schemeClr w14:val="tx1"/>
                        </w14:solidFill>
                      </w14:textFill>
                    </w:rPr>
                    <w:t>3</w:t>
                  </w:r>
                  <w:r>
                    <w:rPr>
                      <w:b/>
                      <w:bCs/>
                      <w:color w:val="000000" w:themeColor="text1"/>
                      <w:kern w:val="0"/>
                      <w:sz w:val="13"/>
                      <w:szCs w:val="13"/>
                      <w:lang w:bidi="ar"/>
                      <w14:textFill>
                        <w14:solidFill>
                          <w14:schemeClr w14:val="tx1"/>
                        </w14:solidFill>
                      </w14:textFill>
                    </w:rPr>
                    <w:t>)</w:t>
                  </w:r>
                </w:p>
              </w:tc>
              <w:tc>
                <w:tcPr>
                  <w:tcW w:w="240" w:type="pct"/>
                  <w:tcBorders>
                    <w:top w:val="single" w:color="000000" w:sz="12" w:space="0"/>
                    <w:left w:val="nil"/>
                    <w:bottom w:val="single" w:color="000000" w:sz="12" w:space="0"/>
                    <w:right w:val="single" w:color="000000" w:sz="12" w:space="0"/>
                  </w:tcBorders>
                  <w:vAlign w:val="center"/>
                </w:tcPr>
                <w:p w14:paraId="360C79DF">
                  <w:pPr>
                    <w:widowControl/>
                    <w:jc w:val="center"/>
                    <w:textAlignment w:val="center"/>
                    <w:rPr>
                      <w:rFonts w:hint="eastAsia" w:ascii="宋体" w:hAnsi="宋体" w:cs="宋体"/>
                      <w:b/>
                      <w:bCs/>
                      <w:color w:val="000000" w:themeColor="text1"/>
                      <w:sz w:val="13"/>
                      <w:szCs w:val="13"/>
                      <w14:textFill>
                        <w14:solidFill>
                          <w14:schemeClr w14:val="tx1"/>
                        </w14:solidFill>
                      </w14:textFill>
                    </w:rPr>
                  </w:pPr>
                  <w:r>
                    <w:rPr>
                      <w:rFonts w:hint="eastAsia" w:ascii="宋体" w:hAnsi="宋体" w:cs="宋体"/>
                      <w:b/>
                      <w:bCs/>
                      <w:color w:val="000000" w:themeColor="text1"/>
                      <w:kern w:val="0"/>
                      <w:sz w:val="13"/>
                      <w:szCs w:val="13"/>
                      <w:lang w:bidi="ar"/>
                      <w14:textFill>
                        <w14:solidFill>
                          <w14:schemeClr w14:val="tx1"/>
                        </w14:solidFill>
                      </w14:textFill>
                    </w:rPr>
                    <w:t>排放速率</w:t>
                  </w:r>
                  <w:r>
                    <w:rPr>
                      <w:b/>
                      <w:bCs/>
                      <w:color w:val="000000" w:themeColor="text1"/>
                      <w:kern w:val="0"/>
                      <w:sz w:val="13"/>
                      <w:szCs w:val="13"/>
                      <w:lang w:bidi="ar"/>
                      <w14:textFill>
                        <w14:solidFill>
                          <w14:schemeClr w14:val="tx1"/>
                        </w14:solidFill>
                      </w14:textFill>
                    </w:rPr>
                    <w:t>(kg/h)</w:t>
                  </w:r>
                </w:p>
              </w:tc>
            </w:tr>
            <w:tr w14:paraId="555A6C2D">
              <w:tblPrEx>
                <w:tblCellMar>
                  <w:top w:w="0" w:type="dxa"/>
                  <w:left w:w="108" w:type="dxa"/>
                  <w:bottom w:w="0" w:type="dxa"/>
                  <w:right w:w="108" w:type="dxa"/>
                </w:tblCellMar>
              </w:tblPrEx>
              <w:trPr>
                <w:trHeight w:val="318" w:hRule="atLeast"/>
              </w:trPr>
              <w:tc>
                <w:tcPr>
                  <w:tcW w:w="201" w:type="pct"/>
                  <w:tcBorders>
                    <w:top w:val="nil"/>
                    <w:left w:val="single" w:color="000000" w:sz="12" w:space="0"/>
                    <w:bottom w:val="single" w:color="000000" w:sz="12" w:space="0"/>
                    <w:right w:val="single" w:color="000000" w:sz="12" w:space="0"/>
                  </w:tcBorders>
                  <w:vAlign w:val="center"/>
                </w:tcPr>
                <w:p w14:paraId="41D8B889">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堆场扬尘</w:t>
                  </w:r>
                </w:p>
              </w:tc>
              <w:tc>
                <w:tcPr>
                  <w:tcW w:w="136" w:type="pct"/>
                  <w:tcBorders>
                    <w:top w:val="nil"/>
                    <w:left w:val="single" w:color="000000" w:sz="12" w:space="0"/>
                    <w:bottom w:val="single" w:color="000000" w:sz="12" w:space="0"/>
                    <w:right w:val="single" w:color="000000" w:sz="12" w:space="0"/>
                  </w:tcBorders>
                  <w:vAlign w:val="center"/>
                </w:tcPr>
                <w:p w14:paraId="322C3DBB">
                  <w:pPr>
                    <w:widowControl/>
                    <w:jc w:val="center"/>
                    <w:textAlignment w:val="center"/>
                    <w:rPr>
                      <w:rFonts w:hint="eastAsia" w:ascii="宋体" w:hAnsi="宋体" w:cs="宋体"/>
                      <w:color w:val="000000" w:themeColor="text1"/>
                      <w:sz w:val="15"/>
                      <w:szCs w:val="15"/>
                      <w14:textFill>
                        <w14:solidFill>
                          <w14:schemeClr w14:val="tx1"/>
                        </w14:solidFill>
                      </w14:textFill>
                    </w:rPr>
                  </w:pPr>
                  <w:r>
                    <w:rPr>
                      <w:rFonts w:hint="eastAsia" w:ascii="宋体" w:hAnsi="宋体" w:cs="宋体"/>
                      <w:color w:val="000000" w:themeColor="text1"/>
                      <w:kern w:val="0"/>
                      <w:sz w:val="15"/>
                      <w:szCs w:val="15"/>
                      <w:lang w:bidi="ar"/>
                      <w14:textFill>
                        <w14:solidFill>
                          <w14:schemeClr w14:val="tx1"/>
                        </w14:solidFill>
                      </w14:textFill>
                    </w:rPr>
                    <w:t>颗粒物</w:t>
                  </w:r>
                </w:p>
              </w:tc>
              <w:tc>
                <w:tcPr>
                  <w:tcW w:w="136" w:type="pct"/>
                  <w:vMerge w:val="restart"/>
                  <w:tcBorders>
                    <w:left w:val="single" w:color="000000" w:sz="12" w:space="0"/>
                    <w:right w:val="single" w:color="000000" w:sz="12" w:space="0"/>
                  </w:tcBorders>
                  <w:vAlign w:val="center"/>
                </w:tcPr>
                <w:p w14:paraId="6649003B">
                  <w:pPr>
                    <w:jc w:val="center"/>
                    <w:rPr>
                      <w:rFonts w:hint="eastAsia" w:ascii="宋体" w:hAnsi="宋体" w:cs="宋体"/>
                      <w:color w:val="000000" w:themeColor="text1"/>
                      <w:sz w:val="15"/>
                      <w:szCs w:val="15"/>
                      <w14:textFill>
                        <w14:solidFill>
                          <w14:schemeClr w14:val="tx1"/>
                        </w14:solidFill>
                      </w14:textFill>
                    </w:rPr>
                  </w:pPr>
                  <w:r>
                    <w:rPr>
                      <w:rFonts w:hint="eastAsia" w:ascii="宋体" w:hAnsi="宋体" w:cs="宋体"/>
                      <w:color w:val="000000" w:themeColor="text1"/>
                      <w:sz w:val="15"/>
                      <w:szCs w:val="15"/>
                      <w14:textFill>
                        <w14:solidFill>
                          <w14:schemeClr w14:val="tx1"/>
                        </w14:solidFill>
                      </w14:textFill>
                    </w:rPr>
                    <w:t>无组织</w:t>
                  </w:r>
                </w:p>
              </w:tc>
              <w:tc>
                <w:tcPr>
                  <w:tcW w:w="280" w:type="pct"/>
                  <w:tcBorders>
                    <w:top w:val="nil"/>
                    <w:left w:val="single" w:color="000000" w:sz="12" w:space="0"/>
                    <w:bottom w:val="single" w:color="000000" w:sz="12" w:space="0"/>
                    <w:right w:val="single" w:color="000000" w:sz="12" w:space="0"/>
                  </w:tcBorders>
                  <w:vAlign w:val="center"/>
                </w:tcPr>
                <w:p w14:paraId="199AB459">
                  <w:pPr>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520.524</w:t>
                  </w:r>
                </w:p>
              </w:tc>
              <w:tc>
                <w:tcPr>
                  <w:tcW w:w="280" w:type="pct"/>
                  <w:tcBorders>
                    <w:top w:val="nil"/>
                    <w:left w:val="single" w:color="000000" w:sz="12" w:space="0"/>
                    <w:bottom w:val="single" w:color="000000" w:sz="12" w:space="0"/>
                    <w:right w:val="single" w:color="000000" w:sz="12" w:space="0"/>
                  </w:tcBorders>
                  <w:vAlign w:val="center"/>
                </w:tcPr>
                <w:p w14:paraId="5F0576CC">
                  <w:pPr>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72.295</w:t>
                  </w:r>
                </w:p>
              </w:tc>
              <w:tc>
                <w:tcPr>
                  <w:tcW w:w="246" w:type="pct"/>
                  <w:tcBorders>
                    <w:top w:val="nil"/>
                    <w:left w:val="single" w:color="000000" w:sz="12" w:space="0"/>
                    <w:bottom w:val="single" w:color="000000" w:sz="12" w:space="0"/>
                    <w:right w:val="single" w:color="000000" w:sz="12" w:space="0"/>
                  </w:tcBorders>
                  <w:vAlign w:val="center"/>
                </w:tcPr>
                <w:p w14:paraId="6FAB6059">
                  <w:pPr>
                    <w:widowControl/>
                    <w:jc w:val="center"/>
                    <w:textAlignment w:val="center"/>
                    <w:rPr>
                      <w:color w:val="000000" w:themeColor="text1"/>
                      <w:sz w:val="15"/>
                      <w:szCs w:val="15"/>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97" w:type="pct"/>
                  <w:tcBorders>
                    <w:top w:val="nil"/>
                    <w:left w:val="single" w:color="000000" w:sz="12" w:space="0"/>
                    <w:bottom w:val="single" w:color="000000" w:sz="12" w:space="0"/>
                    <w:right w:val="single" w:color="000000" w:sz="12" w:space="0"/>
                  </w:tcBorders>
                  <w:vAlign w:val="center"/>
                </w:tcPr>
                <w:p w14:paraId="1C9C3A49">
                  <w:pPr>
                    <w:widowControl/>
                    <w:jc w:val="center"/>
                    <w:textAlignment w:val="center"/>
                    <w:rPr>
                      <w:color w:val="000000" w:themeColor="text1"/>
                      <w:sz w:val="15"/>
                      <w:szCs w:val="15"/>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10" w:type="pct"/>
                  <w:tcBorders>
                    <w:top w:val="nil"/>
                    <w:left w:val="single" w:color="000000" w:sz="12" w:space="0"/>
                    <w:bottom w:val="single" w:color="000000" w:sz="12" w:space="0"/>
                    <w:right w:val="single" w:color="000000" w:sz="12" w:space="0"/>
                  </w:tcBorders>
                  <w:vAlign w:val="center"/>
                </w:tcPr>
                <w:p w14:paraId="3074B10D">
                  <w:pPr>
                    <w:widowControl/>
                    <w:jc w:val="center"/>
                    <w:textAlignment w:val="center"/>
                    <w:rPr>
                      <w:color w:val="000000" w:themeColor="text1"/>
                      <w:sz w:val="15"/>
                      <w:szCs w:val="15"/>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52" w:type="pct"/>
                  <w:tcBorders>
                    <w:top w:val="nil"/>
                    <w:left w:val="single" w:color="000000" w:sz="12" w:space="0"/>
                    <w:bottom w:val="single" w:color="000000" w:sz="12" w:space="0"/>
                    <w:right w:val="single" w:color="auto" w:sz="12" w:space="0"/>
                  </w:tcBorders>
                  <w:vAlign w:val="center"/>
                </w:tcPr>
                <w:p w14:paraId="07B911D9">
                  <w:pPr>
                    <w:jc w:val="center"/>
                    <w:rPr>
                      <w:color w:val="000000" w:themeColor="text1"/>
                      <w:sz w:val="15"/>
                      <w:szCs w:val="15"/>
                      <w14:textFill>
                        <w14:solidFill>
                          <w14:schemeClr w14:val="tx1"/>
                        </w14:solidFill>
                      </w14:textFill>
                    </w:rPr>
                  </w:pPr>
                  <w:r>
                    <w:rPr>
                      <w:color w:val="000000" w:themeColor="text1"/>
                      <w:sz w:val="15"/>
                      <w:szCs w:val="15"/>
                      <w:lang w:bidi="ar"/>
                      <w14:textFill>
                        <w14:solidFill>
                          <w14:schemeClr w14:val="tx1"/>
                        </w14:solidFill>
                      </w14:textFill>
                    </w:rPr>
                    <w:t>99.74</w:t>
                  </w:r>
                  <w:r>
                    <w:rPr>
                      <w:rFonts w:hint="eastAsia"/>
                      <w:color w:val="000000" w:themeColor="text1"/>
                      <w:sz w:val="15"/>
                      <w:szCs w:val="15"/>
                      <w:lang w:bidi="ar"/>
                      <w14:textFill>
                        <w14:solidFill>
                          <w14:schemeClr w14:val="tx1"/>
                        </w14:solidFill>
                      </w14:textFill>
                    </w:rPr>
                    <w:t>%</w:t>
                  </w:r>
                </w:p>
              </w:tc>
              <w:tc>
                <w:tcPr>
                  <w:tcW w:w="192" w:type="pct"/>
                  <w:tcBorders>
                    <w:top w:val="single" w:color="auto" w:sz="12" w:space="0"/>
                    <w:left w:val="single" w:color="auto" w:sz="12" w:space="0"/>
                    <w:bottom w:val="single" w:color="auto" w:sz="12" w:space="0"/>
                    <w:right w:val="single" w:color="auto" w:sz="12" w:space="0"/>
                  </w:tcBorders>
                  <w:vAlign w:val="center"/>
                </w:tcPr>
                <w:p w14:paraId="61EE684E">
                  <w:pPr>
                    <w:jc w:val="center"/>
                    <w:rPr>
                      <w:color w:val="000000" w:themeColor="text1"/>
                      <w:sz w:val="15"/>
                      <w:szCs w:val="15"/>
                      <w14:textFill>
                        <w14:solidFill>
                          <w14:schemeClr w14:val="tx1"/>
                        </w14:solidFill>
                      </w14:textFill>
                    </w:rPr>
                  </w:pPr>
                  <w:r>
                    <w:rPr>
                      <w:color w:val="000000" w:themeColor="text1"/>
                      <w:sz w:val="15"/>
                      <w:szCs w:val="15"/>
                      <w:lang w:bidi="ar"/>
                      <w14:textFill>
                        <w14:solidFill>
                          <w14:schemeClr w14:val="tx1"/>
                        </w14:solidFill>
                      </w14:textFill>
                    </w:rPr>
                    <w:t>密闭车间+喷雾降尘</w:t>
                  </w:r>
                </w:p>
              </w:tc>
              <w:tc>
                <w:tcPr>
                  <w:tcW w:w="175" w:type="pct"/>
                  <w:tcBorders>
                    <w:top w:val="nil"/>
                    <w:left w:val="single" w:color="auto" w:sz="12" w:space="0"/>
                    <w:bottom w:val="single" w:color="000000" w:sz="12" w:space="0"/>
                    <w:right w:val="single" w:color="000000" w:sz="12" w:space="0"/>
                  </w:tcBorders>
                  <w:vAlign w:val="center"/>
                </w:tcPr>
                <w:p w14:paraId="12245433">
                  <w:pPr>
                    <w:widowControl/>
                    <w:jc w:val="center"/>
                    <w:textAlignment w:val="center"/>
                    <w:rPr>
                      <w:color w:val="000000" w:themeColor="text1"/>
                      <w:sz w:val="15"/>
                      <w:szCs w:val="15"/>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25" w:type="pct"/>
                  <w:tcBorders>
                    <w:top w:val="nil"/>
                    <w:left w:val="single" w:color="000000" w:sz="12" w:space="0"/>
                    <w:bottom w:val="single" w:color="000000" w:sz="12" w:space="0"/>
                    <w:right w:val="single" w:color="000000" w:sz="12" w:space="0"/>
                  </w:tcBorders>
                  <w:vAlign w:val="center"/>
                </w:tcPr>
                <w:p w14:paraId="16BEF688">
                  <w:pPr>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1.353</w:t>
                  </w:r>
                </w:p>
              </w:tc>
              <w:tc>
                <w:tcPr>
                  <w:tcW w:w="238" w:type="pct"/>
                  <w:tcBorders>
                    <w:top w:val="nil"/>
                    <w:left w:val="single" w:color="000000" w:sz="12" w:space="0"/>
                    <w:bottom w:val="single" w:color="000000" w:sz="12" w:space="0"/>
                    <w:right w:val="single" w:color="000000" w:sz="12" w:space="0"/>
                  </w:tcBorders>
                  <w:vAlign w:val="center"/>
                </w:tcPr>
                <w:p w14:paraId="37047641">
                  <w:pPr>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0.188</w:t>
                  </w:r>
                </w:p>
              </w:tc>
              <w:tc>
                <w:tcPr>
                  <w:tcW w:w="246" w:type="pct"/>
                  <w:tcBorders>
                    <w:top w:val="nil"/>
                    <w:left w:val="single" w:color="000000" w:sz="12" w:space="0"/>
                    <w:bottom w:val="single" w:color="000000" w:sz="12" w:space="0"/>
                    <w:right w:val="single" w:color="000000" w:sz="12" w:space="0"/>
                  </w:tcBorders>
                  <w:vAlign w:val="center"/>
                </w:tcPr>
                <w:p w14:paraId="413973F4">
                  <w:pPr>
                    <w:widowControl/>
                    <w:jc w:val="center"/>
                    <w:textAlignment w:val="center"/>
                    <w:rPr>
                      <w:color w:val="000000" w:themeColor="text1"/>
                      <w:sz w:val="13"/>
                      <w:szCs w:val="13"/>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54223766">
                  <w:pPr>
                    <w:widowControl/>
                    <w:jc w:val="center"/>
                    <w:textAlignment w:val="center"/>
                    <w:rPr>
                      <w:color w:val="000000" w:themeColor="text1"/>
                      <w:sz w:val="13"/>
                      <w:szCs w:val="13"/>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3FB42324">
                  <w:pPr>
                    <w:widowControl/>
                    <w:jc w:val="center"/>
                    <w:textAlignment w:val="center"/>
                    <w:rPr>
                      <w:color w:val="000000" w:themeColor="text1"/>
                      <w:sz w:val="13"/>
                      <w:szCs w:val="13"/>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30" w:type="pct"/>
                  <w:tcBorders>
                    <w:top w:val="single" w:color="000000" w:sz="12" w:space="0"/>
                    <w:left w:val="single" w:color="000000" w:sz="12" w:space="0"/>
                    <w:bottom w:val="single" w:color="000000" w:sz="12" w:space="0"/>
                    <w:right w:val="single" w:color="000000" w:sz="12" w:space="0"/>
                  </w:tcBorders>
                  <w:vAlign w:val="center"/>
                </w:tcPr>
                <w:p w14:paraId="7CB4E2CF">
                  <w:pPr>
                    <w:widowControl/>
                    <w:jc w:val="center"/>
                    <w:textAlignment w:val="center"/>
                    <w:rPr>
                      <w:color w:val="000000" w:themeColor="text1"/>
                      <w:sz w:val="13"/>
                      <w:szCs w:val="13"/>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129" w:type="pct"/>
                  <w:tcBorders>
                    <w:top w:val="single" w:color="000000" w:sz="12" w:space="0"/>
                    <w:left w:val="single" w:color="000000" w:sz="12" w:space="0"/>
                    <w:bottom w:val="single" w:color="000000" w:sz="12" w:space="0"/>
                    <w:right w:val="single" w:color="000000" w:sz="12" w:space="0"/>
                  </w:tcBorders>
                  <w:vAlign w:val="center"/>
                </w:tcPr>
                <w:p w14:paraId="426E0B05">
                  <w:pPr>
                    <w:widowControl/>
                    <w:jc w:val="center"/>
                    <w:textAlignment w:val="center"/>
                    <w:rPr>
                      <w:color w:val="000000" w:themeColor="text1"/>
                      <w:sz w:val="13"/>
                      <w:szCs w:val="13"/>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48" w:type="pct"/>
                  <w:tcBorders>
                    <w:top w:val="single" w:color="000000" w:sz="12" w:space="0"/>
                    <w:left w:val="single" w:color="000000" w:sz="12" w:space="0"/>
                    <w:bottom w:val="single" w:color="000000" w:sz="12" w:space="0"/>
                    <w:right w:val="single" w:color="000000" w:sz="12" w:space="0"/>
                  </w:tcBorders>
                  <w:vAlign w:val="center"/>
                </w:tcPr>
                <w:p w14:paraId="12A9A758">
                  <w:pPr>
                    <w:widowControl/>
                    <w:jc w:val="center"/>
                    <w:textAlignment w:val="center"/>
                    <w:rPr>
                      <w:color w:val="000000" w:themeColor="text1"/>
                      <w:sz w:val="13"/>
                      <w:szCs w:val="13"/>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320" w:type="pct"/>
                  <w:tcBorders>
                    <w:top w:val="single" w:color="000000" w:sz="12" w:space="0"/>
                    <w:left w:val="single" w:color="000000" w:sz="12" w:space="0"/>
                    <w:bottom w:val="single" w:color="000000" w:sz="12" w:space="0"/>
                    <w:right w:val="single" w:color="000000" w:sz="12" w:space="0"/>
                  </w:tcBorders>
                  <w:vAlign w:val="center"/>
                </w:tcPr>
                <w:p w14:paraId="11859D5C">
                  <w:pPr>
                    <w:widowControl/>
                    <w:jc w:val="center"/>
                    <w:textAlignment w:val="center"/>
                    <w:rPr>
                      <w:color w:val="000000" w:themeColor="text1"/>
                      <w:sz w:val="13"/>
                      <w:szCs w:val="13"/>
                      <w14:textFill>
                        <w14:solidFill>
                          <w14:schemeClr w14:val="tx1"/>
                        </w14:solidFill>
                      </w14:textFill>
                    </w:rPr>
                  </w:pPr>
                  <w:r>
                    <w:rPr>
                      <w:rFonts w:hint="eastAsia"/>
                      <w:color w:val="000000" w:themeColor="text1"/>
                      <w:kern w:val="0"/>
                      <w:sz w:val="13"/>
                      <w:szCs w:val="13"/>
                      <w:lang w:bidi="ar"/>
                      <w14:textFill>
                        <w14:solidFill>
                          <w14:schemeClr w14:val="tx1"/>
                        </w14:solidFill>
                      </w14:textFill>
                    </w:rPr>
                    <w:t>0.5</w:t>
                  </w:r>
                </w:p>
              </w:tc>
              <w:tc>
                <w:tcPr>
                  <w:tcW w:w="284" w:type="pct"/>
                  <w:tcBorders>
                    <w:top w:val="single" w:color="000000" w:sz="12" w:space="0"/>
                    <w:left w:val="single" w:color="000000" w:sz="12" w:space="0"/>
                    <w:bottom w:val="single" w:color="000000" w:sz="12" w:space="0"/>
                    <w:right w:val="single" w:color="000000" w:sz="12" w:space="0"/>
                  </w:tcBorders>
                  <w:vAlign w:val="center"/>
                </w:tcPr>
                <w:p w14:paraId="4DF28359">
                  <w:pPr>
                    <w:widowControl/>
                    <w:jc w:val="center"/>
                    <w:textAlignment w:val="center"/>
                    <w:rPr>
                      <w:color w:val="000000" w:themeColor="text1"/>
                      <w:sz w:val="13"/>
                      <w:szCs w:val="13"/>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40" w:type="pct"/>
                  <w:tcBorders>
                    <w:top w:val="single" w:color="000000" w:sz="12" w:space="0"/>
                    <w:left w:val="nil"/>
                    <w:bottom w:val="single" w:color="000000" w:sz="12" w:space="0"/>
                    <w:right w:val="single" w:color="000000" w:sz="12" w:space="0"/>
                  </w:tcBorders>
                  <w:vAlign w:val="center"/>
                </w:tcPr>
                <w:p w14:paraId="6BA5DE9F">
                  <w:pPr>
                    <w:widowControl/>
                    <w:jc w:val="center"/>
                    <w:textAlignment w:val="center"/>
                    <w:rPr>
                      <w:color w:val="000000" w:themeColor="text1"/>
                      <w:sz w:val="13"/>
                      <w:szCs w:val="13"/>
                      <w14:textFill>
                        <w14:solidFill>
                          <w14:schemeClr w14:val="tx1"/>
                        </w14:solidFill>
                      </w14:textFill>
                    </w:rPr>
                  </w:pPr>
                  <w:r>
                    <w:rPr>
                      <w:color w:val="000000" w:themeColor="text1"/>
                      <w:kern w:val="0"/>
                      <w:sz w:val="13"/>
                      <w:szCs w:val="13"/>
                      <w:lang w:bidi="ar"/>
                      <w14:textFill>
                        <w14:solidFill>
                          <w14:schemeClr w14:val="tx1"/>
                        </w14:solidFill>
                      </w14:textFill>
                    </w:rPr>
                    <w:t>/</w:t>
                  </w:r>
                </w:p>
              </w:tc>
            </w:tr>
            <w:tr w14:paraId="2799D6AD">
              <w:tblPrEx>
                <w:tblCellMar>
                  <w:top w:w="0" w:type="dxa"/>
                  <w:left w:w="108" w:type="dxa"/>
                  <w:bottom w:w="0" w:type="dxa"/>
                  <w:right w:w="108" w:type="dxa"/>
                </w:tblCellMar>
              </w:tblPrEx>
              <w:trPr>
                <w:trHeight w:val="318" w:hRule="atLeast"/>
              </w:trPr>
              <w:tc>
                <w:tcPr>
                  <w:tcW w:w="201" w:type="pct"/>
                  <w:tcBorders>
                    <w:top w:val="nil"/>
                    <w:left w:val="single" w:color="000000" w:sz="12" w:space="0"/>
                    <w:bottom w:val="single" w:color="000000" w:sz="12" w:space="0"/>
                    <w:right w:val="single" w:color="000000" w:sz="12" w:space="0"/>
                  </w:tcBorders>
                  <w:vAlign w:val="center"/>
                </w:tcPr>
                <w:p w14:paraId="08F4E247">
                  <w:pPr>
                    <w:adjustRightInd w:val="0"/>
                    <w:snapToGrid w:val="0"/>
                    <w:jc w:val="center"/>
                    <w:rPr>
                      <w:color w:val="000000" w:themeColor="text1"/>
                      <w:sz w:val="15"/>
                      <w:szCs w:val="15"/>
                      <w14:textFill>
                        <w14:solidFill>
                          <w14:schemeClr w14:val="tx1"/>
                        </w14:solidFill>
                      </w14:textFill>
                    </w:rPr>
                  </w:pPr>
                  <w:r>
                    <w:rPr>
                      <w:color w:val="000000" w:themeColor="text1"/>
                      <w:sz w:val="15"/>
                      <w:szCs w:val="15"/>
                      <w14:textFill>
                        <w14:solidFill>
                          <w14:schemeClr w14:val="tx1"/>
                        </w14:solidFill>
                      </w14:textFill>
                    </w:rPr>
                    <w:t>投料粉尘</w:t>
                  </w:r>
                </w:p>
              </w:tc>
              <w:tc>
                <w:tcPr>
                  <w:tcW w:w="136" w:type="pct"/>
                  <w:tcBorders>
                    <w:top w:val="nil"/>
                    <w:left w:val="single" w:color="000000" w:sz="12" w:space="0"/>
                    <w:bottom w:val="single" w:color="000000" w:sz="12" w:space="0"/>
                    <w:right w:val="single" w:color="000000" w:sz="12" w:space="0"/>
                  </w:tcBorders>
                  <w:vAlign w:val="center"/>
                </w:tcPr>
                <w:p w14:paraId="35996ECC">
                  <w:pPr>
                    <w:widowControl/>
                    <w:jc w:val="center"/>
                    <w:textAlignment w:val="center"/>
                    <w:rPr>
                      <w:rFonts w:hint="eastAsia" w:ascii="宋体" w:hAnsi="宋体" w:cs="宋体"/>
                      <w:color w:val="000000" w:themeColor="text1"/>
                      <w:sz w:val="15"/>
                      <w:szCs w:val="15"/>
                      <w14:textFill>
                        <w14:solidFill>
                          <w14:schemeClr w14:val="tx1"/>
                        </w14:solidFill>
                      </w14:textFill>
                    </w:rPr>
                  </w:pPr>
                  <w:r>
                    <w:rPr>
                      <w:rFonts w:hint="eastAsia" w:ascii="宋体" w:hAnsi="宋体" w:cs="宋体"/>
                      <w:color w:val="000000" w:themeColor="text1"/>
                      <w:kern w:val="0"/>
                      <w:sz w:val="15"/>
                      <w:szCs w:val="15"/>
                      <w:lang w:bidi="ar"/>
                      <w14:textFill>
                        <w14:solidFill>
                          <w14:schemeClr w14:val="tx1"/>
                        </w14:solidFill>
                      </w14:textFill>
                    </w:rPr>
                    <w:t>颗粒物</w:t>
                  </w:r>
                </w:p>
              </w:tc>
              <w:tc>
                <w:tcPr>
                  <w:tcW w:w="136" w:type="pct"/>
                  <w:vMerge w:val="continue"/>
                  <w:tcBorders>
                    <w:left w:val="single" w:color="000000" w:sz="12" w:space="0"/>
                    <w:right w:val="single" w:color="000000" w:sz="12" w:space="0"/>
                  </w:tcBorders>
                  <w:vAlign w:val="center"/>
                </w:tcPr>
                <w:p w14:paraId="5A3C5A01">
                  <w:pPr>
                    <w:jc w:val="center"/>
                    <w:rPr>
                      <w:rFonts w:hint="eastAsia" w:ascii="宋体" w:hAnsi="宋体" w:cs="宋体"/>
                      <w:color w:val="000000" w:themeColor="text1"/>
                      <w:sz w:val="15"/>
                      <w:szCs w:val="15"/>
                      <w14:textFill>
                        <w14:solidFill>
                          <w14:schemeClr w14:val="tx1"/>
                        </w14:solidFill>
                      </w14:textFill>
                    </w:rPr>
                  </w:pPr>
                </w:p>
              </w:tc>
              <w:tc>
                <w:tcPr>
                  <w:tcW w:w="280" w:type="pct"/>
                  <w:tcBorders>
                    <w:top w:val="nil"/>
                    <w:left w:val="single" w:color="000000" w:sz="12" w:space="0"/>
                    <w:bottom w:val="single" w:color="000000" w:sz="12" w:space="0"/>
                    <w:right w:val="single" w:color="000000" w:sz="12" w:space="0"/>
                  </w:tcBorders>
                  <w:vAlign w:val="center"/>
                </w:tcPr>
                <w:p w14:paraId="5855C6A8">
                  <w:pPr>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0.621</w:t>
                  </w:r>
                </w:p>
              </w:tc>
              <w:tc>
                <w:tcPr>
                  <w:tcW w:w="280" w:type="pct"/>
                  <w:tcBorders>
                    <w:top w:val="nil"/>
                    <w:left w:val="single" w:color="000000" w:sz="12" w:space="0"/>
                    <w:bottom w:val="single" w:color="000000" w:sz="12" w:space="0"/>
                    <w:right w:val="single" w:color="000000" w:sz="12" w:space="0"/>
                  </w:tcBorders>
                  <w:vAlign w:val="center"/>
                </w:tcPr>
                <w:p w14:paraId="6DB30341">
                  <w:pPr>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0.086</w:t>
                  </w:r>
                </w:p>
              </w:tc>
              <w:tc>
                <w:tcPr>
                  <w:tcW w:w="246" w:type="pct"/>
                  <w:tcBorders>
                    <w:top w:val="nil"/>
                    <w:left w:val="single" w:color="000000" w:sz="12" w:space="0"/>
                    <w:bottom w:val="single" w:color="000000" w:sz="12" w:space="0"/>
                    <w:right w:val="single" w:color="000000" w:sz="12" w:space="0"/>
                  </w:tcBorders>
                  <w:vAlign w:val="center"/>
                </w:tcPr>
                <w:p w14:paraId="0790C7DB">
                  <w:pPr>
                    <w:widowControl/>
                    <w:jc w:val="center"/>
                    <w:textAlignment w:val="center"/>
                    <w:rPr>
                      <w:color w:val="000000" w:themeColor="text1"/>
                      <w:kern w:val="0"/>
                      <w:sz w:val="15"/>
                      <w:szCs w:val="15"/>
                      <w:lang w:bidi="ar"/>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97" w:type="pct"/>
                  <w:tcBorders>
                    <w:top w:val="nil"/>
                    <w:left w:val="single" w:color="000000" w:sz="12" w:space="0"/>
                    <w:bottom w:val="single" w:color="000000" w:sz="12" w:space="0"/>
                    <w:right w:val="single" w:color="000000" w:sz="12" w:space="0"/>
                  </w:tcBorders>
                  <w:vAlign w:val="center"/>
                </w:tcPr>
                <w:p w14:paraId="584FDE1F">
                  <w:pPr>
                    <w:widowControl/>
                    <w:jc w:val="center"/>
                    <w:textAlignment w:val="center"/>
                    <w:rPr>
                      <w:color w:val="000000" w:themeColor="text1"/>
                      <w:kern w:val="0"/>
                      <w:sz w:val="15"/>
                      <w:szCs w:val="15"/>
                      <w:lang w:bidi="ar"/>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10" w:type="pct"/>
                  <w:tcBorders>
                    <w:top w:val="nil"/>
                    <w:left w:val="single" w:color="000000" w:sz="12" w:space="0"/>
                    <w:bottom w:val="single" w:color="000000" w:sz="12" w:space="0"/>
                    <w:right w:val="single" w:color="000000" w:sz="12" w:space="0"/>
                  </w:tcBorders>
                  <w:vAlign w:val="center"/>
                </w:tcPr>
                <w:p w14:paraId="0B0922A2">
                  <w:pPr>
                    <w:widowControl/>
                    <w:jc w:val="center"/>
                    <w:textAlignment w:val="center"/>
                    <w:rPr>
                      <w:color w:val="000000" w:themeColor="text1"/>
                      <w:kern w:val="0"/>
                      <w:sz w:val="15"/>
                      <w:szCs w:val="15"/>
                      <w:lang w:bidi="ar"/>
                      <w14:textFill>
                        <w14:solidFill>
                          <w14:schemeClr w14:val="tx1"/>
                        </w14:solidFill>
                      </w14:textFill>
                    </w:rPr>
                  </w:pPr>
                  <w:r>
                    <w:rPr>
                      <w:rFonts w:hint="eastAsia"/>
                      <w:color w:val="000000" w:themeColor="text1"/>
                      <w:kern w:val="0"/>
                      <w:sz w:val="15"/>
                      <w:szCs w:val="15"/>
                      <w:lang w:bidi="ar"/>
                      <w14:textFill>
                        <w14:solidFill>
                          <w14:schemeClr w14:val="tx1"/>
                        </w14:solidFill>
                      </w14:textFill>
                    </w:rPr>
                    <w:t>/</w:t>
                  </w:r>
                </w:p>
              </w:tc>
              <w:tc>
                <w:tcPr>
                  <w:tcW w:w="252" w:type="pct"/>
                  <w:tcBorders>
                    <w:top w:val="nil"/>
                    <w:left w:val="single" w:color="000000" w:sz="12" w:space="0"/>
                    <w:bottom w:val="single" w:color="auto" w:sz="12" w:space="0"/>
                    <w:right w:val="single" w:color="auto" w:sz="12" w:space="0"/>
                  </w:tcBorders>
                  <w:vAlign w:val="center"/>
                </w:tcPr>
                <w:p w14:paraId="78824C62">
                  <w:pPr>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74%</w:t>
                  </w:r>
                </w:p>
              </w:tc>
              <w:tc>
                <w:tcPr>
                  <w:tcW w:w="192" w:type="pct"/>
                  <w:tcBorders>
                    <w:top w:val="single" w:color="auto" w:sz="12" w:space="0"/>
                    <w:left w:val="single" w:color="auto" w:sz="12" w:space="0"/>
                    <w:bottom w:val="single" w:color="auto" w:sz="12" w:space="0"/>
                    <w:right w:val="single" w:color="auto" w:sz="12" w:space="0"/>
                  </w:tcBorders>
                  <w:vAlign w:val="center"/>
                </w:tcPr>
                <w:p w14:paraId="39B939E6">
                  <w:pPr>
                    <w:jc w:val="center"/>
                    <w:rPr>
                      <w:color w:val="000000" w:themeColor="text1"/>
                      <w:sz w:val="15"/>
                      <w:szCs w:val="15"/>
                      <w14:textFill>
                        <w14:solidFill>
                          <w14:schemeClr w14:val="tx1"/>
                        </w14:solidFill>
                      </w14:textFill>
                    </w:rPr>
                  </w:pPr>
                  <w:r>
                    <w:rPr>
                      <w:color w:val="000000" w:themeColor="text1"/>
                      <w:sz w:val="15"/>
                      <w:szCs w:val="15"/>
                      <w:lang w:bidi="ar"/>
                      <w14:textFill>
                        <w14:solidFill>
                          <w14:schemeClr w14:val="tx1"/>
                        </w14:solidFill>
                      </w14:textFill>
                    </w:rPr>
                    <w:t>喷雾除尘</w:t>
                  </w:r>
                </w:p>
              </w:tc>
              <w:tc>
                <w:tcPr>
                  <w:tcW w:w="175" w:type="pct"/>
                  <w:tcBorders>
                    <w:top w:val="nil"/>
                    <w:left w:val="single" w:color="auto" w:sz="12" w:space="0"/>
                    <w:bottom w:val="single" w:color="auto" w:sz="12" w:space="0"/>
                    <w:right w:val="single" w:color="000000" w:sz="12" w:space="0"/>
                  </w:tcBorders>
                  <w:vAlign w:val="center"/>
                </w:tcPr>
                <w:p w14:paraId="11EEEE6B">
                  <w:pPr>
                    <w:widowControl/>
                    <w:jc w:val="center"/>
                    <w:textAlignment w:val="center"/>
                    <w:rPr>
                      <w:color w:val="000000" w:themeColor="text1"/>
                      <w:kern w:val="0"/>
                      <w:sz w:val="15"/>
                      <w:szCs w:val="15"/>
                      <w:lang w:bidi="ar"/>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25" w:type="pct"/>
                  <w:tcBorders>
                    <w:top w:val="nil"/>
                    <w:left w:val="single" w:color="000000" w:sz="12" w:space="0"/>
                    <w:bottom w:val="single" w:color="000000" w:sz="12" w:space="0"/>
                    <w:right w:val="single" w:color="000000" w:sz="12" w:space="0"/>
                  </w:tcBorders>
                  <w:vAlign w:val="center"/>
                </w:tcPr>
                <w:p w14:paraId="163D4BC0">
                  <w:pPr>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0.161</w:t>
                  </w:r>
                </w:p>
              </w:tc>
              <w:tc>
                <w:tcPr>
                  <w:tcW w:w="238" w:type="pct"/>
                  <w:tcBorders>
                    <w:top w:val="nil"/>
                    <w:left w:val="single" w:color="000000" w:sz="12" w:space="0"/>
                    <w:bottom w:val="single" w:color="000000" w:sz="12" w:space="0"/>
                    <w:right w:val="single" w:color="000000" w:sz="12" w:space="0"/>
                  </w:tcBorders>
                  <w:vAlign w:val="center"/>
                </w:tcPr>
                <w:p w14:paraId="488FC62A">
                  <w:pPr>
                    <w:jc w:val="center"/>
                    <w:rPr>
                      <w:color w:val="000000" w:themeColor="text1"/>
                      <w:sz w:val="15"/>
                      <w:szCs w:val="15"/>
                      <w14:textFill>
                        <w14:solidFill>
                          <w14:schemeClr w14:val="tx1"/>
                        </w14:solidFill>
                      </w14:textFill>
                    </w:rPr>
                  </w:pPr>
                  <w:r>
                    <w:rPr>
                      <w:color w:val="000000" w:themeColor="text1"/>
                      <w:sz w:val="15"/>
                      <w:szCs w:val="15"/>
                      <w:lang w:bidi="ar"/>
                      <w14:textFill>
                        <w14:solidFill>
                          <w14:schemeClr w14:val="tx1"/>
                        </w14:solidFill>
                      </w14:textFill>
                    </w:rPr>
                    <w:t>0.0</w:t>
                  </w:r>
                  <w:r>
                    <w:rPr>
                      <w:rFonts w:hint="eastAsia"/>
                      <w:color w:val="000000" w:themeColor="text1"/>
                      <w:sz w:val="15"/>
                      <w:szCs w:val="15"/>
                      <w:lang w:bidi="ar"/>
                      <w14:textFill>
                        <w14:solidFill>
                          <w14:schemeClr w14:val="tx1"/>
                        </w14:solidFill>
                      </w14:textFill>
                    </w:rPr>
                    <w:t>22</w:t>
                  </w:r>
                </w:p>
              </w:tc>
              <w:tc>
                <w:tcPr>
                  <w:tcW w:w="246" w:type="pct"/>
                  <w:tcBorders>
                    <w:top w:val="nil"/>
                    <w:left w:val="single" w:color="000000" w:sz="12" w:space="0"/>
                    <w:bottom w:val="single" w:color="000000" w:sz="12" w:space="0"/>
                    <w:right w:val="single" w:color="000000" w:sz="12" w:space="0"/>
                  </w:tcBorders>
                  <w:vAlign w:val="center"/>
                </w:tcPr>
                <w:p w14:paraId="4EB202B0">
                  <w:pPr>
                    <w:widowControl/>
                    <w:jc w:val="center"/>
                    <w:textAlignment w:val="center"/>
                    <w:rPr>
                      <w:color w:val="000000" w:themeColor="text1"/>
                      <w:sz w:val="13"/>
                      <w:szCs w:val="13"/>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1E1DF414">
                  <w:pPr>
                    <w:widowControl/>
                    <w:jc w:val="center"/>
                    <w:textAlignment w:val="center"/>
                    <w:rPr>
                      <w:color w:val="000000" w:themeColor="text1"/>
                      <w:sz w:val="13"/>
                      <w:szCs w:val="13"/>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7E296A72">
                  <w:pPr>
                    <w:widowControl/>
                    <w:jc w:val="center"/>
                    <w:textAlignment w:val="center"/>
                    <w:rPr>
                      <w:color w:val="000000" w:themeColor="text1"/>
                      <w:sz w:val="13"/>
                      <w:szCs w:val="13"/>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30" w:type="pct"/>
                  <w:tcBorders>
                    <w:top w:val="single" w:color="000000" w:sz="12" w:space="0"/>
                    <w:left w:val="single" w:color="000000" w:sz="12" w:space="0"/>
                    <w:bottom w:val="single" w:color="000000" w:sz="12" w:space="0"/>
                    <w:right w:val="single" w:color="000000" w:sz="12" w:space="0"/>
                  </w:tcBorders>
                  <w:vAlign w:val="center"/>
                </w:tcPr>
                <w:p w14:paraId="15E586AF">
                  <w:pPr>
                    <w:widowControl/>
                    <w:jc w:val="center"/>
                    <w:textAlignment w:val="center"/>
                    <w:rPr>
                      <w:color w:val="000000" w:themeColor="text1"/>
                      <w:sz w:val="13"/>
                      <w:szCs w:val="13"/>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129" w:type="pct"/>
                  <w:tcBorders>
                    <w:top w:val="single" w:color="000000" w:sz="12" w:space="0"/>
                    <w:left w:val="single" w:color="000000" w:sz="12" w:space="0"/>
                    <w:bottom w:val="single" w:color="000000" w:sz="12" w:space="0"/>
                    <w:right w:val="single" w:color="000000" w:sz="12" w:space="0"/>
                  </w:tcBorders>
                  <w:vAlign w:val="center"/>
                </w:tcPr>
                <w:p w14:paraId="216CB760">
                  <w:pPr>
                    <w:widowControl/>
                    <w:jc w:val="center"/>
                    <w:textAlignment w:val="center"/>
                    <w:rPr>
                      <w:color w:val="000000" w:themeColor="text1"/>
                      <w:sz w:val="13"/>
                      <w:szCs w:val="13"/>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48" w:type="pct"/>
                  <w:tcBorders>
                    <w:top w:val="single" w:color="000000" w:sz="12" w:space="0"/>
                    <w:left w:val="single" w:color="000000" w:sz="12" w:space="0"/>
                    <w:bottom w:val="single" w:color="000000" w:sz="12" w:space="0"/>
                    <w:right w:val="single" w:color="000000" w:sz="12" w:space="0"/>
                  </w:tcBorders>
                  <w:vAlign w:val="center"/>
                </w:tcPr>
                <w:p w14:paraId="62C3A282">
                  <w:pPr>
                    <w:widowControl/>
                    <w:jc w:val="center"/>
                    <w:textAlignment w:val="center"/>
                    <w:rPr>
                      <w:color w:val="000000" w:themeColor="text1"/>
                      <w:sz w:val="13"/>
                      <w:szCs w:val="13"/>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320" w:type="pct"/>
                  <w:tcBorders>
                    <w:top w:val="single" w:color="000000" w:sz="12" w:space="0"/>
                    <w:left w:val="single" w:color="000000" w:sz="12" w:space="0"/>
                    <w:bottom w:val="single" w:color="000000" w:sz="12" w:space="0"/>
                    <w:right w:val="single" w:color="000000" w:sz="12" w:space="0"/>
                  </w:tcBorders>
                  <w:vAlign w:val="center"/>
                </w:tcPr>
                <w:p w14:paraId="063E3DC1">
                  <w:pPr>
                    <w:widowControl/>
                    <w:jc w:val="center"/>
                    <w:textAlignment w:val="center"/>
                    <w:rPr>
                      <w:color w:val="000000" w:themeColor="text1"/>
                      <w:sz w:val="13"/>
                      <w:szCs w:val="13"/>
                      <w14:textFill>
                        <w14:solidFill>
                          <w14:schemeClr w14:val="tx1"/>
                        </w14:solidFill>
                      </w14:textFill>
                    </w:rPr>
                  </w:pPr>
                  <w:r>
                    <w:rPr>
                      <w:rFonts w:hint="eastAsia"/>
                      <w:color w:val="000000" w:themeColor="text1"/>
                      <w:kern w:val="0"/>
                      <w:sz w:val="13"/>
                      <w:szCs w:val="13"/>
                      <w:lang w:bidi="ar"/>
                      <w14:textFill>
                        <w14:solidFill>
                          <w14:schemeClr w14:val="tx1"/>
                        </w14:solidFill>
                      </w14:textFill>
                    </w:rPr>
                    <w:t>0.5</w:t>
                  </w:r>
                </w:p>
              </w:tc>
              <w:tc>
                <w:tcPr>
                  <w:tcW w:w="284" w:type="pct"/>
                  <w:tcBorders>
                    <w:top w:val="single" w:color="000000" w:sz="12" w:space="0"/>
                    <w:left w:val="single" w:color="000000" w:sz="12" w:space="0"/>
                    <w:bottom w:val="single" w:color="000000" w:sz="12" w:space="0"/>
                    <w:right w:val="single" w:color="000000" w:sz="12" w:space="0"/>
                  </w:tcBorders>
                  <w:vAlign w:val="center"/>
                </w:tcPr>
                <w:p w14:paraId="1CD3D781">
                  <w:pPr>
                    <w:widowControl/>
                    <w:jc w:val="center"/>
                    <w:textAlignment w:val="center"/>
                    <w:rPr>
                      <w:color w:val="000000" w:themeColor="text1"/>
                      <w:sz w:val="13"/>
                      <w:szCs w:val="13"/>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40" w:type="pct"/>
                  <w:tcBorders>
                    <w:top w:val="single" w:color="000000" w:sz="12" w:space="0"/>
                    <w:left w:val="nil"/>
                    <w:bottom w:val="single" w:color="000000" w:sz="12" w:space="0"/>
                    <w:right w:val="single" w:color="000000" w:sz="12" w:space="0"/>
                  </w:tcBorders>
                  <w:vAlign w:val="center"/>
                </w:tcPr>
                <w:p w14:paraId="05FF20CC">
                  <w:pPr>
                    <w:widowControl/>
                    <w:jc w:val="center"/>
                    <w:textAlignment w:val="center"/>
                    <w:rPr>
                      <w:color w:val="000000" w:themeColor="text1"/>
                      <w:sz w:val="13"/>
                      <w:szCs w:val="13"/>
                      <w14:textFill>
                        <w14:solidFill>
                          <w14:schemeClr w14:val="tx1"/>
                        </w14:solidFill>
                      </w14:textFill>
                    </w:rPr>
                  </w:pPr>
                  <w:r>
                    <w:rPr>
                      <w:color w:val="000000" w:themeColor="text1"/>
                      <w:kern w:val="0"/>
                      <w:sz w:val="13"/>
                      <w:szCs w:val="13"/>
                      <w:lang w:bidi="ar"/>
                      <w14:textFill>
                        <w14:solidFill>
                          <w14:schemeClr w14:val="tx1"/>
                        </w14:solidFill>
                      </w14:textFill>
                    </w:rPr>
                    <w:t>/</w:t>
                  </w:r>
                </w:p>
              </w:tc>
            </w:tr>
            <w:tr w14:paraId="245D0FB4">
              <w:tblPrEx>
                <w:tblCellMar>
                  <w:top w:w="0" w:type="dxa"/>
                  <w:left w:w="108" w:type="dxa"/>
                  <w:bottom w:w="0" w:type="dxa"/>
                  <w:right w:w="108" w:type="dxa"/>
                </w:tblCellMar>
              </w:tblPrEx>
              <w:trPr>
                <w:trHeight w:val="318" w:hRule="atLeast"/>
              </w:trPr>
              <w:tc>
                <w:tcPr>
                  <w:tcW w:w="201" w:type="pct"/>
                  <w:tcBorders>
                    <w:top w:val="nil"/>
                    <w:left w:val="single" w:color="000000" w:sz="12" w:space="0"/>
                    <w:bottom w:val="single" w:color="000000" w:sz="12" w:space="0"/>
                    <w:right w:val="single" w:color="000000" w:sz="12" w:space="0"/>
                  </w:tcBorders>
                  <w:vAlign w:val="center"/>
                </w:tcPr>
                <w:p w14:paraId="53CD76E6">
                  <w:pPr>
                    <w:adjustRightInd w:val="0"/>
                    <w:snapToGrid w:val="0"/>
                    <w:jc w:val="center"/>
                    <w:rPr>
                      <w:color w:val="000000" w:themeColor="text1"/>
                      <w:sz w:val="15"/>
                      <w:szCs w:val="15"/>
                      <w14:textFill>
                        <w14:solidFill>
                          <w14:schemeClr w14:val="tx1"/>
                        </w14:solidFill>
                      </w14:textFill>
                    </w:rPr>
                  </w:pPr>
                  <w:r>
                    <w:rPr>
                      <w:color w:val="000000" w:themeColor="text1"/>
                      <w:sz w:val="15"/>
                      <w:szCs w:val="15"/>
                      <w14:textFill>
                        <w14:solidFill>
                          <w14:schemeClr w14:val="tx1"/>
                        </w14:solidFill>
                      </w14:textFill>
                    </w:rPr>
                    <w:t>破碎、筛分</w:t>
                  </w:r>
                </w:p>
              </w:tc>
              <w:tc>
                <w:tcPr>
                  <w:tcW w:w="136" w:type="pct"/>
                  <w:tcBorders>
                    <w:top w:val="nil"/>
                    <w:left w:val="single" w:color="000000" w:sz="12" w:space="0"/>
                    <w:bottom w:val="single" w:color="000000" w:sz="12" w:space="0"/>
                    <w:right w:val="single" w:color="000000" w:sz="12" w:space="0"/>
                  </w:tcBorders>
                  <w:vAlign w:val="center"/>
                </w:tcPr>
                <w:p w14:paraId="0C573D69">
                  <w:pPr>
                    <w:widowControl/>
                    <w:jc w:val="center"/>
                    <w:textAlignment w:val="center"/>
                    <w:rPr>
                      <w:rFonts w:hint="eastAsia" w:ascii="宋体" w:hAnsi="宋体" w:cs="宋体"/>
                      <w:color w:val="000000" w:themeColor="text1"/>
                      <w:kern w:val="0"/>
                      <w:sz w:val="15"/>
                      <w:szCs w:val="15"/>
                      <w:lang w:bidi="ar"/>
                      <w14:textFill>
                        <w14:solidFill>
                          <w14:schemeClr w14:val="tx1"/>
                        </w14:solidFill>
                      </w14:textFill>
                    </w:rPr>
                  </w:pPr>
                  <w:r>
                    <w:rPr>
                      <w:rFonts w:hint="eastAsia" w:ascii="宋体" w:hAnsi="宋体" w:cs="宋体"/>
                      <w:color w:val="000000" w:themeColor="text1"/>
                      <w:sz w:val="15"/>
                      <w:szCs w:val="15"/>
                      <w14:textFill>
                        <w14:solidFill>
                          <w14:schemeClr w14:val="tx1"/>
                        </w14:solidFill>
                      </w14:textFill>
                    </w:rPr>
                    <w:t>颗粒物</w:t>
                  </w:r>
                </w:p>
              </w:tc>
              <w:tc>
                <w:tcPr>
                  <w:tcW w:w="136" w:type="pct"/>
                  <w:vMerge w:val="continue"/>
                  <w:tcBorders>
                    <w:left w:val="single" w:color="000000" w:sz="12" w:space="0"/>
                    <w:right w:val="single" w:color="000000" w:sz="12" w:space="0"/>
                  </w:tcBorders>
                  <w:vAlign w:val="center"/>
                </w:tcPr>
                <w:p w14:paraId="09DB8F2F">
                  <w:pPr>
                    <w:jc w:val="center"/>
                    <w:rPr>
                      <w:rFonts w:hint="eastAsia" w:ascii="宋体" w:hAnsi="宋体" w:cs="宋体"/>
                      <w:color w:val="000000" w:themeColor="text1"/>
                      <w:sz w:val="15"/>
                      <w:szCs w:val="15"/>
                      <w14:textFill>
                        <w14:solidFill>
                          <w14:schemeClr w14:val="tx1"/>
                        </w14:solidFill>
                      </w14:textFill>
                    </w:rPr>
                  </w:pPr>
                </w:p>
              </w:tc>
              <w:tc>
                <w:tcPr>
                  <w:tcW w:w="280" w:type="pct"/>
                  <w:tcBorders>
                    <w:top w:val="nil"/>
                    <w:left w:val="single" w:color="000000" w:sz="12" w:space="0"/>
                    <w:bottom w:val="single" w:color="000000" w:sz="12" w:space="0"/>
                    <w:right w:val="single" w:color="000000" w:sz="12" w:space="0"/>
                  </w:tcBorders>
                  <w:vAlign w:val="center"/>
                </w:tcPr>
                <w:p w14:paraId="4710ADBA">
                  <w:pPr>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221.8</w:t>
                  </w:r>
                  <w:r>
                    <w:rPr>
                      <w:color w:val="000000" w:themeColor="text1"/>
                      <w:sz w:val="15"/>
                      <w:szCs w:val="15"/>
                      <w:lang w:bidi="ar"/>
                      <w14:textFill>
                        <w14:solidFill>
                          <w14:schemeClr w14:val="tx1"/>
                        </w14:solidFill>
                      </w14:textFill>
                    </w:rPr>
                    <w:t xml:space="preserve"> </w:t>
                  </w:r>
                </w:p>
              </w:tc>
              <w:tc>
                <w:tcPr>
                  <w:tcW w:w="280" w:type="pct"/>
                  <w:tcBorders>
                    <w:top w:val="nil"/>
                    <w:left w:val="single" w:color="000000" w:sz="12" w:space="0"/>
                    <w:bottom w:val="single" w:color="000000" w:sz="12" w:space="0"/>
                    <w:right w:val="single" w:color="000000" w:sz="12" w:space="0"/>
                  </w:tcBorders>
                  <w:vAlign w:val="center"/>
                </w:tcPr>
                <w:p w14:paraId="65E5A67D">
                  <w:pPr>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30.806</w:t>
                  </w:r>
                </w:p>
              </w:tc>
              <w:tc>
                <w:tcPr>
                  <w:tcW w:w="246" w:type="pct"/>
                  <w:tcBorders>
                    <w:top w:val="nil"/>
                    <w:left w:val="single" w:color="000000" w:sz="12" w:space="0"/>
                    <w:bottom w:val="single" w:color="000000" w:sz="12" w:space="0"/>
                    <w:right w:val="single" w:color="000000" w:sz="12" w:space="0"/>
                  </w:tcBorders>
                  <w:vAlign w:val="center"/>
                </w:tcPr>
                <w:p w14:paraId="3630F528">
                  <w:pPr>
                    <w:widowControl/>
                    <w:jc w:val="center"/>
                    <w:textAlignment w:val="center"/>
                    <w:rPr>
                      <w:color w:val="000000" w:themeColor="text1"/>
                      <w:kern w:val="0"/>
                      <w:sz w:val="15"/>
                      <w:szCs w:val="15"/>
                      <w:lang w:bidi="ar"/>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97" w:type="pct"/>
                  <w:tcBorders>
                    <w:top w:val="nil"/>
                    <w:left w:val="single" w:color="000000" w:sz="12" w:space="0"/>
                    <w:bottom w:val="single" w:color="000000" w:sz="12" w:space="0"/>
                    <w:right w:val="single" w:color="000000" w:sz="12" w:space="0"/>
                  </w:tcBorders>
                  <w:vAlign w:val="center"/>
                </w:tcPr>
                <w:p w14:paraId="0F39E104">
                  <w:pPr>
                    <w:widowControl/>
                    <w:jc w:val="center"/>
                    <w:textAlignment w:val="center"/>
                    <w:rPr>
                      <w:color w:val="000000" w:themeColor="text1"/>
                      <w:kern w:val="0"/>
                      <w:sz w:val="15"/>
                      <w:szCs w:val="15"/>
                      <w:lang w:bidi="ar"/>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10" w:type="pct"/>
                  <w:tcBorders>
                    <w:top w:val="nil"/>
                    <w:left w:val="single" w:color="000000" w:sz="12" w:space="0"/>
                    <w:bottom w:val="single" w:color="000000" w:sz="12" w:space="0"/>
                    <w:right w:val="single" w:color="auto" w:sz="12" w:space="0"/>
                  </w:tcBorders>
                  <w:vAlign w:val="center"/>
                </w:tcPr>
                <w:p w14:paraId="3A7A15FE">
                  <w:pPr>
                    <w:widowControl/>
                    <w:jc w:val="center"/>
                    <w:textAlignment w:val="center"/>
                    <w:rPr>
                      <w:color w:val="000000" w:themeColor="text1"/>
                      <w:kern w:val="0"/>
                      <w:sz w:val="15"/>
                      <w:szCs w:val="15"/>
                      <w:lang w:bidi="ar"/>
                      <w14:textFill>
                        <w14:solidFill>
                          <w14:schemeClr w14:val="tx1"/>
                        </w14:solidFill>
                      </w14:textFill>
                    </w:rPr>
                  </w:pPr>
                  <w:r>
                    <w:rPr>
                      <w:rFonts w:hint="eastAsia"/>
                      <w:color w:val="000000" w:themeColor="text1"/>
                      <w:kern w:val="0"/>
                      <w:sz w:val="15"/>
                      <w:szCs w:val="15"/>
                      <w:lang w:bidi="ar"/>
                      <w14:textFill>
                        <w14:solidFill>
                          <w14:schemeClr w14:val="tx1"/>
                        </w14:solidFill>
                      </w14:textFill>
                    </w:rPr>
                    <w:t>/</w:t>
                  </w:r>
                </w:p>
              </w:tc>
              <w:tc>
                <w:tcPr>
                  <w:tcW w:w="252" w:type="pct"/>
                  <w:tcBorders>
                    <w:top w:val="single" w:color="auto" w:sz="12" w:space="0"/>
                    <w:left w:val="single" w:color="auto" w:sz="12" w:space="0"/>
                    <w:bottom w:val="single" w:color="auto" w:sz="12" w:space="0"/>
                    <w:right w:val="single" w:color="auto" w:sz="12" w:space="0"/>
                  </w:tcBorders>
                  <w:vAlign w:val="center"/>
                </w:tcPr>
                <w:p w14:paraId="78AA8C4F">
                  <w:pPr>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99.74%</w:t>
                  </w:r>
                </w:p>
              </w:tc>
              <w:tc>
                <w:tcPr>
                  <w:tcW w:w="192" w:type="pct"/>
                  <w:tcBorders>
                    <w:top w:val="single" w:color="auto" w:sz="12" w:space="0"/>
                    <w:left w:val="single" w:color="auto" w:sz="12" w:space="0"/>
                    <w:bottom w:val="single" w:color="auto" w:sz="12" w:space="0"/>
                    <w:right w:val="single" w:color="auto" w:sz="12" w:space="0"/>
                  </w:tcBorders>
                  <w:vAlign w:val="center"/>
                </w:tcPr>
                <w:p w14:paraId="41D5A723">
                  <w:pPr>
                    <w:jc w:val="center"/>
                    <w:rPr>
                      <w:color w:val="000000" w:themeColor="text1"/>
                      <w:sz w:val="15"/>
                      <w:szCs w:val="15"/>
                      <w14:textFill>
                        <w14:solidFill>
                          <w14:schemeClr w14:val="tx1"/>
                        </w14:solidFill>
                      </w14:textFill>
                    </w:rPr>
                  </w:pPr>
                  <w:r>
                    <w:rPr>
                      <w:color w:val="000000" w:themeColor="text1"/>
                      <w:sz w:val="15"/>
                      <w:szCs w:val="15"/>
                      <w:lang w:bidi="ar"/>
                      <w14:textFill>
                        <w14:solidFill>
                          <w14:schemeClr w14:val="tx1"/>
                        </w14:solidFill>
                      </w14:textFill>
                    </w:rPr>
                    <w:t>密闭车间+喷雾除尘</w:t>
                  </w:r>
                </w:p>
              </w:tc>
              <w:tc>
                <w:tcPr>
                  <w:tcW w:w="175" w:type="pct"/>
                  <w:tcBorders>
                    <w:top w:val="single" w:color="auto" w:sz="12" w:space="0"/>
                    <w:left w:val="single" w:color="auto" w:sz="12" w:space="0"/>
                    <w:bottom w:val="single" w:color="auto" w:sz="12" w:space="0"/>
                    <w:right w:val="single" w:color="auto" w:sz="12" w:space="0"/>
                  </w:tcBorders>
                  <w:vAlign w:val="center"/>
                </w:tcPr>
                <w:p w14:paraId="3C79CE0B">
                  <w:pPr>
                    <w:widowControl/>
                    <w:jc w:val="center"/>
                    <w:textAlignment w:val="center"/>
                    <w:rPr>
                      <w:color w:val="000000" w:themeColor="text1"/>
                      <w:kern w:val="0"/>
                      <w:sz w:val="15"/>
                      <w:szCs w:val="15"/>
                      <w:lang w:bidi="ar"/>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25" w:type="pct"/>
                  <w:tcBorders>
                    <w:top w:val="nil"/>
                    <w:left w:val="single" w:color="auto" w:sz="12" w:space="0"/>
                    <w:bottom w:val="single" w:color="000000" w:sz="12" w:space="0"/>
                    <w:right w:val="single" w:color="000000" w:sz="12" w:space="0"/>
                  </w:tcBorders>
                  <w:vAlign w:val="center"/>
                </w:tcPr>
                <w:p w14:paraId="27E25E27">
                  <w:pPr>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0.578</w:t>
                  </w:r>
                </w:p>
              </w:tc>
              <w:tc>
                <w:tcPr>
                  <w:tcW w:w="238" w:type="pct"/>
                  <w:tcBorders>
                    <w:top w:val="nil"/>
                    <w:left w:val="single" w:color="000000" w:sz="12" w:space="0"/>
                    <w:bottom w:val="single" w:color="000000" w:sz="12" w:space="0"/>
                    <w:right w:val="single" w:color="000000" w:sz="12" w:space="0"/>
                  </w:tcBorders>
                  <w:vAlign w:val="center"/>
                </w:tcPr>
                <w:p w14:paraId="3242D60F">
                  <w:pPr>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0.080</w:t>
                  </w:r>
                </w:p>
              </w:tc>
              <w:tc>
                <w:tcPr>
                  <w:tcW w:w="246" w:type="pct"/>
                  <w:tcBorders>
                    <w:top w:val="nil"/>
                    <w:left w:val="single" w:color="000000" w:sz="12" w:space="0"/>
                    <w:bottom w:val="single" w:color="000000" w:sz="12" w:space="0"/>
                    <w:right w:val="single" w:color="000000" w:sz="12" w:space="0"/>
                  </w:tcBorders>
                  <w:vAlign w:val="center"/>
                </w:tcPr>
                <w:p w14:paraId="491AD9C3">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2620DF4A">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5622DE5E">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30" w:type="pct"/>
                  <w:tcBorders>
                    <w:top w:val="single" w:color="000000" w:sz="12" w:space="0"/>
                    <w:left w:val="single" w:color="000000" w:sz="12" w:space="0"/>
                    <w:bottom w:val="single" w:color="000000" w:sz="12" w:space="0"/>
                    <w:right w:val="single" w:color="000000" w:sz="12" w:space="0"/>
                  </w:tcBorders>
                  <w:vAlign w:val="center"/>
                </w:tcPr>
                <w:p w14:paraId="12B996BD">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129" w:type="pct"/>
                  <w:tcBorders>
                    <w:top w:val="single" w:color="000000" w:sz="12" w:space="0"/>
                    <w:left w:val="single" w:color="000000" w:sz="12" w:space="0"/>
                    <w:bottom w:val="single" w:color="000000" w:sz="12" w:space="0"/>
                    <w:right w:val="single" w:color="000000" w:sz="12" w:space="0"/>
                  </w:tcBorders>
                  <w:vAlign w:val="center"/>
                </w:tcPr>
                <w:p w14:paraId="74D89B49">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48" w:type="pct"/>
                  <w:tcBorders>
                    <w:top w:val="single" w:color="000000" w:sz="12" w:space="0"/>
                    <w:left w:val="single" w:color="000000" w:sz="12" w:space="0"/>
                    <w:bottom w:val="single" w:color="000000" w:sz="12" w:space="0"/>
                    <w:right w:val="single" w:color="000000" w:sz="12" w:space="0"/>
                  </w:tcBorders>
                  <w:vAlign w:val="center"/>
                </w:tcPr>
                <w:p w14:paraId="34CA3C6D">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320" w:type="pct"/>
                  <w:tcBorders>
                    <w:top w:val="single" w:color="000000" w:sz="12" w:space="0"/>
                    <w:left w:val="single" w:color="000000" w:sz="12" w:space="0"/>
                    <w:bottom w:val="single" w:color="000000" w:sz="12" w:space="0"/>
                    <w:right w:val="single" w:color="000000" w:sz="12" w:space="0"/>
                  </w:tcBorders>
                  <w:vAlign w:val="center"/>
                </w:tcPr>
                <w:p w14:paraId="4D7CF3A5">
                  <w:pPr>
                    <w:widowControl/>
                    <w:jc w:val="center"/>
                    <w:textAlignment w:val="center"/>
                    <w:rPr>
                      <w:color w:val="000000" w:themeColor="text1"/>
                      <w:kern w:val="0"/>
                      <w:sz w:val="13"/>
                      <w:szCs w:val="13"/>
                      <w:lang w:bidi="ar"/>
                      <w14:textFill>
                        <w14:solidFill>
                          <w14:schemeClr w14:val="tx1"/>
                        </w14:solidFill>
                      </w14:textFill>
                    </w:rPr>
                  </w:pPr>
                  <w:r>
                    <w:rPr>
                      <w:rFonts w:hint="eastAsia"/>
                      <w:color w:val="000000" w:themeColor="text1"/>
                      <w:kern w:val="0"/>
                      <w:sz w:val="13"/>
                      <w:szCs w:val="13"/>
                      <w:lang w:bidi="ar"/>
                      <w14:textFill>
                        <w14:solidFill>
                          <w14:schemeClr w14:val="tx1"/>
                        </w14:solidFill>
                      </w14:textFill>
                    </w:rPr>
                    <w:t>0.5</w:t>
                  </w:r>
                </w:p>
              </w:tc>
              <w:tc>
                <w:tcPr>
                  <w:tcW w:w="284" w:type="pct"/>
                  <w:tcBorders>
                    <w:top w:val="single" w:color="000000" w:sz="12" w:space="0"/>
                    <w:left w:val="single" w:color="000000" w:sz="12" w:space="0"/>
                    <w:bottom w:val="single" w:color="000000" w:sz="12" w:space="0"/>
                    <w:right w:val="single" w:color="000000" w:sz="12" w:space="0"/>
                  </w:tcBorders>
                  <w:vAlign w:val="center"/>
                </w:tcPr>
                <w:p w14:paraId="4D9BD6CF">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40" w:type="pct"/>
                  <w:tcBorders>
                    <w:top w:val="single" w:color="000000" w:sz="12" w:space="0"/>
                    <w:left w:val="nil"/>
                    <w:bottom w:val="single" w:color="000000" w:sz="12" w:space="0"/>
                    <w:right w:val="single" w:color="000000" w:sz="12" w:space="0"/>
                  </w:tcBorders>
                  <w:vAlign w:val="center"/>
                </w:tcPr>
                <w:p w14:paraId="6E8CA32E">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r>
            <w:tr w14:paraId="070B888F">
              <w:tblPrEx>
                <w:tblCellMar>
                  <w:top w:w="0" w:type="dxa"/>
                  <w:left w:w="108" w:type="dxa"/>
                  <w:bottom w:w="0" w:type="dxa"/>
                  <w:right w:w="108" w:type="dxa"/>
                </w:tblCellMar>
              </w:tblPrEx>
              <w:trPr>
                <w:trHeight w:val="318" w:hRule="atLeast"/>
              </w:trPr>
              <w:tc>
                <w:tcPr>
                  <w:tcW w:w="201" w:type="pct"/>
                  <w:tcBorders>
                    <w:top w:val="nil"/>
                    <w:left w:val="single" w:color="000000" w:sz="12" w:space="0"/>
                    <w:bottom w:val="single" w:color="000000" w:sz="12" w:space="0"/>
                    <w:right w:val="single" w:color="000000" w:sz="12" w:space="0"/>
                  </w:tcBorders>
                  <w:vAlign w:val="center"/>
                </w:tcPr>
                <w:p w14:paraId="213026C3">
                  <w:pPr>
                    <w:adjustRightInd w:val="0"/>
                    <w:snapToGrid w:val="0"/>
                    <w:jc w:val="center"/>
                    <w:rPr>
                      <w:color w:val="000000" w:themeColor="text1"/>
                      <w:sz w:val="15"/>
                      <w:szCs w:val="15"/>
                      <w14:textFill>
                        <w14:solidFill>
                          <w14:schemeClr w14:val="tx1"/>
                        </w14:solidFill>
                      </w14:textFill>
                    </w:rPr>
                  </w:pPr>
                  <w:r>
                    <w:rPr>
                      <w:color w:val="000000" w:themeColor="text1"/>
                      <w:sz w:val="15"/>
                      <w:szCs w:val="15"/>
                      <w14:textFill>
                        <w14:solidFill>
                          <w14:schemeClr w14:val="tx1"/>
                        </w14:solidFill>
                      </w14:textFill>
                    </w:rPr>
                    <w:t>车辆运输</w:t>
                  </w:r>
                </w:p>
              </w:tc>
              <w:tc>
                <w:tcPr>
                  <w:tcW w:w="136" w:type="pct"/>
                  <w:tcBorders>
                    <w:top w:val="nil"/>
                    <w:left w:val="single" w:color="000000" w:sz="12" w:space="0"/>
                    <w:bottom w:val="single" w:color="000000" w:sz="12" w:space="0"/>
                    <w:right w:val="single" w:color="000000" w:sz="12" w:space="0"/>
                  </w:tcBorders>
                  <w:vAlign w:val="center"/>
                </w:tcPr>
                <w:p w14:paraId="4F4BCD6C">
                  <w:pPr>
                    <w:widowControl/>
                    <w:jc w:val="center"/>
                    <w:textAlignment w:val="center"/>
                    <w:rPr>
                      <w:rFonts w:hint="eastAsia" w:ascii="宋体" w:hAnsi="宋体" w:cs="宋体"/>
                      <w:color w:val="000000" w:themeColor="text1"/>
                      <w:kern w:val="0"/>
                      <w:sz w:val="15"/>
                      <w:szCs w:val="15"/>
                      <w:lang w:bidi="ar"/>
                      <w14:textFill>
                        <w14:solidFill>
                          <w14:schemeClr w14:val="tx1"/>
                        </w14:solidFill>
                      </w14:textFill>
                    </w:rPr>
                  </w:pPr>
                  <w:r>
                    <w:rPr>
                      <w:rFonts w:hint="eastAsia" w:ascii="宋体" w:hAnsi="宋体" w:cs="宋体"/>
                      <w:color w:val="000000" w:themeColor="text1"/>
                      <w:kern w:val="0"/>
                      <w:sz w:val="15"/>
                      <w:szCs w:val="15"/>
                      <w:lang w:bidi="ar"/>
                      <w14:textFill>
                        <w14:solidFill>
                          <w14:schemeClr w14:val="tx1"/>
                        </w14:solidFill>
                      </w14:textFill>
                    </w:rPr>
                    <w:t>颗粒物</w:t>
                  </w:r>
                </w:p>
              </w:tc>
              <w:tc>
                <w:tcPr>
                  <w:tcW w:w="136" w:type="pct"/>
                  <w:vMerge w:val="continue"/>
                  <w:tcBorders>
                    <w:left w:val="single" w:color="000000" w:sz="12" w:space="0"/>
                    <w:right w:val="single" w:color="000000" w:sz="12" w:space="0"/>
                  </w:tcBorders>
                  <w:vAlign w:val="center"/>
                </w:tcPr>
                <w:p w14:paraId="2A14861F">
                  <w:pPr>
                    <w:jc w:val="center"/>
                    <w:rPr>
                      <w:rFonts w:hint="eastAsia" w:ascii="宋体" w:hAnsi="宋体" w:cs="宋体"/>
                      <w:color w:val="000000" w:themeColor="text1"/>
                      <w:sz w:val="15"/>
                      <w:szCs w:val="15"/>
                      <w14:textFill>
                        <w14:solidFill>
                          <w14:schemeClr w14:val="tx1"/>
                        </w14:solidFill>
                      </w14:textFill>
                    </w:rPr>
                  </w:pPr>
                </w:p>
              </w:tc>
              <w:tc>
                <w:tcPr>
                  <w:tcW w:w="280" w:type="pct"/>
                  <w:tcBorders>
                    <w:top w:val="nil"/>
                    <w:left w:val="single" w:color="000000" w:sz="12" w:space="0"/>
                    <w:bottom w:val="single" w:color="000000" w:sz="12" w:space="0"/>
                    <w:right w:val="single" w:color="000000" w:sz="12" w:space="0"/>
                  </w:tcBorders>
                  <w:vAlign w:val="center"/>
                </w:tcPr>
                <w:p w14:paraId="706A1D97">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3.098</w:t>
                  </w:r>
                </w:p>
              </w:tc>
              <w:tc>
                <w:tcPr>
                  <w:tcW w:w="280" w:type="pct"/>
                  <w:tcBorders>
                    <w:top w:val="nil"/>
                    <w:left w:val="single" w:color="000000" w:sz="12" w:space="0"/>
                    <w:bottom w:val="single" w:color="000000" w:sz="12" w:space="0"/>
                    <w:right w:val="single" w:color="000000" w:sz="12" w:space="0"/>
                  </w:tcBorders>
                  <w:vAlign w:val="center"/>
                </w:tcPr>
                <w:p w14:paraId="31FE0AE4">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0.430</w:t>
                  </w:r>
                </w:p>
              </w:tc>
              <w:tc>
                <w:tcPr>
                  <w:tcW w:w="246" w:type="pct"/>
                  <w:tcBorders>
                    <w:top w:val="nil"/>
                    <w:left w:val="single" w:color="000000" w:sz="12" w:space="0"/>
                    <w:bottom w:val="single" w:color="000000" w:sz="12" w:space="0"/>
                    <w:right w:val="single" w:color="000000" w:sz="12" w:space="0"/>
                  </w:tcBorders>
                  <w:vAlign w:val="center"/>
                </w:tcPr>
                <w:p w14:paraId="79F488FE">
                  <w:pPr>
                    <w:widowControl/>
                    <w:jc w:val="center"/>
                    <w:textAlignment w:val="center"/>
                    <w:rPr>
                      <w:color w:val="000000" w:themeColor="text1"/>
                      <w:kern w:val="0"/>
                      <w:sz w:val="15"/>
                      <w:szCs w:val="15"/>
                      <w:lang w:bidi="ar"/>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97" w:type="pct"/>
                  <w:tcBorders>
                    <w:top w:val="nil"/>
                    <w:left w:val="single" w:color="000000" w:sz="12" w:space="0"/>
                    <w:bottom w:val="single" w:color="000000" w:sz="12" w:space="0"/>
                    <w:right w:val="single" w:color="000000" w:sz="12" w:space="0"/>
                  </w:tcBorders>
                  <w:vAlign w:val="center"/>
                </w:tcPr>
                <w:p w14:paraId="35387302">
                  <w:pPr>
                    <w:widowControl/>
                    <w:jc w:val="center"/>
                    <w:textAlignment w:val="center"/>
                    <w:rPr>
                      <w:color w:val="000000" w:themeColor="text1"/>
                      <w:kern w:val="0"/>
                      <w:sz w:val="15"/>
                      <w:szCs w:val="15"/>
                      <w:lang w:bidi="ar"/>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10" w:type="pct"/>
                  <w:tcBorders>
                    <w:top w:val="nil"/>
                    <w:left w:val="single" w:color="000000" w:sz="12" w:space="0"/>
                    <w:bottom w:val="single" w:color="000000" w:sz="12" w:space="0"/>
                    <w:right w:val="single" w:color="auto" w:sz="12" w:space="0"/>
                  </w:tcBorders>
                  <w:vAlign w:val="center"/>
                </w:tcPr>
                <w:p w14:paraId="51A0DB95">
                  <w:pPr>
                    <w:widowControl/>
                    <w:jc w:val="center"/>
                    <w:textAlignment w:val="center"/>
                    <w:rPr>
                      <w:color w:val="000000" w:themeColor="text1"/>
                      <w:kern w:val="0"/>
                      <w:sz w:val="15"/>
                      <w:szCs w:val="15"/>
                      <w:lang w:bidi="ar"/>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52" w:type="pct"/>
                  <w:tcBorders>
                    <w:top w:val="single" w:color="auto" w:sz="12" w:space="0"/>
                    <w:left w:val="single" w:color="auto" w:sz="12" w:space="0"/>
                    <w:bottom w:val="single" w:color="auto" w:sz="12" w:space="0"/>
                    <w:right w:val="single" w:color="auto" w:sz="12" w:space="0"/>
                  </w:tcBorders>
                  <w:vAlign w:val="center"/>
                </w:tcPr>
                <w:p w14:paraId="2314C463">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74%</w:t>
                  </w:r>
                </w:p>
              </w:tc>
              <w:tc>
                <w:tcPr>
                  <w:tcW w:w="192" w:type="pct"/>
                  <w:tcBorders>
                    <w:top w:val="single" w:color="auto" w:sz="12" w:space="0"/>
                    <w:left w:val="single" w:color="auto" w:sz="12" w:space="0"/>
                    <w:bottom w:val="single" w:color="auto" w:sz="12" w:space="0"/>
                    <w:right w:val="single" w:color="auto" w:sz="12" w:space="0"/>
                  </w:tcBorders>
                  <w:vAlign w:val="center"/>
                </w:tcPr>
                <w:p w14:paraId="6EBEDAF6">
                  <w:pPr>
                    <w:adjustRightInd w:val="0"/>
                    <w:snapToGrid w:val="0"/>
                    <w:jc w:val="center"/>
                    <w:rPr>
                      <w:color w:val="000000" w:themeColor="text1"/>
                      <w:sz w:val="15"/>
                      <w:szCs w:val="15"/>
                      <w14:textFill>
                        <w14:solidFill>
                          <w14:schemeClr w14:val="tx1"/>
                        </w14:solidFill>
                      </w14:textFill>
                    </w:rPr>
                  </w:pPr>
                  <w:r>
                    <w:rPr>
                      <w:color w:val="000000" w:themeColor="text1"/>
                      <w:sz w:val="15"/>
                      <w:szCs w:val="15"/>
                      <w14:textFill>
                        <w14:solidFill>
                          <w14:schemeClr w14:val="tx1"/>
                        </w14:solidFill>
                      </w14:textFill>
                    </w:rPr>
                    <w:t>路面清扫、洒水</w:t>
                  </w:r>
                </w:p>
              </w:tc>
              <w:tc>
                <w:tcPr>
                  <w:tcW w:w="175" w:type="pct"/>
                  <w:tcBorders>
                    <w:top w:val="single" w:color="auto" w:sz="12" w:space="0"/>
                    <w:left w:val="single" w:color="auto" w:sz="12" w:space="0"/>
                    <w:bottom w:val="single" w:color="auto" w:sz="12" w:space="0"/>
                    <w:right w:val="single" w:color="auto" w:sz="12" w:space="0"/>
                  </w:tcBorders>
                  <w:vAlign w:val="center"/>
                </w:tcPr>
                <w:p w14:paraId="2AE2F6C5">
                  <w:pPr>
                    <w:widowControl/>
                    <w:jc w:val="center"/>
                    <w:textAlignment w:val="center"/>
                    <w:rPr>
                      <w:color w:val="000000" w:themeColor="text1"/>
                      <w:kern w:val="0"/>
                      <w:sz w:val="15"/>
                      <w:szCs w:val="15"/>
                      <w:lang w:bidi="ar"/>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25" w:type="pct"/>
                  <w:tcBorders>
                    <w:top w:val="nil"/>
                    <w:left w:val="single" w:color="auto" w:sz="12" w:space="0"/>
                    <w:bottom w:val="single" w:color="000000" w:sz="12" w:space="0"/>
                    <w:right w:val="single" w:color="000000" w:sz="12" w:space="0"/>
                  </w:tcBorders>
                  <w:vAlign w:val="center"/>
                </w:tcPr>
                <w:p w14:paraId="6021B084">
                  <w:pPr>
                    <w:adjustRightInd w:val="0"/>
                    <w:snapToGrid w:val="0"/>
                    <w:jc w:val="center"/>
                    <w:rPr>
                      <w:color w:val="000000" w:themeColor="text1"/>
                      <w:sz w:val="15"/>
                      <w:szCs w:val="15"/>
                      <w14:textFill>
                        <w14:solidFill>
                          <w14:schemeClr w14:val="tx1"/>
                        </w14:solidFill>
                      </w14:textFill>
                    </w:rPr>
                  </w:pPr>
                  <w:r>
                    <w:rPr>
                      <w:color w:val="000000" w:themeColor="text1"/>
                      <w:sz w:val="15"/>
                      <w:szCs w:val="15"/>
                      <w14:textFill>
                        <w14:solidFill>
                          <w14:schemeClr w14:val="tx1"/>
                        </w14:solidFill>
                      </w14:textFill>
                    </w:rPr>
                    <w:t>0.</w:t>
                  </w:r>
                  <w:r>
                    <w:rPr>
                      <w:rFonts w:hint="eastAsia"/>
                      <w:color w:val="000000" w:themeColor="text1"/>
                      <w:sz w:val="15"/>
                      <w:szCs w:val="15"/>
                      <w14:textFill>
                        <w14:solidFill>
                          <w14:schemeClr w14:val="tx1"/>
                        </w14:solidFill>
                      </w14:textFill>
                    </w:rPr>
                    <w:t>805</w:t>
                  </w:r>
                  <w:r>
                    <w:rPr>
                      <w:color w:val="000000" w:themeColor="text1"/>
                      <w:sz w:val="15"/>
                      <w:szCs w:val="15"/>
                      <w14:textFill>
                        <w14:solidFill>
                          <w14:schemeClr w14:val="tx1"/>
                        </w14:solidFill>
                      </w14:textFill>
                    </w:rPr>
                    <w:t xml:space="preserve"> </w:t>
                  </w:r>
                </w:p>
              </w:tc>
              <w:tc>
                <w:tcPr>
                  <w:tcW w:w="238" w:type="pct"/>
                  <w:tcBorders>
                    <w:top w:val="nil"/>
                    <w:left w:val="single" w:color="000000" w:sz="12" w:space="0"/>
                    <w:bottom w:val="single" w:color="000000" w:sz="12" w:space="0"/>
                    <w:right w:val="single" w:color="000000" w:sz="12" w:space="0"/>
                  </w:tcBorders>
                  <w:vAlign w:val="center"/>
                </w:tcPr>
                <w:p w14:paraId="077DA6B3">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0.112</w:t>
                  </w:r>
                </w:p>
              </w:tc>
              <w:tc>
                <w:tcPr>
                  <w:tcW w:w="246" w:type="pct"/>
                  <w:tcBorders>
                    <w:top w:val="nil"/>
                    <w:left w:val="single" w:color="000000" w:sz="12" w:space="0"/>
                    <w:bottom w:val="single" w:color="000000" w:sz="12" w:space="0"/>
                    <w:right w:val="single" w:color="000000" w:sz="12" w:space="0"/>
                  </w:tcBorders>
                  <w:vAlign w:val="center"/>
                </w:tcPr>
                <w:p w14:paraId="7A70E655">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58414BC1">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5C041523">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30" w:type="pct"/>
                  <w:tcBorders>
                    <w:top w:val="single" w:color="000000" w:sz="12" w:space="0"/>
                    <w:left w:val="single" w:color="000000" w:sz="12" w:space="0"/>
                    <w:bottom w:val="single" w:color="000000" w:sz="12" w:space="0"/>
                    <w:right w:val="single" w:color="000000" w:sz="12" w:space="0"/>
                  </w:tcBorders>
                  <w:vAlign w:val="center"/>
                </w:tcPr>
                <w:p w14:paraId="23ABBA61">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129" w:type="pct"/>
                  <w:tcBorders>
                    <w:top w:val="single" w:color="000000" w:sz="12" w:space="0"/>
                    <w:left w:val="single" w:color="000000" w:sz="12" w:space="0"/>
                    <w:bottom w:val="single" w:color="000000" w:sz="12" w:space="0"/>
                    <w:right w:val="single" w:color="000000" w:sz="12" w:space="0"/>
                  </w:tcBorders>
                  <w:vAlign w:val="center"/>
                </w:tcPr>
                <w:p w14:paraId="0E19ECD7">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48" w:type="pct"/>
                  <w:tcBorders>
                    <w:top w:val="single" w:color="000000" w:sz="12" w:space="0"/>
                    <w:left w:val="single" w:color="000000" w:sz="12" w:space="0"/>
                    <w:bottom w:val="single" w:color="000000" w:sz="12" w:space="0"/>
                    <w:right w:val="single" w:color="000000" w:sz="12" w:space="0"/>
                  </w:tcBorders>
                  <w:vAlign w:val="center"/>
                </w:tcPr>
                <w:p w14:paraId="139FA02B">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320" w:type="pct"/>
                  <w:tcBorders>
                    <w:top w:val="single" w:color="000000" w:sz="12" w:space="0"/>
                    <w:left w:val="single" w:color="000000" w:sz="12" w:space="0"/>
                    <w:bottom w:val="single" w:color="000000" w:sz="12" w:space="0"/>
                    <w:right w:val="single" w:color="000000" w:sz="12" w:space="0"/>
                  </w:tcBorders>
                  <w:vAlign w:val="center"/>
                </w:tcPr>
                <w:p w14:paraId="6DD03D9A">
                  <w:pPr>
                    <w:widowControl/>
                    <w:jc w:val="center"/>
                    <w:textAlignment w:val="center"/>
                    <w:rPr>
                      <w:color w:val="000000" w:themeColor="text1"/>
                      <w:kern w:val="0"/>
                      <w:sz w:val="13"/>
                      <w:szCs w:val="13"/>
                      <w:lang w:bidi="ar"/>
                      <w14:textFill>
                        <w14:solidFill>
                          <w14:schemeClr w14:val="tx1"/>
                        </w14:solidFill>
                      </w14:textFill>
                    </w:rPr>
                  </w:pPr>
                  <w:r>
                    <w:rPr>
                      <w:rFonts w:hint="eastAsia"/>
                      <w:color w:val="000000" w:themeColor="text1"/>
                      <w:kern w:val="0"/>
                      <w:sz w:val="13"/>
                      <w:szCs w:val="13"/>
                      <w:lang w:bidi="ar"/>
                      <w14:textFill>
                        <w14:solidFill>
                          <w14:schemeClr w14:val="tx1"/>
                        </w14:solidFill>
                      </w14:textFill>
                    </w:rPr>
                    <w:t>0.5</w:t>
                  </w:r>
                </w:p>
              </w:tc>
              <w:tc>
                <w:tcPr>
                  <w:tcW w:w="284" w:type="pct"/>
                  <w:tcBorders>
                    <w:top w:val="single" w:color="000000" w:sz="12" w:space="0"/>
                    <w:left w:val="single" w:color="000000" w:sz="12" w:space="0"/>
                    <w:bottom w:val="single" w:color="000000" w:sz="12" w:space="0"/>
                    <w:right w:val="single" w:color="000000" w:sz="12" w:space="0"/>
                  </w:tcBorders>
                  <w:vAlign w:val="center"/>
                </w:tcPr>
                <w:p w14:paraId="68D82EAF">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40" w:type="pct"/>
                  <w:tcBorders>
                    <w:top w:val="single" w:color="000000" w:sz="12" w:space="0"/>
                    <w:left w:val="nil"/>
                    <w:bottom w:val="single" w:color="000000" w:sz="12" w:space="0"/>
                    <w:right w:val="single" w:color="000000" w:sz="12" w:space="0"/>
                  </w:tcBorders>
                  <w:vAlign w:val="center"/>
                </w:tcPr>
                <w:p w14:paraId="4883E596">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r>
            <w:tr w14:paraId="6AA64CAC">
              <w:tblPrEx>
                <w:tblCellMar>
                  <w:top w:w="0" w:type="dxa"/>
                  <w:left w:w="108" w:type="dxa"/>
                  <w:bottom w:w="0" w:type="dxa"/>
                  <w:right w:w="108" w:type="dxa"/>
                </w:tblCellMar>
              </w:tblPrEx>
              <w:trPr>
                <w:trHeight w:val="318" w:hRule="atLeast"/>
              </w:trPr>
              <w:tc>
                <w:tcPr>
                  <w:tcW w:w="201" w:type="pct"/>
                  <w:tcBorders>
                    <w:top w:val="nil"/>
                    <w:left w:val="single" w:color="000000" w:sz="12" w:space="0"/>
                    <w:bottom w:val="single" w:color="000000" w:sz="12" w:space="0"/>
                    <w:right w:val="single" w:color="000000" w:sz="12" w:space="0"/>
                  </w:tcBorders>
                  <w:vAlign w:val="center"/>
                </w:tcPr>
                <w:p w14:paraId="608279FD">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传送带输送粉尘</w:t>
                  </w:r>
                </w:p>
              </w:tc>
              <w:tc>
                <w:tcPr>
                  <w:tcW w:w="136" w:type="pct"/>
                  <w:tcBorders>
                    <w:top w:val="nil"/>
                    <w:left w:val="single" w:color="000000" w:sz="12" w:space="0"/>
                    <w:bottom w:val="single" w:color="000000" w:sz="12" w:space="0"/>
                    <w:right w:val="single" w:color="000000" w:sz="12" w:space="0"/>
                  </w:tcBorders>
                  <w:vAlign w:val="center"/>
                </w:tcPr>
                <w:p w14:paraId="088EC6EA">
                  <w:pPr>
                    <w:widowControl/>
                    <w:jc w:val="center"/>
                    <w:textAlignment w:val="center"/>
                    <w:rPr>
                      <w:rFonts w:hint="eastAsia" w:ascii="宋体" w:hAnsi="宋体" w:cs="宋体"/>
                      <w:color w:val="000000" w:themeColor="text1"/>
                      <w:kern w:val="0"/>
                      <w:sz w:val="15"/>
                      <w:szCs w:val="15"/>
                      <w:lang w:bidi="ar"/>
                      <w14:textFill>
                        <w14:solidFill>
                          <w14:schemeClr w14:val="tx1"/>
                        </w14:solidFill>
                      </w14:textFill>
                    </w:rPr>
                  </w:pPr>
                  <w:r>
                    <w:rPr>
                      <w:rFonts w:hint="eastAsia" w:ascii="宋体" w:hAnsi="宋体" w:cs="宋体"/>
                      <w:color w:val="000000" w:themeColor="text1"/>
                      <w:kern w:val="0"/>
                      <w:sz w:val="15"/>
                      <w:szCs w:val="15"/>
                      <w:lang w:bidi="ar"/>
                      <w14:textFill>
                        <w14:solidFill>
                          <w14:schemeClr w14:val="tx1"/>
                        </w14:solidFill>
                      </w14:textFill>
                    </w:rPr>
                    <w:t>颗粒物</w:t>
                  </w:r>
                </w:p>
              </w:tc>
              <w:tc>
                <w:tcPr>
                  <w:tcW w:w="136" w:type="pct"/>
                  <w:vMerge w:val="continue"/>
                  <w:tcBorders>
                    <w:left w:val="single" w:color="000000" w:sz="12" w:space="0"/>
                    <w:right w:val="single" w:color="000000" w:sz="12" w:space="0"/>
                  </w:tcBorders>
                  <w:vAlign w:val="center"/>
                </w:tcPr>
                <w:p w14:paraId="6871B6FA">
                  <w:pPr>
                    <w:jc w:val="center"/>
                    <w:rPr>
                      <w:rFonts w:hint="eastAsia" w:ascii="宋体" w:hAnsi="宋体" w:cs="宋体"/>
                      <w:color w:val="000000" w:themeColor="text1"/>
                      <w:sz w:val="15"/>
                      <w:szCs w:val="15"/>
                      <w14:textFill>
                        <w14:solidFill>
                          <w14:schemeClr w14:val="tx1"/>
                        </w14:solidFill>
                      </w14:textFill>
                    </w:rPr>
                  </w:pPr>
                </w:p>
              </w:tc>
              <w:tc>
                <w:tcPr>
                  <w:tcW w:w="280" w:type="pct"/>
                  <w:tcBorders>
                    <w:top w:val="nil"/>
                    <w:left w:val="single" w:color="000000" w:sz="12" w:space="0"/>
                    <w:bottom w:val="single" w:color="000000" w:sz="12" w:space="0"/>
                    <w:right w:val="single" w:color="000000" w:sz="12" w:space="0"/>
                  </w:tcBorders>
                  <w:vAlign w:val="center"/>
                </w:tcPr>
                <w:p w14:paraId="6D8588F5">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1.862</w:t>
                  </w:r>
                </w:p>
              </w:tc>
              <w:tc>
                <w:tcPr>
                  <w:tcW w:w="280" w:type="pct"/>
                  <w:tcBorders>
                    <w:top w:val="nil"/>
                    <w:left w:val="single" w:color="000000" w:sz="12" w:space="0"/>
                    <w:bottom w:val="single" w:color="000000" w:sz="12" w:space="0"/>
                    <w:right w:val="single" w:color="000000" w:sz="12" w:space="0"/>
                  </w:tcBorders>
                  <w:vAlign w:val="center"/>
                </w:tcPr>
                <w:p w14:paraId="36E40DAD">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0.259</w:t>
                  </w:r>
                </w:p>
              </w:tc>
              <w:tc>
                <w:tcPr>
                  <w:tcW w:w="246" w:type="pct"/>
                  <w:tcBorders>
                    <w:top w:val="nil"/>
                    <w:left w:val="single" w:color="000000" w:sz="12" w:space="0"/>
                    <w:bottom w:val="single" w:color="000000" w:sz="12" w:space="0"/>
                    <w:right w:val="single" w:color="000000" w:sz="12" w:space="0"/>
                  </w:tcBorders>
                  <w:vAlign w:val="center"/>
                </w:tcPr>
                <w:p w14:paraId="65ED6443">
                  <w:pPr>
                    <w:widowControl/>
                    <w:jc w:val="center"/>
                    <w:textAlignment w:val="center"/>
                    <w:rPr>
                      <w:color w:val="000000" w:themeColor="text1"/>
                      <w:kern w:val="0"/>
                      <w:sz w:val="15"/>
                      <w:szCs w:val="15"/>
                      <w:lang w:bidi="ar"/>
                      <w14:textFill>
                        <w14:solidFill>
                          <w14:schemeClr w14:val="tx1"/>
                        </w14:solidFill>
                      </w14:textFill>
                    </w:rPr>
                  </w:pPr>
                  <w:r>
                    <w:rPr>
                      <w:rFonts w:hint="eastAsia"/>
                      <w:color w:val="000000" w:themeColor="text1"/>
                      <w:kern w:val="0"/>
                      <w:sz w:val="15"/>
                      <w:szCs w:val="15"/>
                      <w:lang w:bidi="ar"/>
                      <w14:textFill>
                        <w14:solidFill>
                          <w14:schemeClr w14:val="tx1"/>
                        </w14:solidFill>
                      </w14:textFill>
                    </w:rPr>
                    <w:t>/</w:t>
                  </w:r>
                </w:p>
              </w:tc>
              <w:tc>
                <w:tcPr>
                  <w:tcW w:w="297" w:type="pct"/>
                  <w:tcBorders>
                    <w:top w:val="nil"/>
                    <w:left w:val="single" w:color="000000" w:sz="12" w:space="0"/>
                    <w:bottom w:val="single" w:color="000000" w:sz="12" w:space="0"/>
                    <w:right w:val="single" w:color="000000" w:sz="12" w:space="0"/>
                  </w:tcBorders>
                  <w:vAlign w:val="center"/>
                </w:tcPr>
                <w:p w14:paraId="5F2C43F1">
                  <w:pPr>
                    <w:widowControl/>
                    <w:jc w:val="center"/>
                    <w:textAlignment w:val="center"/>
                    <w:rPr>
                      <w:color w:val="000000" w:themeColor="text1"/>
                      <w:kern w:val="0"/>
                      <w:sz w:val="15"/>
                      <w:szCs w:val="15"/>
                      <w:lang w:bidi="ar"/>
                      <w14:textFill>
                        <w14:solidFill>
                          <w14:schemeClr w14:val="tx1"/>
                        </w14:solidFill>
                      </w14:textFill>
                    </w:rPr>
                  </w:pPr>
                  <w:r>
                    <w:rPr>
                      <w:rFonts w:hint="eastAsia"/>
                      <w:color w:val="000000" w:themeColor="text1"/>
                      <w:kern w:val="0"/>
                      <w:sz w:val="15"/>
                      <w:szCs w:val="15"/>
                      <w:lang w:bidi="ar"/>
                      <w14:textFill>
                        <w14:solidFill>
                          <w14:schemeClr w14:val="tx1"/>
                        </w14:solidFill>
                      </w14:textFill>
                    </w:rPr>
                    <w:t>/</w:t>
                  </w:r>
                </w:p>
              </w:tc>
              <w:tc>
                <w:tcPr>
                  <w:tcW w:w="210" w:type="pct"/>
                  <w:tcBorders>
                    <w:top w:val="nil"/>
                    <w:left w:val="single" w:color="000000" w:sz="12" w:space="0"/>
                    <w:bottom w:val="single" w:color="000000" w:sz="12" w:space="0"/>
                    <w:right w:val="single" w:color="auto" w:sz="12" w:space="0"/>
                  </w:tcBorders>
                  <w:vAlign w:val="center"/>
                </w:tcPr>
                <w:p w14:paraId="40375A14">
                  <w:pPr>
                    <w:widowControl/>
                    <w:jc w:val="center"/>
                    <w:textAlignment w:val="center"/>
                    <w:rPr>
                      <w:color w:val="000000" w:themeColor="text1"/>
                      <w:kern w:val="0"/>
                      <w:sz w:val="15"/>
                      <w:szCs w:val="15"/>
                      <w:lang w:bidi="ar"/>
                      <w14:textFill>
                        <w14:solidFill>
                          <w14:schemeClr w14:val="tx1"/>
                        </w14:solidFill>
                      </w14:textFill>
                    </w:rPr>
                  </w:pPr>
                  <w:r>
                    <w:rPr>
                      <w:rFonts w:hint="eastAsia"/>
                      <w:color w:val="000000" w:themeColor="text1"/>
                      <w:kern w:val="0"/>
                      <w:sz w:val="15"/>
                      <w:szCs w:val="15"/>
                      <w:lang w:bidi="ar"/>
                      <w14:textFill>
                        <w14:solidFill>
                          <w14:schemeClr w14:val="tx1"/>
                        </w14:solidFill>
                      </w14:textFill>
                    </w:rPr>
                    <w:t>/</w:t>
                  </w:r>
                </w:p>
              </w:tc>
              <w:tc>
                <w:tcPr>
                  <w:tcW w:w="252" w:type="pct"/>
                  <w:tcBorders>
                    <w:top w:val="single" w:color="auto" w:sz="12" w:space="0"/>
                    <w:left w:val="single" w:color="auto" w:sz="12" w:space="0"/>
                    <w:bottom w:val="single" w:color="auto" w:sz="12" w:space="0"/>
                    <w:right w:val="single" w:color="auto" w:sz="12" w:space="0"/>
                  </w:tcBorders>
                  <w:vAlign w:val="center"/>
                </w:tcPr>
                <w:p w14:paraId="26878FD4">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60%</w:t>
                  </w:r>
                </w:p>
              </w:tc>
              <w:tc>
                <w:tcPr>
                  <w:tcW w:w="192" w:type="pct"/>
                  <w:tcBorders>
                    <w:top w:val="single" w:color="auto" w:sz="12" w:space="0"/>
                    <w:left w:val="single" w:color="auto" w:sz="12" w:space="0"/>
                    <w:bottom w:val="single" w:color="auto" w:sz="12" w:space="0"/>
                    <w:right w:val="single" w:color="auto" w:sz="12" w:space="0"/>
                  </w:tcBorders>
                  <w:vAlign w:val="center"/>
                </w:tcPr>
                <w:p w14:paraId="39A57455">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密闭传送+墙壁围挡</w:t>
                  </w:r>
                </w:p>
              </w:tc>
              <w:tc>
                <w:tcPr>
                  <w:tcW w:w="175" w:type="pct"/>
                  <w:tcBorders>
                    <w:top w:val="single" w:color="auto" w:sz="12" w:space="0"/>
                    <w:left w:val="single" w:color="auto" w:sz="12" w:space="0"/>
                    <w:bottom w:val="single" w:color="auto" w:sz="12" w:space="0"/>
                    <w:right w:val="single" w:color="auto" w:sz="12" w:space="0"/>
                  </w:tcBorders>
                  <w:vAlign w:val="center"/>
                </w:tcPr>
                <w:p w14:paraId="1B6CC330">
                  <w:pPr>
                    <w:widowControl/>
                    <w:jc w:val="center"/>
                    <w:textAlignment w:val="center"/>
                    <w:rPr>
                      <w:color w:val="000000" w:themeColor="text1"/>
                      <w:kern w:val="0"/>
                      <w:sz w:val="15"/>
                      <w:szCs w:val="15"/>
                      <w:lang w:bidi="ar"/>
                      <w14:textFill>
                        <w14:solidFill>
                          <w14:schemeClr w14:val="tx1"/>
                        </w14:solidFill>
                      </w14:textFill>
                    </w:rPr>
                  </w:pPr>
                  <w:r>
                    <w:rPr>
                      <w:rFonts w:hint="eastAsia"/>
                      <w:color w:val="000000" w:themeColor="text1"/>
                      <w:kern w:val="0"/>
                      <w:sz w:val="15"/>
                      <w:szCs w:val="15"/>
                      <w:lang w:bidi="ar"/>
                      <w14:textFill>
                        <w14:solidFill>
                          <w14:schemeClr w14:val="tx1"/>
                        </w14:solidFill>
                      </w14:textFill>
                    </w:rPr>
                    <w:t>/</w:t>
                  </w:r>
                </w:p>
              </w:tc>
              <w:tc>
                <w:tcPr>
                  <w:tcW w:w="225" w:type="pct"/>
                  <w:tcBorders>
                    <w:top w:val="nil"/>
                    <w:left w:val="single" w:color="auto" w:sz="12" w:space="0"/>
                    <w:bottom w:val="single" w:color="000000" w:sz="12" w:space="0"/>
                    <w:right w:val="single" w:color="000000" w:sz="12" w:space="0"/>
                  </w:tcBorders>
                  <w:vAlign w:val="center"/>
                </w:tcPr>
                <w:p w14:paraId="3688C7E7">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0.484</w:t>
                  </w:r>
                </w:p>
              </w:tc>
              <w:tc>
                <w:tcPr>
                  <w:tcW w:w="238" w:type="pct"/>
                  <w:tcBorders>
                    <w:top w:val="nil"/>
                    <w:left w:val="single" w:color="000000" w:sz="12" w:space="0"/>
                    <w:bottom w:val="single" w:color="000000" w:sz="12" w:space="0"/>
                    <w:right w:val="single" w:color="000000" w:sz="12" w:space="0"/>
                  </w:tcBorders>
                  <w:vAlign w:val="center"/>
                </w:tcPr>
                <w:p w14:paraId="3869BCFD">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0.067</w:t>
                  </w:r>
                </w:p>
              </w:tc>
              <w:tc>
                <w:tcPr>
                  <w:tcW w:w="246" w:type="pct"/>
                  <w:tcBorders>
                    <w:top w:val="nil"/>
                    <w:left w:val="single" w:color="000000" w:sz="12" w:space="0"/>
                    <w:bottom w:val="single" w:color="000000" w:sz="12" w:space="0"/>
                    <w:right w:val="single" w:color="000000" w:sz="12" w:space="0"/>
                  </w:tcBorders>
                  <w:vAlign w:val="center"/>
                </w:tcPr>
                <w:p w14:paraId="4B84081B">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2337D79D">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305779C7">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30" w:type="pct"/>
                  <w:tcBorders>
                    <w:top w:val="single" w:color="000000" w:sz="12" w:space="0"/>
                    <w:left w:val="single" w:color="000000" w:sz="12" w:space="0"/>
                    <w:bottom w:val="single" w:color="000000" w:sz="12" w:space="0"/>
                    <w:right w:val="single" w:color="000000" w:sz="12" w:space="0"/>
                  </w:tcBorders>
                  <w:vAlign w:val="center"/>
                </w:tcPr>
                <w:p w14:paraId="26E795AB">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129" w:type="pct"/>
                  <w:tcBorders>
                    <w:top w:val="single" w:color="000000" w:sz="12" w:space="0"/>
                    <w:left w:val="single" w:color="000000" w:sz="12" w:space="0"/>
                    <w:bottom w:val="single" w:color="000000" w:sz="12" w:space="0"/>
                    <w:right w:val="single" w:color="000000" w:sz="12" w:space="0"/>
                  </w:tcBorders>
                  <w:vAlign w:val="center"/>
                </w:tcPr>
                <w:p w14:paraId="1D659AD0">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48" w:type="pct"/>
                  <w:tcBorders>
                    <w:top w:val="single" w:color="000000" w:sz="12" w:space="0"/>
                    <w:left w:val="single" w:color="000000" w:sz="12" w:space="0"/>
                    <w:bottom w:val="single" w:color="000000" w:sz="12" w:space="0"/>
                    <w:right w:val="single" w:color="000000" w:sz="12" w:space="0"/>
                  </w:tcBorders>
                  <w:vAlign w:val="center"/>
                </w:tcPr>
                <w:p w14:paraId="5DF0E14C">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320" w:type="pct"/>
                  <w:tcBorders>
                    <w:top w:val="single" w:color="000000" w:sz="12" w:space="0"/>
                    <w:left w:val="single" w:color="000000" w:sz="12" w:space="0"/>
                    <w:bottom w:val="single" w:color="000000" w:sz="12" w:space="0"/>
                    <w:right w:val="single" w:color="000000" w:sz="12" w:space="0"/>
                  </w:tcBorders>
                  <w:vAlign w:val="center"/>
                </w:tcPr>
                <w:p w14:paraId="7D00023D">
                  <w:pPr>
                    <w:widowControl/>
                    <w:jc w:val="center"/>
                    <w:textAlignment w:val="center"/>
                    <w:rPr>
                      <w:color w:val="000000" w:themeColor="text1"/>
                      <w:kern w:val="0"/>
                      <w:sz w:val="13"/>
                      <w:szCs w:val="13"/>
                      <w:lang w:bidi="ar"/>
                      <w14:textFill>
                        <w14:solidFill>
                          <w14:schemeClr w14:val="tx1"/>
                        </w14:solidFill>
                      </w14:textFill>
                    </w:rPr>
                  </w:pPr>
                  <w:r>
                    <w:rPr>
                      <w:rFonts w:hint="eastAsia"/>
                      <w:color w:val="000000" w:themeColor="text1"/>
                      <w:kern w:val="0"/>
                      <w:sz w:val="13"/>
                      <w:szCs w:val="13"/>
                      <w:lang w:bidi="ar"/>
                      <w14:textFill>
                        <w14:solidFill>
                          <w14:schemeClr w14:val="tx1"/>
                        </w14:solidFill>
                      </w14:textFill>
                    </w:rPr>
                    <w:t>0.5</w:t>
                  </w:r>
                </w:p>
              </w:tc>
              <w:tc>
                <w:tcPr>
                  <w:tcW w:w="284" w:type="pct"/>
                  <w:tcBorders>
                    <w:top w:val="single" w:color="000000" w:sz="12" w:space="0"/>
                    <w:left w:val="single" w:color="000000" w:sz="12" w:space="0"/>
                    <w:bottom w:val="single" w:color="000000" w:sz="12" w:space="0"/>
                    <w:right w:val="single" w:color="000000" w:sz="12" w:space="0"/>
                  </w:tcBorders>
                  <w:vAlign w:val="center"/>
                </w:tcPr>
                <w:p w14:paraId="0462D201">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40" w:type="pct"/>
                  <w:tcBorders>
                    <w:top w:val="single" w:color="000000" w:sz="12" w:space="0"/>
                    <w:left w:val="nil"/>
                    <w:bottom w:val="single" w:color="000000" w:sz="12" w:space="0"/>
                    <w:right w:val="single" w:color="000000" w:sz="12" w:space="0"/>
                  </w:tcBorders>
                  <w:vAlign w:val="center"/>
                </w:tcPr>
                <w:p w14:paraId="5E1F1CF2">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r>
            <w:tr w14:paraId="51CEF24B">
              <w:tblPrEx>
                <w:tblCellMar>
                  <w:top w:w="0" w:type="dxa"/>
                  <w:left w:w="108" w:type="dxa"/>
                  <w:bottom w:w="0" w:type="dxa"/>
                  <w:right w:w="108" w:type="dxa"/>
                </w:tblCellMar>
              </w:tblPrEx>
              <w:trPr>
                <w:trHeight w:val="318" w:hRule="atLeast"/>
              </w:trPr>
              <w:tc>
                <w:tcPr>
                  <w:tcW w:w="201" w:type="pct"/>
                  <w:tcBorders>
                    <w:top w:val="nil"/>
                    <w:left w:val="single" w:color="000000" w:sz="12" w:space="0"/>
                    <w:bottom w:val="single" w:color="000000" w:sz="12" w:space="0"/>
                    <w:right w:val="single" w:color="000000" w:sz="12" w:space="0"/>
                  </w:tcBorders>
                  <w:vAlign w:val="center"/>
                </w:tcPr>
                <w:p w14:paraId="08D85DBF">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搅拌粉尘</w:t>
                  </w:r>
                </w:p>
              </w:tc>
              <w:tc>
                <w:tcPr>
                  <w:tcW w:w="136" w:type="pct"/>
                  <w:tcBorders>
                    <w:top w:val="nil"/>
                    <w:left w:val="single" w:color="000000" w:sz="12" w:space="0"/>
                    <w:bottom w:val="single" w:color="000000" w:sz="12" w:space="0"/>
                    <w:right w:val="single" w:color="000000" w:sz="12" w:space="0"/>
                  </w:tcBorders>
                  <w:vAlign w:val="center"/>
                </w:tcPr>
                <w:p w14:paraId="6F911424">
                  <w:pPr>
                    <w:widowControl/>
                    <w:jc w:val="center"/>
                    <w:textAlignment w:val="center"/>
                    <w:rPr>
                      <w:rFonts w:hint="eastAsia" w:ascii="宋体" w:hAnsi="宋体" w:cs="宋体"/>
                      <w:color w:val="000000" w:themeColor="text1"/>
                      <w:kern w:val="0"/>
                      <w:sz w:val="15"/>
                      <w:szCs w:val="15"/>
                      <w:lang w:bidi="ar"/>
                      <w14:textFill>
                        <w14:solidFill>
                          <w14:schemeClr w14:val="tx1"/>
                        </w14:solidFill>
                      </w14:textFill>
                    </w:rPr>
                  </w:pPr>
                  <w:r>
                    <w:rPr>
                      <w:rFonts w:hint="eastAsia" w:ascii="宋体" w:hAnsi="宋体" w:cs="宋体"/>
                      <w:color w:val="000000" w:themeColor="text1"/>
                      <w:kern w:val="0"/>
                      <w:sz w:val="15"/>
                      <w:szCs w:val="15"/>
                      <w:lang w:bidi="ar"/>
                      <w14:textFill>
                        <w14:solidFill>
                          <w14:schemeClr w14:val="tx1"/>
                        </w14:solidFill>
                      </w14:textFill>
                    </w:rPr>
                    <w:t>颗粒物</w:t>
                  </w:r>
                </w:p>
              </w:tc>
              <w:tc>
                <w:tcPr>
                  <w:tcW w:w="136" w:type="pct"/>
                  <w:vMerge w:val="continue"/>
                  <w:tcBorders>
                    <w:left w:val="single" w:color="000000" w:sz="12" w:space="0"/>
                    <w:right w:val="single" w:color="000000" w:sz="12" w:space="0"/>
                  </w:tcBorders>
                  <w:vAlign w:val="center"/>
                </w:tcPr>
                <w:p w14:paraId="2BBEAC47">
                  <w:pPr>
                    <w:jc w:val="center"/>
                    <w:rPr>
                      <w:rFonts w:hint="eastAsia" w:ascii="宋体" w:hAnsi="宋体" w:cs="宋体"/>
                      <w:color w:val="000000" w:themeColor="text1"/>
                      <w:sz w:val="15"/>
                      <w:szCs w:val="15"/>
                      <w14:textFill>
                        <w14:solidFill>
                          <w14:schemeClr w14:val="tx1"/>
                        </w14:solidFill>
                      </w14:textFill>
                    </w:rPr>
                  </w:pPr>
                </w:p>
              </w:tc>
              <w:tc>
                <w:tcPr>
                  <w:tcW w:w="280" w:type="pct"/>
                  <w:tcBorders>
                    <w:top w:val="nil"/>
                    <w:left w:val="single" w:color="000000" w:sz="12" w:space="0"/>
                    <w:bottom w:val="single" w:color="000000" w:sz="12" w:space="0"/>
                    <w:right w:val="single" w:color="000000" w:sz="12" w:space="0"/>
                  </w:tcBorders>
                  <w:vAlign w:val="center"/>
                </w:tcPr>
                <w:p w14:paraId="4CE3FBBB">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130</w:t>
                  </w:r>
                </w:p>
              </w:tc>
              <w:tc>
                <w:tcPr>
                  <w:tcW w:w="280" w:type="pct"/>
                  <w:tcBorders>
                    <w:top w:val="nil"/>
                    <w:left w:val="single" w:color="000000" w:sz="12" w:space="0"/>
                    <w:bottom w:val="single" w:color="000000" w:sz="12" w:space="0"/>
                    <w:right w:val="single" w:color="000000" w:sz="12" w:space="0"/>
                  </w:tcBorders>
                  <w:vAlign w:val="center"/>
                </w:tcPr>
                <w:p w14:paraId="613D09E7">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18.056</w:t>
                  </w:r>
                </w:p>
              </w:tc>
              <w:tc>
                <w:tcPr>
                  <w:tcW w:w="246" w:type="pct"/>
                  <w:tcBorders>
                    <w:top w:val="nil"/>
                    <w:left w:val="single" w:color="000000" w:sz="12" w:space="0"/>
                    <w:bottom w:val="single" w:color="000000" w:sz="12" w:space="0"/>
                    <w:right w:val="single" w:color="000000" w:sz="12" w:space="0"/>
                  </w:tcBorders>
                  <w:vAlign w:val="center"/>
                </w:tcPr>
                <w:p w14:paraId="7DB1BC01">
                  <w:pPr>
                    <w:widowControl/>
                    <w:jc w:val="center"/>
                    <w:textAlignment w:val="center"/>
                    <w:rPr>
                      <w:color w:val="000000" w:themeColor="text1"/>
                      <w:kern w:val="0"/>
                      <w:sz w:val="15"/>
                      <w:szCs w:val="15"/>
                      <w:lang w:bidi="ar"/>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97" w:type="pct"/>
                  <w:tcBorders>
                    <w:top w:val="nil"/>
                    <w:left w:val="single" w:color="000000" w:sz="12" w:space="0"/>
                    <w:bottom w:val="single" w:color="000000" w:sz="12" w:space="0"/>
                    <w:right w:val="single" w:color="000000" w:sz="12" w:space="0"/>
                  </w:tcBorders>
                  <w:vAlign w:val="center"/>
                </w:tcPr>
                <w:p w14:paraId="26867172">
                  <w:pPr>
                    <w:widowControl/>
                    <w:jc w:val="center"/>
                    <w:textAlignment w:val="center"/>
                    <w:rPr>
                      <w:color w:val="000000" w:themeColor="text1"/>
                      <w:kern w:val="0"/>
                      <w:sz w:val="15"/>
                      <w:szCs w:val="15"/>
                      <w:lang w:bidi="ar"/>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10" w:type="pct"/>
                  <w:tcBorders>
                    <w:top w:val="nil"/>
                    <w:left w:val="single" w:color="000000" w:sz="12" w:space="0"/>
                    <w:bottom w:val="single" w:color="000000" w:sz="12" w:space="0"/>
                    <w:right w:val="single" w:color="auto" w:sz="12" w:space="0"/>
                  </w:tcBorders>
                  <w:vAlign w:val="center"/>
                </w:tcPr>
                <w:p w14:paraId="0EBAD84A">
                  <w:pPr>
                    <w:widowControl/>
                    <w:jc w:val="center"/>
                    <w:textAlignment w:val="center"/>
                    <w:rPr>
                      <w:color w:val="000000" w:themeColor="text1"/>
                      <w:kern w:val="0"/>
                      <w:sz w:val="15"/>
                      <w:szCs w:val="15"/>
                      <w:lang w:bidi="ar"/>
                      <w14:textFill>
                        <w14:solidFill>
                          <w14:schemeClr w14:val="tx1"/>
                        </w14:solidFill>
                      </w14:textFill>
                    </w:rPr>
                  </w:pPr>
                  <w:r>
                    <w:rPr>
                      <w:rFonts w:hint="eastAsia"/>
                      <w:color w:val="000000" w:themeColor="text1"/>
                      <w:kern w:val="0"/>
                      <w:sz w:val="15"/>
                      <w:szCs w:val="15"/>
                      <w:lang w:bidi="ar"/>
                      <w14:textFill>
                        <w14:solidFill>
                          <w14:schemeClr w14:val="tx1"/>
                        </w14:solidFill>
                      </w14:textFill>
                    </w:rPr>
                    <w:t>/</w:t>
                  </w:r>
                </w:p>
              </w:tc>
              <w:tc>
                <w:tcPr>
                  <w:tcW w:w="252" w:type="pct"/>
                  <w:tcBorders>
                    <w:top w:val="single" w:color="auto" w:sz="12" w:space="0"/>
                    <w:left w:val="single" w:color="auto" w:sz="12" w:space="0"/>
                    <w:bottom w:val="single" w:color="auto" w:sz="12" w:space="0"/>
                    <w:right w:val="single" w:color="auto" w:sz="12" w:space="0"/>
                  </w:tcBorders>
                  <w:vAlign w:val="center"/>
                </w:tcPr>
                <w:p w14:paraId="3108595D">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99.74%</w:t>
                  </w:r>
                </w:p>
              </w:tc>
              <w:tc>
                <w:tcPr>
                  <w:tcW w:w="192" w:type="pct"/>
                  <w:tcBorders>
                    <w:top w:val="single" w:color="auto" w:sz="12" w:space="0"/>
                    <w:left w:val="single" w:color="auto" w:sz="12" w:space="0"/>
                    <w:bottom w:val="single" w:color="auto" w:sz="12" w:space="0"/>
                    <w:right w:val="single" w:color="auto" w:sz="12" w:space="0"/>
                  </w:tcBorders>
                  <w:vAlign w:val="center"/>
                </w:tcPr>
                <w:p w14:paraId="28590D64">
                  <w:pPr>
                    <w:adjustRightInd w:val="0"/>
                    <w:snapToGrid w:val="0"/>
                    <w:jc w:val="center"/>
                    <w:rPr>
                      <w:color w:val="000000" w:themeColor="text1"/>
                      <w:sz w:val="15"/>
                      <w:szCs w:val="15"/>
                      <w14:textFill>
                        <w14:solidFill>
                          <w14:schemeClr w14:val="tx1"/>
                        </w14:solidFill>
                      </w14:textFill>
                    </w:rPr>
                  </w:pPr>
                  <w:r>
                    <w:rPr>
                      <w:color w:val="000000" w:themeColor="text1"/>
                      <w:sz w:val="15"/>
                      <w:szCs w:val="15"/>
                      <w:lang w:bidi="ar"/>
                      <w14:textFill>
                        <w14:solidFill>
                          <w14:schemeClr w14:val="tx1"/>
                        </w14:solidFill>
                      </w14:textFill>
                    </w:rPr>
                    <w:t>密闭车间+喷雾除尘</w:t>
                  </w:r>
                </w:p>
              </w:tc>
              <w:tc>
                <w:tcPr>
                  <w:tcW w:w="175" w:type="pct"/>
                  <w:tcBorders>
                    <w:top w:val="single" w:color="auto" w:sz="12" w:space="0"/>
                    <w:left w:val="single" w:color="auto" w:sz="12" w:space="0"/>
                    <w:bottom w:val="single" w:color="auto" w:sz="12" w:space="0"/>
                    <w:right w:val="single" w:color="auto" w:sz="12" w:space="0"/>
                  </w:tcBorders>
                  <w:vAlign w:val="center"/>
                </w:tcPr>
                <w:p w14:paraId="7B638F8A">
                  <w:pPr>
                    <w:widowControl/>
                    <w:jc w:val="center"/>
                    <w:textAlignment w:val="center"/>
                    <w:rPr>
                      <w:color w:val="000000" w:themeColor="text1"/>
                      <w:kern w:val="0"/>
                      <w:sz w:val="15"/>
                      <w:szCs w:val="15"/>
                      <w:lang w:bidi="ar"/>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25" w:type="pct"/>
                  <w:tcBorders>
                    <w:top w:val="nil"/>
                    <w:left w:val="single" w:color="auto" w:sz="12" w:space="0"/>
                    <w:bottom w:val="single" w:color="000000" w:sz="12" w:space="0"/>
                    <w:right w:val="single" w:color="000000" w:sz="12" w:space="0"/>
                  </w:tcBorders>
                  <w:vAlign w:val="center"/>
                </w:tcPr>
                <w:p w14:paraId="358695A6">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0.338</w:t>
                  </w:r>
                </w:p>
              </w:tc>
              <w:tc>
                <w:tcPr>
                  <w:tcW w:w="238" w:type="pct"/>
                  <w:tcBorders>
                    <w:top w:val="nil"/>
                    <w:left w:val="single" w:color="000000" w:sz="12" w:space="0"/>
                    <w:bottom w:val="single" w:color="000000" w:sz="12" w:space="0"/>
                    <w:right w:val="single" w:color="000000" w:sz="12" w:space="0"/>
                  </w:tcBorders>
                  <w:vAlign w:val="center"/>
                </w:tcPr>
                <w:p w14:paraId="0727C62B">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0.047</w:t>
                  </w:r>
                </w:p>
              </w:tc>
              <w:tc>
                <w:tcPr>
                  <w:tcW w:w="246" w:type="pct"/>
                  <w:tcBorders>
                    <w:top w:val="nil"/>
                    <w:left w:val="single" w:color="000000" w:sz="12" w:space="0"/>
                    <w:bottom w:val="single" w:color="000000" w:sz="12" w:space="0"/>
                    <w:right w:val="single" w:color="000000" w:sz="12" w:space="0"/>
                  </w:tcBorders>
                  <w:vAlign w:val="center"/>
                </w:tcPr>
                <w:p w14:paraId="1BEA1054">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7D811C89">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5D30B28C">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30" w:type="pct"/>
                  <w:tcBorders>
                    <w:top w:val="single" w:color="000000" w:sz="12" w:space="0"/>
                    <w:left w:val="single" w:color="000000" w:sz="12" w:space="0"/>
                    <w:bottom w:val="single" w:color="000000" w:sz="12" w:space="0"/>
                    <w:right w:val="single" w:color="000000" w:sz="12" w:space="0"/>
                  </w:tcBorders>
                  <w:vAlign w:val="center"/>
                </w:tcPr>
                <w:p w14:paraId="303E8B96">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129" w:type="pct"/>
                  <w:tcBorders>
                    <w:top w:val="single" w:color="000000" w:sz="12" w:space="0"/>
                    <w:left w:val="single" w:color="000000" w:sz="12" w:space="0"/>
                    <w:bottom w:val="single" w:color="000000" w:sz="12" w:space="0"/>
                    <w:right w:val="single" w:color="000000" w:sz="12" w:space="0"/>
                  </w:tcBorders>
                  <w:vAlign w:val="center"/>
                </w:tcPr>
                <w:p w14:paraId="6A7DD474">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48" w:type="pct"/>
                  <w:tcBorders>
                    <w:top w:val="single" w:color="000000" w:sz="12" w:space="0"/>
                    <w:left w:val="single" w:color="000000" w:sz="12" w:space="0"/>
                    <w:bottom w:val="single" w:color="000000" w:sz="12" w:space="0"/>
                    <w:right w:val="single" w:color="000000" w:sz="12" w:space="0"/>
                  </w:tcBorders>
                  <w:vAlign w:val="center"/>
                </w:tcPr>
                <w:p w14:paraId="784C539C">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320" w:type="pct"/>
                  <w:tcBorders>
                    <w:top w:val="single" w:color="000000" w:sz="12" w:space="0"/>
                    <w:left w:val="single" w:color="000000" w:sz="12" w:space="0"/>
                    <w:bottom w:val="single" w:color="000000" w:sz="12" w:space="0"/>
                    <w:right w:val="single" w:color="000000" w:sz="12" w:space="0"/>
                  </w:tcBorders>
                  <w:vAlign w:val="center"/>
                </w:tcPr>
                <w:p w14:paraId="23306FF9">
                  <w:pPr>
                    <w:widowControl/>
                    <w:jc w:val="center"/>
                    <w:textAlignment w:val="center"/>
                    <w:rPr>
                      <w:color w:val="000000" w:themeColor="text1"/>
                      <w:kern w:val="0"/>
                      <w:sz w:val="13"/>
                      <w:szCs w:val="13"/>
                      <w:lang w:bidi="ar"/>
                      <w14:textFill>
                        <w14:solidFill>
                          <w14:schemeClr w14:val="tx1"/>
                        </w14:solidFill>
                      </w14:textFill>
                    </w:rPr>
                  </w:pPr>
                  <w:r>
                    <w:rPr>
                      <w:rFonts w:hint="eastAsia"/>
                      <w:color w:val="000000" w:themeColor="text1"/>
                      <w:kern w:val="0"/>
                      <w:sz w:val="13"/>
                      <w:szCs w:val="13"/>
                      <w:lang w:bidi="ar"/>
                      <w14:textFill>
                        <w14:solidFill>
                          <w14:schemeClr w14:val="tx1"/>
                        </w14:solidFill>
                      </w14:textFill>
                    </w:rPr>
                    <w:t>0.5</w:t>
                  </w:r>
                </w:p>
              </w:tc>
              <w:tc>
                <w:tcPr>
                  <w:tcW w:w="284" w:type="pct"/>
                  <w:tcBorders>
                    <w:top w:val="single" w:color="000000" w:sz="12" w:space="0"/>
                    <w:left w:val="single" w:color="000000" w:sz="12" w:space="0"/>
                    <w:bottom w:val="single" w:color="000000" w:sz="12" w:space="0"/>
                    <w:right w:val="single" w:color="000000" w:sz="12" w:space="0"/>
                  </w:tcBorders>
                  <w:vAlign w:val="center"/>
                </w:tcPr>
                <w:p w14:paraId="1444774E">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40" w:type="pct"/>
                  <w:tcBorders>
                    <w:top w:val="single" w:color="000000" w:sz="12" w:space="0"/>
                    <w:left w:val="nil"/>
                    <w:bottom w:val="single" w:color="000000" w:sz="12" w:space="0"/>
                    <w:right w:val="single" w:color="000000" w:sz="12" w:space="0"/>
                  </w:tcBorders>
                  <w:vAlign w:val="center"/>
                </w:tcPr>
                <w:p w14:paraId="21A1A8A1">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r>
            <w:tr w14:paraId="16FBB077">
              <w:tblPrEx>
                <w:tblCellMar>
                  <w:top w:w="0" w:type="dxa"/>
                  <w:left w:w="108" w:type="dxa"/>
                  <w:bottom w:w="0" w:type="dxa"/>
                  <w:right w:w="108" w:type="dxa"/>
                </w:tblCellMar>
              </w:tblPrEx>
              <w:trPr>
                <w:trHeight w:val="318" w:hRule="atLeast"/>
              </w:trPr>
              <w:tc>
                <w:tcPr>
                  <w:tcW w:w="201" w:type="pct"/>
                  <w:tcBorders>
                    <w:top w:val="nil"/>
                    <w:left w:val="single" w:color="000000" w:sz="12" w:space="0"/>
                    <w:bottom w:val="single" w:color="000000" w:sz="12" w:space="0"/>
                    <w:right w:val="single" w:color="000000" w:sz="12" w:space="0"/>
                  </w:tcBorders>
                  <w:vAlign w:val="center"/>
                </w:tcPr>
                <w:p w14:paraId="0B31FDDE">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筒仓呼吸粉尘</w:t>
                  </w:r>
                </w:p>
              </w:tc>
              <w:tc>
                <w:tcPr>
                  <w:tcW w:w="136" w:type="pct"/>
                  <w:tcBorders>
                    <w:top w:val="nil"/>
                    <w:left w:val="single" w:color="000000" w:sz="12" w:space="0"/>
                    <w:bottom w:val="single" w:color="000000" w:sz="12" w:space="0"/>
                    <w:right w:val="single" w:color="000000" w:sz="12" w:space="0"/>
                  </w:tcBorders>
                  <w:vAlign w:val="center"/>
                </w:tcPr>
                <w:p w14:paraId="17E4E03A">
                  <w:pPr>
                    <w:widowControl/>
                    <w:jc w:val="center"/>
                    <w:textAlignment w:val="center"/>
                    <w:rPr>
                      <w:rFonts w:hint="eastAsia" w:ascii="宋体" w:hAnsi="宋体" w:cs="宋体"/>
                      <w:color w:val="000000" w:themeColor="text1"/>
                      <w:kern w:val="0"/>
                      <w:sz w:val="15"/>
                      <w:szCs w:val="15"/>
                      <w:lang w:bidi="ar"/>
                      <w14:textFill>
                        <w14:solidFill>
                          <w14:schemeClr w14:val="tx1"/>
                        </w14:solidFill>
                      </w14:textFill>
                    </w:rPr>
                  </w:pPr>
                  <w:r>
                    <w:rPr>
                      <w:rFonts w:hint="eastAsia" w:ascii="宋体" w:hAnsi="宋体" w:cs="宋体"/>
                      <w:color w:val="000000" w:themeColor="text1"/>
                      <w:kern w:val="0"/>
                      <w:sz w:val="15"/>
                      <w:szCs w:val="15"/>
                      <w:lang w:bidi="ar"/>
                      <w14:textFill>
                        <w14:solidFill>
                          <w14:schemeClr w14:val="tx1"/>
                        </w14:solidFill>
                      </w14:textFill>
                    </w:rPr>
                    <w:t>颗粒物</w:t>
                  </w:r>
                </w:p>
              </w:tc>
              <w:tc>
                <w:tcPr>
                  <w:tcW w:w="136" w:type="pct"/>
                  <w:vMerge w:val="continue"/>
                  <w:tcBorders>
                    <w:left w:val="single" w:color="000000" w:sz="12" w:space="0"/>
                    <w:bottom w:val="single" w:color="000000" w:sz="12" w:space="0"/>
                    <w:right w:val="single" w:color="000000" w:sz="12" w:space="0"/>
                  </w:tcBorders>
                  <w:vAlign w:val="center"/>
                </w:tcPr>
                <w:p w14:paraId="427ADBD9">
                  <w:pPr>
                    <w:jc w:val="center"/>
                    <w:rPr>
                      <w:rFonts w:hint="eastAsia" w:ascii="宋体" w:hAnsi="宋体" w:cs="宋体"/>
                      <w:color w:val="000000" w:themeColor="text1"/>
                      <w:sz w:val="15"/>
                      <w:szCs w:val="15"/>
                      <w14:textFill>
                        <w14:solidFill>
                          <w14:schemeClr w14:val="tx1"/>
                        </w14:solidFill>
                      </w14:textFill>
                    </w:rPr>
                  </w:pPr>
                </w:p>
              </w:tc>
              <w:tc>
                <w:tcPr>
                  <w:tcW w:w="280" w:type="pct"/>
                  <w:tcBorders>
                    <w:top w:val="nil"/>
                    <w:left w:val="single" w:color="000000" w:sz="12" w:space="0"/>
                    <w:bottom w:val="single" w:color="000000" w:sz="12" w:space="0"/>
                    <w:right w:val="single" w:color="000000" w:sz="12" w:space="0"/>
                  </w:tcBorders>
                  <w:vAlign w:val="center"/>
                </w:tcPr>
                <w:p w14:paraId="7E50F84F">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6</w:t>
                  </w:r>
                </w:p>
              </w:tc>
              <w:tc>
                <w:tcPr>
                  <w:tcW w:w="280" w:type="pct"/>
                  <w:tcBorders>
                    <w:top w:val="nil"/>
                    <w:left w:val="single" w:color="000000" w:sz="12" w:space="0"/>
                    <w:bottom w:val="single" w:color="000000" w:sz="12" w:space="0"/>
                    <w:right w:val="single" w:color="000000" w:sz="12" w:space="0"/>
                  </w:tcBorders>
                  <w:vAlign w:val="center"/>
                </w:tcPr>
                <w:p w14:paraId="0352DECC">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7.5</w:t>
                  </w:r>
                </w:p>
              </w:tc>
              <w:tc>
                <w:tcPr>
                  <w:tcW w:w="246" w:type="pct"/>
                  <w:tcBorders>
                    <w:top w:val="nil"/>
                    <w:left w:val="single" w:color="000000" w:sz="12" w:space="0"/>
                    <w:bottom w:val="single" w:color="000000" w:sz="12" w:space="0"/>
                    <w:right w:val="single" w:color="000000" w:sz="12" w:space="0"/>
                  </w:tcBorders>
                  <w:vAlign w:val="center"/>
                </w:tcPr>
                <w:p w14:paraId="1D39E166">
                  <w:pPr>
                    <w:widowControl/>
                    <w:jc w:val="center"/>
                    <w:textAlignment w:val="center"/>
                    <w:rPr>
                      <w:color w:val="000000" w:themeColor="text1"/>
                      <w:kern w:val="0"/>
                      <w:sz w:val="15"/>
                      <w:szCs w:val="15"/>
                      <w:lang w:bidi="ar"/>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97" w:type="pct"/>
                  <w:tcBorders>
                    <w:top w:val="nil"/>
                    <w:left w:val="single" w:color="000000" w:sz="12" w:space="0"/>
                    <w:bottom w:val="single" w:color="000000" w:sz="12" w:space="0"/>
                    <w:right w:val="single" w:color="000000" w:sz="12" w:space="0"/>
                  </w:tcBorders>
                  <w:vAlign w:val="center"/>
                </w:tcPr>
                <w:p w14:paraId="5088BCC1">
                  <w:pPr>
                    <w:widowControl/>
                    <w:jc w:val="center"/>
                    <w:textAlignment w:val="center"/>
                    <w:rPr>
                      <w:color w:val="000000" w:themeColor="text1"/>
                      <w:kern w:val="0"/>
                      <w:sz w:val="15"/>
                      <w:szCs w:val="15"/>
                      <w:lang w:bidi="ar"/>
                      <w14:textFill>
                        <w14:solidFill>
                          <w14:schemeClr w14:val="tx1"/>
                        </w14:solidFill>
                      </w14:textFill>
                    </w:rPr>
                  </w:pPr>
                  <w:r>
                    <w:rPr>
                      <w:rFonts w:hint="eastAsia" w:ascii="宋体" w:hAnsi="宋体" w:cs="宋体"/>
                      <w:color w:val="000000" w:themeColor="text1"/>
                      <w:kern w:val="0"/>
                      <w:sz w:val="15"/>
                      <w:szCs w:val="15"/>
                      <w:lang w:bidi="ar"/>
                      <w14:textFill>
                        <w14:solidFill>
                          <w14:schemeClr w14:val="tx1"/>
                        </w14:solidFill>
                      </w14:textFill>
                    </w:rPr>
                    <w:t>/</w:t>
                  </w:r>
                </w:p>
              </w:tc>
              <w:tc>
                <w:tcPr>
                  <w:tcW w:w="210" w:type="pct"/>
                  <w:tcBorders>
                    <w:top w:val="nil"/>
                    <w:left w:val="single" w:color="000000" w:sz="12" w:space="0"/>
                    <w:bottom w:val="single" w:color="000000" w:sz="12" w:space="0"/>
                    <w:right w:val="single" w:color="auto" w:sz="12" w:space="0"/>
                  </w:tcBorders>
                  <w:vAlign w:val="center"/>
                </w:tcPr>
                <w:p w14:paraId="28BE1986">
                  <w:pPr>
                    <w:widowControl/>
                    <w:jc w:val="center"/>
                    <w:textAlignment w:val="center"/>
                    <w:rPr>
                      <w:color w:val="000000" w:themeColor="text1"/>
                      <w:kern w:val="0"/>
                      <w:sz w:val="15"/>
                      <w:szCs w:val="15"/>
                      <w:lang w:bidi="ar"/>
                      <w14:textFill>
                        <w14:solidFill>
                          <w14:schemeClr w14:val="tx1"/>
                        </w14:solidFill>
                      </w14:textFill>
                    </w:rPr>
                  </w:pPr>
                  <w:r>
                    <w:rPr>
                      <w:rFonts w:hint="eastAsia"/>
                      <w:color w:val="000000" w:themeColor="text1"/>
                      <w:kern w:val="0"/>
                      <w:sz w:val="15"/>
                      <w:szCs w:val="15"/>
                      <w:lang w:bidi="ar"/>
                      <w14:textFill>
                        <w14:solidFill>
                          <w14:schemeClr w14:val="tx1"/>
                        </w14:solidFill>
                      </w14:textFill>
                    </w:rPr>
                    <w:t>100%</w:t>
                  </w:r>
                </w:p>
              </w:tc>
              <w:tc>
                <w:tcPr>
                  <w:tcW w:w="252" w:type="pct"/>
                  <w:tcBorders>
                    <w:top w:val="single" w:color="auto" w:sz="12" w:space="0"/>
                    <w:left w:val="single" w:color="auto" w:sz="12" w:space="0"/>
                    <w:bottom w:val="single" w:color="auto" w:sz="12" w:space="0"/>
                    <w:right w:val="single" w:color="auto" w:sz="12" w:space="0"/>
                  </w:tcBorders>
                  <w:vAlign w:val="center"/>
                </w:tcPr>
                <w:p w14:paraId="1FE5E241">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99.7%</w:t>
                  </w:r>
                </w:p>
              </w:tc>
              <w:tc>
                <w:tcPr>
                  <w:tcW w:w="192" w:type="pct"/>
                  <w:tcBorders>
                    <w:top w:val="single" w:color="auto" w:sz="12" w:space="0"/>
                    <w:left w:val="single" w:color="auto" w:sz="12" w:space="0"/>
                    <w:bottom w:val="single" w:color="auto" w:sz="12" w:space="0"/>
                    <w:right w:val="single" w:color="auto" w:sz="12" w:space="0"/>
                  </w:tcBorders>
                  <w:vAlign w:val="center"/>
                </w:tcPr>
                <w:p w14:paraId="51259069">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脉冲袋式除尘</w:t>
                  </w:r>
                </w:p>
              </w:tc>
              <w:tc>
                <w:tcPr>
                  <w:tcW w:w="175" w:type="pct"/>
                  <w:tcBorders>
                    <w:top w:val="single" w:color="auto" w:sz="12" w:space="0"/>
                    <w:left w:val="single" w:color="auto" w:sz="12" w:space="0"/>
                    <w:bottom w:val="single" w:color="auto" w:sz="12" w:space="0"/>
                    <w:right w:val="single" w:color="auto" w:sz="12" w:space="0"/>
                  </w:tcBorders>
                  <w:vAlign w:val="center"/>
                </w:tcPr>
                <w:p w14:paraId="2921D9D9">
                  <w:pPr>
                    <w:widowControl/>
                    <w:jc w:val="center"/>
                    <w:textAlignment w:val="center"/>
                    <w:rPr>
                      <w:color w:val="000000" w:themeColor="text1"/>
                      <w:kern w:val="0"/>
                      <w:sz w:val="15"/>
                      <w:szCs w:val="15"/>
                      <w:lang w:bidi="ar"/>
                      <w14:textFill>
                        <w14:solidFill>
                          <w14:schemeClr w14:val="tx1"/>
                        </w14:solidFill>
                      </w14:textFill>
                    </w:rPr>
                  </w:pPr>
                  <w:r>
                    <w:rPr>
                      <w:color w:val="000000" w:themeColor="text1"/>
                      <w:kern w:val="0"/>
                      <w:sz w:val="15"/>
                      <w:szCs w:val="15"/>
                      <w:lang w:bidi="ar"/>
                      <w14:textFill>
                        <w14:solidFill>
                          <w14:schemeClr w14:val="tx1"/>
                        </w14:solidFill>
                      </w14:textFill>
                    </w:rPr>
                    <w:t>/</w:t>
                  </w:r>
                </w:p>
              </w:tc>
              <w:tc>
                <w:tcPr>
                  <w:tcW w:w="225" w:type="pct"/>
                  <w:tcBorders>
                    <w:top w:val="nil"/>
                    <w:left w:val="single" w:color="auto" w:sz="12" w:space="0"/>
                    <w:bottom w:val="single" w:color="000000" w:sz="12" w:space="0"/>
                    <w:right w:val="single" w:color="000000" w:sz="12" w:space="0"/>
                  </w:tcBorders>
                  <w:vAlign w:val="center"/>
                </w:tcPr>
                <w:p w14:paraId="12AF1B2C">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0.018</w:t>
                  </w:r>
                </w:p>
              </w:tc>
              <w:tc>
                <w:tcPr>
                  <w:tcW w:w="238" w:type="pct"/>
                  <w:tcBorders>
                    <w:top w:val="nil"/>
                    <w:left w:val="single" w:color="000000" w:sz="12" w:space="0"/>
                    <w:bottom w:val="single" w:color="000000" w:sz="12" w:space="0"/>
                    <w:right w:val="single" w:color="000000" w:sz="12" w:space="0"/>
                  </w:tcBorders>
                  <w:vAlign w:val="center"/>
                </w:tcPr>
                <w:p w14:paraId="62B22972">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lang w:bidi="ar"/>
                      <w14:textFill>
                        <w14:solidFill>
                          <w14:schemeClr w14:val="tx1"/>
                        </w14:solidFill>
                      </w14:textFill>
                    </w:rPr>
                    <w:t>0.023</w:t>
                  </w:r>
                </w:p>
              </w:tc>
              <w:tc>
                <w:tcPr>
                  <w:tcW w:w="246" w:type="pct"/>
                  <w:tcBorders>
                    <w:top w:val="nil"/>
                    <w:left w:val="single" w:color="000000" w:sz="12" w:space="0"/>
                    <w:bottom w:val="single" w:color="000000" w:sz="12" w:space="0"/>
                    <w:right w:val="single" w:color="000000" w:sz="12" w:space="0"/>
                  </w:tcBorders>
                  <w:vAlign w:val="center"/>
                </w:tcPr>
                <w:p w14:paraId="67ECD8AC">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04412BA9">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53349875">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30" w:type="pct"/>
                  <w:tcBorders>
                    <w:top w:val="single" w:color="000000" w:sz="12" w:space="0"/>
                    <w:left w:val="single" w:color="000000" w:sz="12" w:space="0"/>
                    <w:bottom w:val="single" w:color="000000" w:sz="12" w:space="0"/>
                    <w:right w:val="single" w:color="000000" w:sz="12" w:space="0"/>
                  </w:tcBorders>
                  <w:vAlign w:val="center"/>
                </w:tcPr>
                <w:p w14:paraId="23C9A4D6">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129" w:type="pct"/>
                  <w:tcBorders>
                    <w:top w:val="single" w:color="000000" w:sz="12" w:space="0"/>
                    <w:left w:val="single" w:color="000000" w:sz="12" w:space="0"/>
                    <w:bottom w:val="single" w:color="000000" w:sz="12" w:space="0"/>
                    <w:right w:val="single" w:color="000000" w:sz="12" w:space="0"/>
                  </w:tcBorders>
                  <w:vAlign w:val="center"/>
                </w:tcPr>
                <w:p w14:paraId="09C5618A">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48" w:type="pct"/>
                  <w:tcBorders>
                    <w:top w:val="single" w:color="000000" w:sz="12" w:space="0"/>
                    <w:left w:val="single" w:color="000000" w:sz="12" w:space="0"/>
                    <w:bottom w:val="single" w:color="000000" w:sz="12" w:space="0"/>
                    <w:right w:val="single" w:color="000000" w:sz="12" w:space="0"/>
                  </w:tcBorders>
                  <w:vAlign w:val="center"/>
                </w:tcPr>
                <w:p w14:paraId="743B9CA8">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320" w:type="pct"/>
                  <w:tcBorders>
                    <w:top w:val="single" w:color="000000" w:sz="12" w:space="0"/>
                    <w:left w:val="single" w:color="000000" w:sz="12" w:space="0"/>
                    <w:bottom w:val="single" w:color="000000" w:sz="12" w:space="0"/>
                    <w:right w:val="single" w:color="000000" w:sz="12" w:space="0"/>
                  </w:tcBorders>
                  <w:vAlign w:val="center"/>
                </w:tcPr>
                <w:p w14:paraId="2DF5DBB5">
                  <w:pPr>
                    <w:widowControl/>
                    <w:jc w:val="center"/>
                    <w:textAlignment w:val="center"/>
                    <w:rPr>
                      <w:color w:val="000000" w:themeColor="text1"/>
                      <w:kern w:val="0"/>
                      <w:sz w:val="13"/>
                      <w:szCs w:val="13"/>
                      <w:lang w:bidi="ar"/>
                      <w14:textFill>
                        <w14:solidFill>
                          <w14:schemeClr w14:val="tx1"/>
                        </w14:solidFill>
                      </w14:textFill>
                    </w:rPr>
                  </w:pPr>
                  <w:r>
                    <w:rPr>
                      <w:rFonts w:hint="eastAsia"/>
                      <w:color w:val="000000" w:themeColor="text1"/>
                      <w:kern w:val="0"/>
                      <w:sz w:val="13"/>
                      <w:szCs w:val="13"/>
                      <w:lang w:bidi="ar"/>
                      <w14:textFill>
                        <w14:solidFill>
                          <w14:schemeClr w14:val="tx1"/>
                        </w14:solidFill>
                      </w14:textFill>
                    </w:rPr>
                    <w:t>0.5</w:t>
                  </w:r>
                </w:p>
              </w:tc>
              <w:tc>
                <w:tcPr>
                  <w:tcW w:w="284" w:type="pct"/>
                  <w:tcBorders>
                    <w:top w:val="single" w:color="000000" w:sz="12" w:space="0"/>
                    <w:left w:val="single" w:color="000000" w:sz="12" w:space="0"/>
                    <w:bottom w:val="single" w:color="000000" w:sz="12" w:space="0"/>
                    <w:right w:val="single" w:color="000000" w:sz="12" w:space="0"/>
                  </w:tcBorders>
                  <w:vAlign w:val="center"/>
                </w:tcPr>
                <w:p w14:paraId="4BFA8033">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c>
                <w:tcPr>
                  <w:tcW w:w="240" w:type="pct"/>
                  <w:tcBorders>
                    <w:top w:val="single" w:color="000000" w:sz="12" w:space="0"/>
                    <w:left w:val="nil"/>
                    <w:bottom w:val="single" w:color="000000" w:sz="12" w:space="0"/>
                    <w:right w:val="single" w:color="000000" w:sz="12" w:space="0"/>
                  </w:tcBorders>
                  <w:vAlign w:val="center"/>
                </w:tcPr>
                <w:p w14:paraId="64150F60">
                  <w:pPr>
                    <w:widowControl/>
                    <w:jc w:val="center"/>
                    <w:textAlignment w:val="center"/>
                    <w:rPr>
                      <w:color w:val="000000" w:themeColor="text1"/>
                      <w:kern w:val="0"/>
                      <w:sz w:val="13"/>
                      <w:szCs w:val="13"/>
                      <w:lang w:bidi="ar"/>
                      <w14:textFill>
                        <w14:solidFill>
                          <w14:schemeClr w14:val="tx1"/>
                        </w14:solidFill>
                      </w14:textFill>
                    </w:rPr>
                  </w:pPr>
                  <w:r>
                    <w:rPr>
                      <w:color w:val="000000" w:themeColor="text1"/>
                      <w:kern w:val="0"/>
                      <w:sz w:val="13"/>
                      <w:szCs w:val="13"/>
                      <w:lang w:bidi="ar"/>
                      <w14:textFill>
                        <w14:solidFill>
                          <w14:schemeClr w14:val="tx1"/>
                        </w14:solidFill>
                      </w14:textFill>
                    </w:rPr>
                    <w:t>/</w:t>
                  </w:r>
                </w:p>
              </w:tc>
            </w:tr>
            <w:tr w14:paraId="6B99BCC5">
              <w:tblPrEx>
                <w:tblCellMar>
                  <w:top w:w="0" w:type="dxa"/>
                  <w:left w:w="108" w:type="dxa"/>
                  <w:bottom w:w="0" w:type="dxa"/>
                  <w:right w:w="108" w:type="dxa"/>
                </w:tblCellMar>
              </w:tblPrEx>
              <w:trPr>
                <w:trHeight w:val="318" w:hRule="atLeast"/>
              </w:trPr>
              <w:tc>
                <w:tcPr>
                  <w:tcW w:w="201" w:type="pct"/>
                  <w:tcBorders>
                    <w:top w:val="nil"/>
                    <w:left w:val="single" w:color="000000" w:sz="12" w:space="0"/>
                    <w:bottom w:val="single" w:color="000000" w:sz="12" w:space="0"/>
                    <w:right w:val="single" w:color="000000" w:sz="12" w:space="0"/>
                  </w:tcBorders>
                  <w:vAlign w:val="center"/>
                </w:tcPr>
                <w:p w14:paraId="50AD8FDC">
                  <w:pPr>
                    <w:adjustRightInd w:val="0"/>
                    <w:snapToGrid w:val="0"/>
                    <w:jc w:val="center"/>
                    <w:rPr>
                      <w:color w:val="000000" w:themeColor="text1"/>
                      <w:sz w:val="15"/>
                      <w:szCs w:val="15"/>
                      <w14:textFill>
                        <w14:solidFill>
                          <w14:schemeClr w14:val="tx1"/>
                        </w14:solidFill>
                      </w14:textFill>
                    </w:rPr>
                  </w:pPr>
                  <w:r>
                    <w:rPr>
                      <w:rFonts w:hint="eastAsia"/>
                      <w:color w:val="000000" w:themeColor="text1"/>
                      <w:sz w:val="15"/>
                      <w:szCs w:val="15"/>
                      <w14:textFill>
                        <w14:solidFill>
                          <w14:schemeClr w14:val="tx1"/>
                        </w14:solidFill>
                      </w14:textFill>
                    </w:rPr>
                    <w:t>厨房油烟</w:t>
                  </w:r>
                </w:p>
              </w:tc>
              <w:tc>
                <w:tcPr>
                  <w:tcW w:w="136" w:type="pct"/>
                  <w:tcBorders>
                    <w:top w:val="nil"/>
                    <w:left w:val="single" w:color="000000" w:sz="12" w:space="0"/>
                    <w:bottom w:val="single" w:color="000000" w:sz="12" w:space="0"/>
                    <w:right w:val="single" w:color="000000" w:sz="12" w:space="0"/>
                  </w:tcBorders>
                  <w:vAlign w:val="center"/>
                </w:tcPr>
                <w:p w14:paraId="2D74C177">
                  <w:pPr>
                    <w:widowControl/>
                    <w:jc w:val="center"/>
                    <w:textAlignment w:val="center"/>
                    <w:rPr>
                      <w:rFonts w:hint="eastAsia" w:ascii="宋体" w:hAnsi="宋体" w:cs="宋体"/>
                      <w:color w:val="000000" w:themeColor="text1"/>
                      <w:kern w:val="0"/>
                      <w:sz w:val="15"/>
                      <w:szCs w:val="15"/>
                      <w:lang w:bidi="ar"/>
                      <w14:textFill>
                        <w14:solidFill>
                          <w14:schemeClr w14:val="tx1"/>
                        </w14:solidFill>
                      </w14:textFill>
                    </w:rPr>
                  </w:pPr>
                  <w:r>
                    <w:rPr>
                      <w:rFonts w:hint="eastAsia" w:ascii="宋体" w:hAnsi="宋体" w:cs="宋体"/>
                      <w:color w:val="000000" w:themeColor="text1"/>
                      <w:kern w:val="0"/>
                      <w:sz w:val="15"/>
                      <w:szCs w:val="15"/>
                      <w:lang w:bidi="ar"/>
                      <w14:textFill>
                        <w14:solidFill>
                          <w14:schemeClr w14:val="tx1"/>
                        </w14:solidFill>
                      </w14:textFill>
                    </w:rPr>
                    <w:t>油烟</w:t>
                  </w:r>
                </w:p>
              </w:tc>
              <w:tc>
                <w:tcPr>
                  <w:tcW w:w="136" w:type="pct"/>
                  <w:tcBorders>
                    <w:left w:val="single" w:color="000000" w:sz="12" w:space="0"/>
                    <w:bottom w:val="single" w:color="000000" w:sz="12" w:space="0"/>
                    <w:right w:val="single" w:color="000000" w:sz="12" w:space="0"/>
                  </w:tcBorders>
                  <w:vAlign w:val="center"/>
                </w:tcPr>
                <w:p w14:paraId="732EC433">
                  <w:pPr>
                    <w:jc w:val="center"/>
                    <w:rPr>
                      <w:rFonts w:hint="eastAsia" w:ascii="宋体" w:hAnsi="宋体" w:cs="宋体"/>
                      <w:color w:val="000000" w:themeColor="text1"/>
                      <w:sz w:val="15"/>
                      <w:szCs w:val="15"/>
                      <w14:textFill>
                        <w14:solidFill>
                          <w14:schemeClr w14:val="tx1"/>
                        </w14:solidFill>
                      </w14:textFill>
                    </w:rPr>
                  </w:pPr>
                  <w:r>
                    <w:rPr>
                      <w:rFonts w:eastAsia="等线"/>
                      <w:color w:val="000000" w:themeColor="text1"/>
                      <w:kern w:val="0"/>
                      <w:sz w:val="15"/>
                      <w:szCs w:val="15"/>
                      <w:lang w:bidi="ar"/>
                      <w14:textFill>
                        <w14:solidFill>
                          <w14:schemeClr w14:val="tx1"/>
                        </w14:solidFill>
                      </w14:textFill>
                    </w:rPr>
                    <w:t>/</w:t>
                  </w:r>
                </w:p>
              </w:tc>
              <w:tc>
                <w:tcPr>
                  <w:tcW w:w="280" w:type="pct"/>
                  <w:tcBorders>
                    <w:top w:val="nil"/>
                    <w:left w:val="single" w:color="000000" w:sz="12" w:space="0"/>
                    <w:bottom w:val="single" w:color="000000" w:sz="12" w:space="0"/>
                    <w:right w:val="single" w:color="000000" w:sz="12" w:space="0"/>
                  </w:tcBorders>
                  <w:vAlign w:val="center"/>
                </w:tcPr>
                <w:p w14:paraId="6429CDCA">
                  <w:pPr>
                    <w:adjustRightInd w:val="0"/>
                    <w:snapToGrid w:val="0"/>
                    <w:jc w:val="center"/>
                    <w:rPr>
                      <w:color w:val="000000" w:themeColor="text1"/>
                      <w:sz w:val="15"/>
                      <w:szCs w:val="15"/>
                      <w14:textFill>
                        <w14:solidFill>
                          <w14:schemeClr w14:val="tx1"/>
                        </w14:solidFill>
                      </w14:textFill>
                    </w:rPr>
                  </w:pPr>
                  <w:r>
                    <w:rPr>
                      <w:rFonts w:eastAsia="等线"/>
                      <w:color w:val="000000" w:themeColor="text1"/>
                      <w:kern w:val="0"/>
                      <w:sz w:val="15"/>
                      <w:szCs w:val="15"/>
                      <w:lang w:bidi="ar"/>
                      <w14:textFill>
                        <w14:solidFill>
                          <w14:schemeClr w14:val="tx1"/>
                        </w14:solidFill>
                      </w14:textFill>
                    </w:rPr>
                    <w:t>0.00</w:t>
                  </w:r>
                  <w:r>
                    <w:rPr>
                      <w:rFonts w:hint="eastAsia" w:eastAsia="等线"/>
                      <w:color w:val="000000" w:themeColor="text1"/>
                      <w:kern w:val="0"/>
                      <w:sz w:val="15"/>
                      <w:szCs w:val="15"/>
                      <w:lang w:bidi="ar"/>
                      <w14:textFill>
                        <w14:solidFill>
                          <w14:schemeClr w14:val="tx1"/>
                        </w14:solidFill>
                      </w14:textFill>
                    </w:rPr>
                    <w:t>4</w:t>
                  </w:r>
                </w:p>
              </w:tc>
              <w:tc>
                <w:tcPr>
                  <w:tcW w:w="280" w:type="pct"/>
                  <w:tcBorders>
                    <w:top w:val="nil"/>
                    <w:left w:val="single" w:color="000000" w:sz="12" w:space="0"/>
                    <w:bottom w:val="single" w:color="000000" w:sz="12" w:space="0"/>
                    <w:right w:val="single" w:color="000000" w:sz="12" w:space="0"/>
                  </w:tcBorders>
                  <w:vAlign w:val="center"/>
                </w:tcPr>
                <w:p w14:paraId="32C8A290">
                  <w:pPr>
                    <w:adjustRightInd w:val="0"/>
                    <w:snapToGrid w:val="0"/>
                    <w:jc w:val="center"/>
                    <w:rPr>
                      <w:color w:val="000000" w:themeColor="text1"/>
                      <w:sz w:val="15"/>
                      <w:szCs w:val="15"/>
                      <w14:textFill>
                        <w14:solidFill>
                          <w14:schemeClr w14:val="tx1"/>
                        </w14:solidFill>
                      </w14:textFill>
                    </w:rPr>
                  </w:pPr>
                  <w:r>
                    <w:rPr>
                      <w:rFonts w:eastAsia="等线"/>
                      <w:color w:val="000000" w:themeColor="text1"/>
                      <w:kern w:val="0"/>
                      <w:sz w:val="15"/>
                      <w:szCs w:val="15"/>
                      <w:lang w:bidi="ar"/>
                      <w14:textFill>
                        <w14:solidFill>
                          <w14:schemeClr w14:val="tx1"/>
                        </w14:solidFill>
                      </w14:textFill>
                    </w:rPr>
                    <w:t>0.00</w:t>
                  </w:r>
                  <w:r>
                    <w:rPr>
                      <w:rFonts w:hint="eastAsia" w:eastAsia="等线"/>
                      <w:color w:val="000000" w:themeColor="text1"/>
                      <w:kern w:val="0"/>
                      <w:sz w:val="15"/>
                      <w:szCs w:val="15"/>
                      <w:lang w:bidi="ar"/>
                      <w14:textFill>
                        <w14:solidFill>
                          <w14:schemeClr w14:val="tx1"/>
                        </w14:solidFill>
                      </w14:textFill>
                    </w:rPr>
                    <w:t>2</w:t>
                  </w:r>
                </w:p>
              </w:tc>
              <w:tc>
                <w:tcPr>
                  <w:tcW w:w="246" w:type="pct"/>
                  <w:tcBorders>
                    <w:top w:val="nil"/>
                    <w:left w:val="single" w:color="000000" w:sz="12" w:space="0"/>
                    <w:bottom w:val="single" w:color="000000" w:sz="12" w:space="0"/>
                    <w:right w:val="single" w:color="000000" w:sz="12" w:space="0"/>
                  </w:tcBorders>
                  <w:vAlign w:val="center"/>
                </w:tcPr>
                <w:p w14:paraId="56114288">
                  <w:pPr>
                    <w:widowControl/>
                    <w:jc w:val="center"/>
                    <w:textAlignment w:val="center"/>
                    <w:rPr>
                      <w:color w:val="000000" w:themeColor="text1"/>
                      <w:kern w:val="0"/>
                      <w:sz w:val="15"/>
                      <w:szCs w:val="15"/>
                      <w:lang w:bidi="ar"/>
                      <w14:textFill>
                        <w14:solidFill>
                          <w14:schemeClr w14:val="tx1"/>
                        </w14:solidFill>
                      </w14:textFill>
                    </w:rPr>
                  </w:pPr>
                  <w:r>
                    <w:rPr>
                      <w:rFonts w:hint="eastAsia" w:eastAsia="等线"/>
                      <w:color w:val="000000" w:themeColor="text1"/>
                      <w:kern w:val="0"/>
                      <w:sz w:val="15"/>
                      <w:szCs w:val="15"/>
                      <w:lang w:bidi="ar"/>
                      <w14:textFill>
                        <w14:solidFill>
                          <w14:schemeClr w14:val="tx1"/>
                        </w14:solidFill>
                      </w14:textFill>
                    </w:rPr>
                    <w:t>2</w:t>
                  </w:r>
                </w:p>
              </w:tc>
              <w:tc>
                <w:tcPr>
                  <w:tcW w:w="297" w:type="pct"/>
                  <w:tcBorders>
                    <w:top w:val="nil"/>
                    <w:left w:val="single" w:color="000000" w:sz="12" w:space="0"/>
                    <w:bottom w:val="single" w:color="000000" w:sz="12" w:space="0"/>
                    <w:right w:val="single" w:color="000000" w:sz="12" w:space="0"/>
                  </w:tcBorders>
                  <w:vAlign w:val="center"/>
                </w:tcPr>
                <w:p w14:paraId="6F323B89">
                  <w:pPr>
                    <w:widowControl/>
                    <w:jc w:val="center"/>
                    <w:textAlignment w:val="center"/>
                    <w:rPr>
                      <w:color w:val="000000" w:themeColor="text1"/>
                      <w:kern w:val="0"/>
                      <w:sz w:val="15"/>
                      <w:szCs w:val="15"/>
                      <w:lang w:bidi="ar"/>
                      <w14:textFill>
                        <w14:solidFill>
                          <w14:schemeClr w14:val="tx1"/>
                        </w14:solidFill>
                      </w14:textFill>
                    </w:rPr>
                  </w:pPr>
                  <w:r>
                    <w:rPr>
                      <w:rFonts w:hint="eastAsia" w:ascii="宋体" w:hAnsi="宋体" w:cs="宋体"/>
                      <w:color w:val="000000" w:themeColor="text1"/>
                      <w:kern w:val="0"/>
                      <w:sz w:val="15"/>
                      <w:szCs w:val="15"/>
                      <w:lang w:bidi="ar"/>
                      <w14:textFill>
                        <w14:solidFill>
                          <w14:schemeClr w14:val="tx1"/>
                        </w14:solidFill>
                      </w14:textFill>
                    </w:rPr>
                    <w:t>风量</w:t>
                  </w:r>
                  <w:r>
                    <w:rPr>
                      <w:color w:val="000000" w:themeColor="text1"/>
                      <w:kern w:val="0"/>
                      <w:sz w:val="15"/>
                      <w:szCs w:val="15"/>
                      <w:lang w:bidi="ar"/>
                      <w14:textFill>
                        <w14:solidFill>
                          <w14:schemeClr w14:val="tx1"/>
                        </w14:solidFill>
                      </w14:textFill>
                    </w:rPr>
                    <w:t>1000m</w:t>
                  </w:r>
                  <w:r>
                    <w:rPr>
                      <w:color w:val="000000" w:themeColor="text1"/>
                      <w:kern w:val="0"/>
                      <w:sz w:val="15"/>
                      <w:szCs w:val="15"/>
                      <w:vertAlign w:val="superscript"/>
                      <w:lang w:bidi="ar"/>
                      <w14:textFill>
                        <w14:solidFill>
                          <w14:schemeClr w14:val="tx1"/>
                        </w14:solidFill>
                      </w14:textFill>
                    </w:rPr>
                    <w:t>3</w:t>
                  </w:r>
                  <w:r>
                    <w:rPr>
                      <w:color w:val="000000" w:themeColor="text1"/>
                      <w:kern w:val="0"/>
                      <w:sz w:val="15"/>
                      <w:szCs w:val="15"/>
                      <w:lang w:bidi="ar"/>
                      <w14:textFill>
                        <w14:solidFill>
                          <w14:schemeClr w14:val="tx1"/>
                        </w14:solidFill>
                      </w14:textFill>
                    </w:rPr>
                    <w:t>/h</w:t>
                  </w:r>
                </w:p>
              </w:tc>
              <w:tc>
                <w:tcPr>
                  <w:tcW w:w="210" w:type="pct"/>
                  <w:tcBorders>
                    <w:top w:val="nil"/>
                    <w:left w:val="single" w:color="000000" w:sz="12" w:space="0"/>
                    <w:bottom w:val="single" w:color="000000" w:sz="12" w:space="0"/>
                    <w:right w:val="single" w:color="auto" w:sz="12" w:space="0"/>
                  </w:tcBorders>
                  <w:vAlign w:val="center"/>
                </w:tcPr>
                <w:p w14:paraId="7522F8B1">
                  <w:pPr>
                    <w:widowControl/>
                    <w:jc w:val="center"/>
                    <w:textAlignment w:val="center"/>
                    <w:rPr>
                      <w:color w:val="000000" w:themeColor="text1"/>
                      <w:kern w:val="0"/>
                      <w:sz w:val="15"/>
                      <w:szCs w:val="15"/>
                      <w:lang w:bidi="ar"/>
                      <w14:textFill>
                        <w14:solidFill>
                          <w14:schemeClr w14:val="tx1"/>
                        </w14:solidFill>
                      </w14:textFill>
                    </w:rPr>
                  </w:pPr>
                  <w:r>
                    <w:rPr>
                      <w:rFonts w:eastAsia="等线"/>
                      <w:color w:val="000000" w:themeColor="text1"/>
                      <w:kern w:val="0"/>
                      <w:sz w:val="15"/>
                      <w:szCs w:val="15"/>
                      <w:lang w:bidi="ar"/>
                      <w14:textFill>
                        <w14:solidFill>
                          <w14:schemeClr w14:val="tx1"/>
                        </w14:solidFill>
                      </w14:textFill>
                    </w:rPr>
                    <w:t>100</w:t>
                  </w:r>
                  <w:r>
                    <w:rPr>
                      <w:rFonts w:hint="eastAsia" w:eastAsia="等线"/>
                      <w:color w:val="000000" w:themeColor="text1"/>
                      <w:kern w:val="0"/>
                      <w:sz w:val="15"/>
                      <w:szCs w:val="15"/>
                      <w:lang w:bidi="ar"/>
                      <w14:textFill>
                        <w14:solidFill>
                          <w14:schemeClr w14:val="tx1"/>
                        </w14:solidFill>
                      </w14:textFill>
                    </w:rPr>
                    <w:t>%</w:t>
                  </w:r>
                </w:p>
              </w:tc>
              <w:tc>
                <w:tcPr>
                  <w:tcW w:w="252" w:type="pct"/>
                  <w:tcBorders>
                    <w:top w:val="single" w:color="auto" w:sz="12" w:space="0"/>
                    <w:left w:val="single" w:color="auto" w:sz="12" w:space="0"/>
                    <w:bottom w:val="single" w:color="auto" w:sz="12" w:space="0"/>
                    <w:right w:val="single" w:color="auto" w:sz="12" w:space="0"/>
                  </w:tcBorders>
                  <w:vAlign w:val="center"/>
                </w:tcPr>
                <w:p w14:paraId="59AB9D4E">
                  <w:pPr>
                    <w:adjustRightInd w:val="0"/>
                    <w:snapToGrid w:val="0"/>
                    <w:jc w:val="center"/>
                    <w:rPr>
                      <w:color w:val="000000" w:themeColor="text1"/>
                      <w:sz w:val="15"/>
                      <w:szCs w:val="15"/>
                      <w:lang w:bidi="ar"/>
                      <w14:textFill>
                        <w14:solidFill>
                          <w14:schemeClr w14:val="tx1"/>
                        </w14:solidFill>
                      </w14:textFill>
                    </w:rPr>
                  </w:pPr>
                  <w:r>
                    <w:rPr>
                      <w:rFonts w:eastAsia="等线"/>
                      <w:color w:val="000000" w:themeColor="text1"/>
                      <w:kern w:val="0"/>
                      <w:sz w:val="15"/>
                      <w:szCs w:val="15"/>
                      <w:lang w:bidi="ar"/>
                      <w14:textFill>
                        <w14:solidFill>
                          <w14:schemeClr w14:val="tx1"/>
                        </w14:solidFill>
                      </w14:textFill>
                    </w:rPr>
                    <w:t>75</w:t>
                  </w:r>
                  <w:r>
                    <w:rPr>
                      <w:rFonts w:hint="eastAsia" w:eastAsia="等线"/>
                      <w:color w:val="000000" w:themeColor="text1"/>
                      <w:kern w:val="0"/>
                      <w:sz w:val="15"/>
                      <w:szCs w:val="15"/>
                      <w:lang w:bidi="ar"/>
                      <w14:textFill>
                        <w14:solidFill>
                          <w14:schemeClr w14:val="tx1"/>
                        </w14:solidFill>
                      </w14:textFill>
                    </w:rPr>
                    <w:t>%</w:t>
                  </w:r>
                </w:p>
              </w:tc>
              <w:tc>
                <w:tcPr>
                  <w:tcW w:w="192" w:type="pct"/>
                  <w:tcBorders>
                    <w:top w:val="single" w:color="auto" w:sz="12" w:space="0"/>
                    <w:left w:val="single" w:color="auto" w:sz="12" w:space="0"/>
                    <w:bottom w:val="single" w:color="auto" w:sz="12" w:space="0"/>
                    <w:right w:val="single" w:color="auto" w:sz="12" w:space="0"/>
                  </w:tcBorders>
                  <w:vAlign w:val="center"/>
                </w:tcPr>
                <w:p w14:paraId="27BE8EAE">
                  <w:pPr>
                    <w:adjustRightInd w:val="0"/>
                    <w:snapToGrid w:val="0"/>
                    <w:jc w:val="center"/>
                    <w:rPr>
                      <w:color w:val="000000" w:themeColor="text1"/>
                      <w:sz w:val="15"/>
                      <w:szCs w:val="15"/>
                      <w:lang w:bidi="ar"/>
                      <w14:textFill>
                        <w14:solidFill>
                          <w14:schemeClr w14:val="tx1"/>
                        </w14:solidFill>
                      </w14:textFill>
                    </w:rPr>
                  </w:pPr>
                  <w:r>
                    <w:rPr>
                      <w:rFonts w:hint="eastAsia" w:ascii="宋体" w:hAnsi="宋体" w:cs="宋体"/>
                      <w:color w:val="000000" w:themeColor="text1"/>
                      <w:kern w:val="0"/>
                      <w:sz w:val="15"/>
                      <w:szCs w:val="15"/>
                      <w:lang w:bidi="ar"/>
                      <w14:textFill>
                        <w14:solidFill>
                          <w14:schemeClr w14:val="tx1"/>
                        </w14:solidFill>
                      </w14:textFill>
                    </w:rPr>
                    <w:t>油烟净化器</w:t>
                  </w:r>
                </w:p>
              </w:tc>
              <w:tc>
                <w:tcPr>
                  <w:tcW w:w="175" w:type="pct"/>
                  <w:tcBorders>
                    <w:top w:val="single" w:color="auto" w:sz="12" w:space="0"/>
                    <w:left w:val="single" w:color="auto" w:sz="12" w:space="0"/>
                    <w:bottom w:val="single" w:color="auto" w:sz="12" w:space="0"/>
                    <w:right w:val="single" w:color="auto" w:sz="12" w:space="0"/>
                  </w:tcBorders>
                  <w:vAlign w:val="center"/>
                </w:tcPr>
                <w:p w14:paraId="54747EC7">
                  <w:pPr>
                    <w:widowControl/>
                    <w:jc w:val="center"/>
                    <w:textAlignment w:val="center"/>
                    <w:rPr>
                      <w:color w:val="000000" w:themeColor="text1"/>
                      <w:kern w:val="0"/>
                      <w:sz w:val="15"/>
                      <w:szCs w:val="15"/>
                      <w:lang w:bidi="ar"/>
                      <w14:textFill>
                        <w14:solidFill>
                          <w14:schemeClr w14:val="tx1"/>
                        </w14:solidFill>
                      </w14:textFill>
                    </w:rPr>
                  </w:pPr>
                  <w:r>
                    <w:rPr>
                      <w:rFonts w:hint="eastAsia" w:ascii="宋体" w:hAnsi="宋体" w:cs="宋体"/>
                      <w:color w:val="000000" w:themeColor="text1"/>
                      <w:kern w:val="0"/>
                      <w:sz w:val="15"/>
                      <w:szCs w:val="15"/>
                      <w:lang w:bidi="ar"/>
                      <w14:textFill>
                        <w14:solidFill>
                          <w14:schemeClr w14:val="tx1"/>
                        </w14:solidFill>
                      </w14:textFill>
                    </w:rPr>
                    <w:t>是</w:t>
                  </w:r>
                </w:p>
              </w:tc>
              <w:tc>
                <w:tcPr>
                  <w:tcW w:w="225" w:type="pct"/>
                  <w:tcBorders>
                    <w:top w:val="nil"/>
                    <w:left w:val="single" w:color="auto" w:sz="12" w:space="0"/>
                    <w:bottom w:val="single" w:color="000000" w:sz="12" w:space="0"/>
                    <w:right w:val="single" w:color="000000" w:sz="12" w:space="0"/>
                  </w:tcBorders>
                  <w:vAlign w:val="center"/>
                </w:tcPr>
                <w:p w14:paraId="143082C5">
                  <w:pPr>
                    <w:adjustRightInd w:val="0"/>
                    <w:snapToGrid w:val="0"/>
                    <w:jc w:val="center"/>
                    <w:rPr>
                      <w:color w:val="000000" w:themeColor="text1"/>
                      <w:sz w:val="15"/>
                      <w:szCs w:val="15"/>
                      <w:lang w:bidi="ar"/>
                      <w14:textFill>
                        <w14:solidFill>
                          <w14:schemeClr w14:val="tx1"/>
                        </w14:solidFill>
                      </w14:textFill>
                    </w:rPr>
                  </w:pPr>
                  <w:r>
                    <w:rPr>
                      <w:rFonts w:eastAsia="等线"/>
                      <w:color w:val="000000" w:themeColor="text1"/>
                      <w:kern w:val="0"/>
                      <w:sz w:val="15"/>
                      <w:szCs w:val="15"/>
                      <w:lang w:bidi="ar"/>
                      <w14:textFill>
                        <w14:solidFill>
                          <w14:schemeClr w14:val="tx1"/>
                        </w14:solidFill>
                      </w14:textFill>
                    </w:rPr>
                    <w:t>0.00</w:t>
                  </w:r>
                  <w:r>
                    <w:rPr>
                      <w:rFonts w:hint="eastAsia" w:eastAsia="等线"/>
                      <w:color w:val="000000" w:themeColor="text1"/>
                      <w:kern w:val="0"/>
                      <w:sz w:val="15"/>
                      <w:szCs w:val="15"/>
                      <w:lang w:bidi="ar"/>
                      <w14:textFill>
                        <w14:solidFill>
                          <w14:schemeClr w14:val="tx1"/>
                        </w14:solidFill>
                      </w14:textFill>
                    </w:rPr>
                    <w:t>1</w:t>
                  </w:r>
                </w:p>
              </w:tc>
              <w:tc>
                <w:tcPr>
                  <w:tcW w:w="238" w:type="pct"/>
                  <w:tcBorders>
                    <w:top w:val="nil"/>
                    <w:left w:val="single" w:color="000000" w:sz="12" w:space="0"/>
                    <w:bottom w:val="single" w:color="000000" w:sz="12" w:space="0"/>
                    <w:right w:val="single" w:color="000000" w:sz="12" w:space="0"/>
                  </w:tcBorders>
                  <w:vAlign w:val="center"/>
                </w:tcPr>
                <w:p w14:paraId="24157751">
                  <w:pPr>
                    <w:adjustRightInd w:val="0"/>
                    <w:snapToGrid w:val="0"/>
                    <w:jc w:val="center"/>
                    <w:rPr>
                      <w:color w:val="000000" w:themeColor="text1"/>
                      <w:sz w:val="15"/>
                      <w:szCs w:val="15"/>
                      <w:lang w:bidi="ar"/>
                      <w14:textFill>
                        <w14:solidFill>
                          <w14:schemeClr w14:val="tx1"/>
                        </w14:solidFill>
                      </w14:textFill>
                    </w:rPr>
                  </w:pPr>
                  <w:r>
                    <w:rPr>
                      <w:rFonts w:eastAsia="等线"/>
                      <w:color w:val="000000" w:themeColor="text1"/>
                      <w:kern w:val="0"/>
                      <w:sz w:val="15"/>
                      <w:szCs w:val="15"/>
                      <w:lang w:bidi="ar"/>
                      <w14:textFill>
                        <w14:solidFill>
                          <w14:schemeClr w14:val="tx1"/>
                        </w14:solidFill>
                      </w14:textFill>
                    </w:rPr>
                    <w:t>0.00</w:t>
                  </w:r>
                  <w:r>
                    <w:rPr>
                      <w:rFonts w:hint="eastAsia" w:eastAsia="等线"/>
                      <w:color w:val="000000" w:themeColor="text1"/>
                      <w:kern w:val="0"/>
                      <w:sz w:val="15"/>
                      <w:szCs w:val="15"/>
                      <w:lang w:bidi="ar"/>
                      <w14:textFill>
                        <w14:solidFill>
                          <w14:schemeClr w14:val="tx1"/>
                        </w14:solidFill>
                      </w14:textFill>
                    </w:rPr>
                    <w:t>05</w:t>
                  </w:r>
                </w:p>
              </w:tc>
              <w:tc>
                <w:tcPr>
                  <w:tcW w:w="246" w:type="pct"/>
                  <w:tcBorders>
                    <w:top w:val="nil"/>
                    <w:left w:val="single" w:color="000000" w:sz="12" w:space="0"/>
                    <w:bottom w:val="single" w:color="000000" w:sz="12" w:space="0"/>
                    <w:right w:val="single" w:color="000000" w:sz="12" w:space="0"/>
                  </w:tcBorders>
                  <w:vAlign w:val="center"/>
                </w:tcPr>
                <w:p w14:paraId="668F174B">
                  <w:pPr>
                    <w:widowControl/>
                    <w:jc w:val="center"/>
                    <w:textAlignment w:val="center"/>
                    <w:rPr>
                      <w:color w:val="000000" w:themeColor="text1"/>
                      <w:kern w:val="0"/>
                      <w:sz w:val="13"/>
                      <w:szCs w:val="13"/>
                      <w:lang w:bidi="ar"/>
                      <w14:textFill>
                        <w14:solidFill>
                          <w14:schemeClr w14:val="tx1"/>
                        </w14:solidFill>
                      </w14:textFill>
                    </w:rPr>
                  </w:pPr>
                  <w:r>
                    <w:rPr>
                      <w:rFonts w:hint="eastAsia" w:eastAsia="等线"/>
                      <w:color w:val="000000" w:themeColor="text1"/>
                      <w:kern w:val="0"/>
                      <w:sz w:val="15"/>
                      <w:szCs w:val="15"/>
                      <w:lang w:bidi="ar"/>
                      <w14:textFill>
                        <w14:solidFill>
                          <w14:schemeClr w14:val="tx1"/>
                        </w14:solidFill>
                      </w14:textFill>
                    </w:rPr>
                    <w:t>0.5</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1A7D9348">
                  <w:pPr>
                    <w:widowControl/>
                    <w:jc w:val="center"/>
                    <w:textAlignment w:val="center"/>
                    <w:rPr>
                      <w:color w:val="000000" w:themeColor="text1"/>
                      <w:kern w:val="0"/>
                      <w:sz w:val="13"/>
                      <w:szCs w:val="13"/>
                      <w:lang w:bidi="ar"/>
                      <w14:textFill>
                        <w14:solidFill>
                          <w14:schemeClr w14:val="tx1"/>
                        </w14:solidFill>
                      </w14:textFill>
                    </w:rPr>
                  </w:pPr>
                  <w:r>
                    <w:rPr>
                      <w:rFonts w:eastAsia="等线"/>
                      <w:color w:val="000000" w:themeColor="text1"/>
                      <w:kern w:val="0"/>
                      <w:sz w:val="15"/>
                      <w:szCs w:val="15"/>
                      <w:lang w:bidi="ar"/>
                      <w14:textFill>
                        <w14:solidFill>
                          <w14:schemeClr w14:val="tx1"/>
                        </w14:solidFill>
                      </w14:textFill>
                    </w:rPr>
                    <w:t>/</w:t>
                  </w:r>
                </w:p>
              </w:tc>
              <w:tc>
                <w:tcPr>
                  <w:tcW w:w="218" w:type="pct"/>
                  <w:tcBorders>
                    <w:top w:val="single" w:color="000000" w:sz="12" w:space="0"/>
                    <w:left w:val="single" w:color="000000" w:sz="12" w:space="0"/>
                    <w:bottom w:val="single" w:color="000000" w:sz="12" w:space="0"/>
                    <w:right w:val="single" w:color="000000" w:sz="12" w:space="0"/>
                  </w:tcBorders>
                  <w:vAlign w:val="center"/>
                </w:tcPr>
                <w:p w14:paraId="5E87EE5F">
                  <w:pPr>
                    <w:widowControl/>
                    <w:jc w:val="center"/>
                    <w:textAlignment w:val="center"/>
                    <w:rPr>
                      <w:color w:val="000000" w:themeColor="text1"/>
                      <w:kern w:val="0"/>
                      <w:sz w:val="13"/>
                      <w:szCs w:val="13"/>
                      <w:lang w:bidi="ar"/>
                      <w14:textFill>
                        <w14:solidFill>
                          <w14:schemeClr w14:val="tx1"/>
                        </w14:solidFill>
                      </w14:textFill>
                    </w:rPr>
                  </w:pPr>
                  <w:r>
                    <w:rPr>
                      <w:rFonts w:eastAsia="等线"/>
                      <w:color w:val="000000" w:themeColor="text1"/>
                      <w:kern w:val="0"/>
                      <w:sz w:val="15"/>
                      <w:szCs w:val="15"/>
                      <w:lang w:bidi="ar"/>
                      <w14:textFill>
                        <w14:solidFill>
                          <w14:schemeClr w14:val="tx1"/>
                        </w14:solidFill>
                      </w14:textFill>
                    </w:rPr>
                    <w:t>/</w:t>
                  </w:r>
                </w:p>
              </w:tc>
              <w:tc>
                <w:tcPr>
                  <w:tcW w:w="230" w:type="pct"/>
                  <w:tcBorders>
                    <w:top w:val="single" w:color="000000" w:sz="12" w:space="0"/>
                    <w:left w:val="single" w:color="000000" w:sz="12" w:space="0"/>
                    <w:bottom w:val="single" w:color="000000" w:sz="12" w:space="0"/>
                    <w:right w:val="single" w:color="000000" w:sz="12" w:space="0"/>
                  </w:tcBorders>
                  <w:vAlign w:val="center"/>
                </w:tcPr>
                <w:p w14:paraId="1FD09BB7">
                  <w:pPr>
                    <w:widowControl/>
                    <w:jc w:val="center"/>
                    <w:textAlignment w:val="center"/>
                    <w:rPr>
                      <w:color w:val="000000" w:themeColor="text1"/>
                      <w:kern w:val="0"/>
                      <w:sz w:val="13"/>
                      <w:szCs w:val="13"/>
                      <w:lang w:bidi="ar"/>
                      <w14:textFill>
                        <w14:solidFill>
                          <w14:schemeClr w14:val="tx1"/>
                        </w14:solidFill>
                      </w14:textFill>
                    </w:rPr>
                  </w:pPr>
                  <w:r>
                    <w:rPr>
                      <w:rFonts w:eastAsia="等线"/>
                      <w:color w:val="000000" w:themeColor="text1"/>
                      <w:kern w:val="0"/>
                      <w:sz w:val="15"/>
                      <w:szCs w:val="15"/>
                      <w:lang w:bidi="ar"/>
                      <w14:textFill>
                        <w14:solidFill>
                          <w14:schemeClr w14:val="tx1"/>
                        </w14:solidFill>
                      </w14:textFill>
                    </w:rPr>
                    <w:t>/</w:t>
                  </w:r>
                </w:p>
              </w:tc>
              <w:tc>
                <w:tcPr>
                  <w:tcW w:w="129" w:type="pct"/>
                  <w:tcBorders>
                    <w:top w:val="single" w:color="000000" w:sz="12" w:space="0"/>
                    <w:left w:val="single" w:color="000000" w:sz="12" w:space="0"/>
                    <w:bottom w:val="single" w:color="000000" w:sz="12" w:space="0"/>
                    <w:right w:val="single" w:color="000000" w:sz="12" w:space="0"/>
                  </w:tcBorders>
                  <w:vAlign w:val="center"/>
                </w:tcPr>
                <w:p w14:paraId="20F26FDC">
                  <w:pPr>
                    <w:widowControl/>
                    <w:jc w:val="center"/>
                    <w:textAlignment w:val="center"/>
                    <w:rPr>
                      <w:color w:val="000000" w:themeColor="text1"/>
                      <w:kern w:val="0"/>
                      <w:sz w:val="13"/>
                      <w:szCs w:val="13"/>
                      <w:lang w:bidi="ar"/>
                      <w14:textFill>
                        <w14:solidFill>
                          <w14:schemeClr w14:val="tx1"/>
                        </w14:solidFill>
                      </w14:textFill>
                    </w:rPr>
                  </w:pPr>
                  <w:r>
                    <w:rPr>
                      <w:rFonts w:eastAsia="等线"/>
                      <w:color w:val="000000" w:themeColor="text1"/>
                      <w:kern w:val="0"/>
                      <w:sz w:val="15"/>
                      <w:szCs w:val="15"/>
                      <w:lang w:bidi="ar"/>
                      <w14:textFill>
                        <w14:solidFill>
                          <w14:schemeClr w14:val="tx1"/>
                        </w14:solidFill>
                      </w14:textFill>
                    </w:rPr>
                    <w:t>/</w:t>
                  </w:r>
                </w:p>
              </w:tc>
              <w:tc>
                <w:tcPr>
                  <w:tcW w:w="248" w:type="pct"/>
                  <w:tcBorders>
                    <w:top w:val="single" w:color="000000" w:sz="12" w:space="0"/>
                    <w:left w:val="single" w:color="000000" w:sz="12" w:space="0"/>
                    <w:bottom w:val="single" w:color="000000" w:sz="12" w:space="0"/>
                    <w:right w:val="single" w:color="000000" w:sz="12" w:space="0"/>
                  </w:tcBorders>
                  <w:vAlign w:val="center"/>
                </w:tcPr>
                <w:p w14:paraId="0FB9FD21">
                  <w:pPr>
                    <w:widowControl/>
                    <w:jc w:val="center"/>
                    <w:textAlignment w:val="center"/>
                    <w:rPr>
                      <w:color w:val="000000" w:themeColor="text1"/>
                      <w:kern w:val="0"/>
                      <w:sz w:val="13"/>
                      <w:szCs w:val="13"/>
                      <w:lang w:bidi="ar"/>
                      <w14:textFill>
                        <w14:solidFill>
                          <w14:schemeClr w14:val="tx1"/>
                        </w14:solidFill>
                      </w14:textFill>
                    </w:rPr>
                  </w:pPr>
                  <w:r>
                    <w:rPr>
                      <w:rFonts w:eastAsia="等线"/>
                      <w:color w:val="000000" w:themeColor="text1"/>
                      <w:kern w:val="0"/>
                      <w:sz w:val="15"/>
                      <w:szCs w:val="15"/>
                      <w:lang w:bidi="ar"/>
                      <w14:textFill>
                        <w14:solidFill>
                          <w14:schemeClr w14:val="tx1"/>
                        </w14:solidFill>
                      </w14:textFill>
                    </w:rPr>
                    <w:t>/</w:t>
                  </w:r>
                </w:p>
              </w:tc>
              <w:tc>
                <w:tcPr>
                  <w:tcW w:w="320" w:type="pct"/>
                  <w:tcBorders>
                    <w:top w:val="single" w:color="000000" w:sz="12" w:space="0"/>
                    <w:left w:val="single" w:color="000000" w:sz="12" w:space="0"/>
                    <w:bottom w:val="single" w:color="000000" w:sz="12" w:space="0"/>
                    <w:right w:val="single" w:color="000000" w:sz="12" w:space="0"/>
                  </w:tcBorders>
                  <w:vAlign w:val="center"/>
                </w:tcPr>
                <w:p w14:paraId="6D3082EC">
                  <w:pPr>
                    <w:widowControl/>
                    <w:jc w:val="center"/>
                    <w:textAlignment w:val="center"/>
                    <w:rPr>
                      <w:color w:val="000000" w:themeColor="text1"/>
                      <w:kern w:val="0"/>
                      <w:sz w:val="13"/>
                      <w:szCs w:val="13"/>
                      <w:lang w:bidi="ar"/>
                      <w14:textFill>
                        <w14:solidFill>
                          <w14:schemeClr w14:val="tx1"/>
                        </w14:solidFill>
                      </w14:textFill>
                    </w:rPr>
                  </w:pPr>
                  <w:r>
                    <w:rPr>
                      <w:rFonts w:hint="eastAsia" w:eastAsia="等线"/>
                      <w:color w:val="000000" w:themeColor="text1"/>
                      <w:kern w:val="0"/>
                      <w:sz w:val="15"/>
                      <w:szCs w:val="15"/>
                      <w:lang w:bidi="ar"/>
                      <w14:textFill>
                        <w14:solidFill>
                          <w14:schemeClr w14:val="tx1"/>
                        </w14:solidFill>
                      </w14:textFill>
                    </w:rPr>
                    <w:t>2</w:t>
                  </w:r>
                </w:p>
              </w:tc>
              <w:tc>
                <w:tcPr>
                  <w:tcW w:w="284" w:type="pct"/>
                  <w:tcBorders>
                    <w:top w:val="single" w:color="000000" w:sz="12" w:space="0"/>
                    <w:left w:val="single" w:color="000000" w:sz="12" w:space="0"/>
                    <w:bottom w:val="single" w:color="000000" w:sz="12" w:space="0"/>
                    <w:right w:val="single" w:color="000000" w:sz="12" w:space="0"/>
                  </w:tcBorders>
                  <w:vAlign w:val="center"/>
                </w:tcPr>
                <w:p w14:paraId="791B90D1">
                  <w:pPr>
                    <w:widowControl/>
                    <w:jc w:val="center"/>
                    <w:textAlignment w:val="center"/>
                    <w:rPr>
                      <w:color w:val="000000" w:themeColor="text1"/>
                      <w:kern w:val="0"/>
                      <w:sz w:val="13"/>
                      <w:szCs w:val="13"/>
                      <w:lang w:bidi="ar"/>
                      <w14:textFill>
                        <w14:solidFill>
                          <w14:schemeClr w14:val="tx1"/>
                        </w14:solidFill>
                      </w14:textFill>
                    </w:rPr>
                  </w:pPr>
                  <w:r>
                    <w:rPr>
                      <w:rFonts w:hint="eastAsia" w:eastAsia="等线"/>
                      <w:color w:val="000000" w:themeColor="text1"/>
                      <w:kern w:val="0"/>
                      <w:sz w:val="15"/>
                      <w:szCs w:val="15"/>
                      <w:lang w:bidi="ar"/>
                      <w14:textFill>
                        <w14:solidFill>
                          <w14:schemeClr w14:val="tx1"/>
                        </w14:solidFill>
                      </w14:textFill>
                    </w:rPr>
                    <w:t>/</w:t>
                  </w:r>
                </w:p>
              </w:tc>
              <w:tc>
                <w:tcPr>
                  <w:tcW w:w="240" w:type="pct"/>
                  <w:tcBorders>
                    <w:top w:val="single" w:color="000000" w:sz="12" w:space="0"/>
                    <w:left w:val="nil"/>
                    <w:bottom w:val="single" w:color="000000" w:sz="12" w:space="0"/>
                    <w:right w:val="single" w:color="000000" w:sz="12" w:space="0"/>
                  </w:tcBorders>
                  <w:vAlign w:val="center"/>
                </w:tcPr>
                <w:p w14:paraId="318F9026">
                  <w:pPr>
                    <w:widowControl/>
                    <w:jc w:val="center"/>
                    <w:textAlignment w:val="center"/>
                    <w:rPr>
                      <w:color w:val="000000" w:themeColor="text1"/>
                      <w:kern w:val="0"/>
                      <w:sz w:val="13"/>
                      <w:szCs w:val="13"/>
                      <w:lang w:bidi="ar"/>
                      <w14:textFill>
                        <w14:solidFill>
                          <w14:schemeClr w14:val="tx1"/>
                        </w14:solidFill>
                      </w14:textFill>
                    </w:rPr>
                  </w:pPr>
                  <w:r>
                    <w:rPr>
                      <w:rFonts w:hint="eastAsia" w:ascii="宋体" w:hAnsi="宋体" w:cs="宋体"/>
                      <w:color w:val="000000" w:themeColor="text1"/>
                      <w:kern w:val="0"/>
                      <w:sz w:val="15"/>
                      <w:szCs w:val="15"/>
                      <w:lang w:bidi="ar"/>
                      <w14:textFill>
                        <w14:solidFill>
                          <w14:schemeClr w14:val="tx1"/>
                        </w14:solidFill>
                      </w14:textFill>
                    </w:rPr>
                    <w:t>/</w:t>
                  </w:r>
                </w:p>
              </w:tc>
            </w:tr>
            <w:tr w14:paraId="089367A0">
              <w:tblPrEx>
                <w:tblCellMar>
                  <w:top w:w="0" w:type="dxa"/>
                  <w:left w:w="108" w:type="dxa"/>
                  <w:bottom w:w="0" w:type="dxa"/>
                  <w:right w:w="108" w:type="dxa"/>
                </w:tblCellMar>
              </w:tblPrEx>
              <w:trPr>
                <w:trHeight w:val="318" w:hRule="atLeast"/>
              </w:trPr>
              <w:tc>
                <w:tcPr>
                  <w:tcW w:w="5000" w:type="pct"/>
                  <w:gridSpan w:val="22"/>
                  <w:tcBorders>
                    <w:top w:val="nil"/>
                    <w:left w:val="single" w:color="000000" w:sz="12" w:space="0"/>
                    <w:bottom w:val="single" w:color="000000" w:sz="12" w:space="0"/>
                    <w:right w:val="single" w:color="000000" w:sz="12" w:space="0"/>
                  </w:tcBorders>
                  <w:vAlign w:val="center"/>
                </w:tcPr>
                <w:p w14:paraId="03EBCFE6">
                  <w:pPr>
                    <w:widowControl/>
                    <w:textAlignment w:val="center"/>
                    <w:rPr>
                      <w:rFonts w:hint="eastAsia" w:ascii="宋体" w:hAnsi="宋体" w:cs="宋体"/>
                      <w:color w:val="000000" w:themeColor="text1"/>
                      <w:sz w:val="13"/>
                      <w:szCs w:val="13"/>
                      <w14:textFill>
                        <w14:solidFill>
                          <w14:schemeClr w14:val="tx1"/>
                        </w14:solidFill>
                      </w14:textFill>
                    </w:rPr>
                  </w:pPr>
                  <w:r>
                    <w:rPr>
                      <w:rFonts w:hint="eastAsia" w:ascii="宋体" w:hAnsi="宋体" w:cs="宋体"/>
                      <w:color w:val="000000" w:themeColor="text1"/>
                      <w:kern w:val="0"/>
                      <w:sz w:val="13"/>
                      <w:szCs w:val="13"/>
                      <w:lang w:bidi="ar"/>
                      <w14:textFill>
                        <w14:solidFill>
                          <w14:schemeClr w14:val="tx1"/>
                        </w14:solidFill>
                      </w14:textFill>
                    </w:rPr>
                    <w:t>排放时间：年</w:t>
                  </w:r>
                  <w:r>
                    <w:rPr>
                      <w:color w:val="000000" w:themeColor="text1"/>
                      <w:kern w:val="0"/>
                      <w:sz w:val="13"/>
                      <w:szCs w:val="13"/>
                      <w:lang w:bidi="ar"/>
                      <w14:textFill>
                        <w14:solidFill>
                          <w14:schemeClr w14:val="tx1"/>
                        </w14:solidFill>
                      </w14:textFill>
                    </w:rPr>
                    <w:t>300</w:t>
                  </w:r>
                  <w:r>
                    <w:rPr>
                      <w:rFonts w:hint="eastAsia" w:ascii="宋体" w:hAnsi="宋体" w:cs="宋体"/>
                      <w:color w:val="000000" w:themeColor="text1"/>
                      <w:kern w:val="0"/>
                      <w:sz w:val="13"/>
                      <w:szCs w:val="13"/>
                      <w:lang w:bidi="ar"/>
                      <w14:textFill>
                        <w14:solidFill>
                          <w14:schemeClr w14:val="tx1"/>
                        </w14:solidFill>
                      </w14:textFill>
                    </w:rPr>
                    <w:t>天，</w:t>
                  </w:r>
                  <w:r>
                    <w:rPr>
                      <w:rFonts w:hint="eastAsia"/>
                      <w:color w:val="000000" w:themeColor="text1"/>
                      <w:kern w:val="0"/>
                      <w:sz w:val="13"/>
                      <w:szCs w:val="13"/>
                      <w:lang w:bidi="ar"/>
                      <w14:textFill>
                        <w14:solidFill>
                          <w14:schemeClr w14:val="tx1"/>
                        </w14:solidFill>
                      </w14:textFill>
                    </w:rPr>
                    <w:t>日工作24h</w:t>
                  </w:r>
                  <w:r>
                    <w:rPr>
                      <w:rFonts w:hint="eastAsia" w:ascii="宋体" w:hAnsi="宋体" w:cs="宋体"/>
                      <w:color w:val="000000" w:themeColor="text1"/>
                      <w:kern w:val="0"/>
                      <w:sz w:val="13"/>
                      <w:szCs w:val="13"/>
                      <w:lang w:bidi="ar"/>
                      <w14:textFill>
                        <w14:solidFill>
                          <w14:schemeClr w14:val="tx1"/>
                        </w14:solidFill>
                      </w14:textFill>
                    </w:rPr>
                    <w:t>，共</w:t>
                  </w:r>
                  <w:r>
                    <w:rPr>
                      <w:rFonts w:hint="eastAsia"/>
                      <w:color w:val="000000" w:themeColor="text1"/>
                      <w:kern w:val="0"/>
                      <w:sz w:val="13"/>
                      <w:szCs w:val="13"/>
                      <w:lang w:bidi="ar"/>
                      <w14:textFill>
                        <w14:solidFill>
                          <w14:schemeClr w14:val="tx1"/>
                        </w14:solidFill>
                      </w14:textFill>
                    </w:rPr>
                    <w:t>72</w:t>
                  </w:r>
                  <w:r>
                    <w:rPr>
                      <w:color w:val="000000" w:themeColor="text1"/>
                      <w:kern w:val="0"/>
                      <w:sz w:val="13"/>
                      <w:szCs w:val="13"/>
                      <w:lang w:bidi="ar"/>
                      <w14:textFill>
                        <w14:solidFill>
                          <w14:schemeClr w14:val="tx1"/>
                        </w14:solidFill>
                      </w14:textFill>
                    </w:rPr>
                    <w:t>00h/a</w:t>
                  </w:r>
                  <w:r>
                    <w:rPr>
                      <w:rFonts w:hint="eastAsia"/>
                      <w:color w:val="000000" w:themeColor="text1"/>
                      <w:kern w:val="0"/>
                      <w:sz w:val="13"/>
                      <w:szCs w:val="13"/>
                      <w:lang w:bidi="ar"/>
                      <w14:textFill>
                        <w14:solidFill>
                          <w14:schemeClr w14:val="tx1"/>
                        </w14:solidFill>
                      </w14:textFill>
                    </w:rPr>
                    <w:t>。</w:t>
                  </w:r>
                </w:p>
              </w:tc>
            </w:tr>
          </w:tbl>
          <w:p w14:paraId="19FB1A07">
            <w:pPr>
              <w:spacing w:line="360" w:lineRule="auto"/>
              <w:ind w:firstLine="482" w:firstLineChars="200"/>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1、</w:t>
            </w:r>
            <w:r>
              <w:rPr>
                <w:b/>
                <w:bCs/>
                <w:color w:val="000000" w:themeColor="text1"/>
                <w:sz w:val="24"/>
                <w14:textFill>
                  <w14:solidFill>
                    <w14:schemeClr w14:val="tx1"/>
                  </w14:solidFill>
                </w14:textFill>
              </w:rPr>
              <w:t>废气污染源源强核算：</w:t>
            </w:r>
          </w:p>
          <w:p w14:paraId="51223B29">
            <w:pPr>
              <w:tabs>
                <w:tab w:val="left" w:pos="1275"/>
              </w:tabs>
              <w:spacing w:line="360" w:lineRule="auto"/>
              <w:ind w:firstLine="480"/>
              <w:jc w:val="left"/>
              <w:rPr>
                <w:color w:val="000000" w:themeColor="text1"/>
                <w:sz w:val="24"/>
                <w14:textFill>
                  <w14:solidFill>
                    <w14:schemeClr w14:val="tx1"/>
                  </w14:solidFill>
                </w14:textFill>
              </w:rPr>
            </w:pPr>
            <w:bookmarkStart w:id="53" w:name="_Hlk193820164"/>
            <w:r>
              <w:rPr>
                <w:color w:val="000000" w:themeColor="text1"/>
                <w:sz w:val="24"/>
                <w14:textFill>
                  <w14:solidFill>
                    <w14:schemeClr w14:val="tx1"/>
                  </w14:solidFill>
                </w14:textFill>
              </w:rPr>
              <w:t>项目营运期间产生的废气主要为</w:t>
            </w:r>
            <w:r>
              <w:rPr>
                <w:rFonts w:hint="eastAsia"/>
                <w:color w:val="000000" w:themeColor="text1"/>
                <w:sz w:val="24"/>
                <w14:textFill>
                  <w14:solidFill>
                    <w14:schemeClr w14:val="tx1"/>
                  </w14:solidFill>
                </w14:textFill>
              </w:rPr>
              <w:t>破碎、筛分粉尘、投料粉尘、堆场扬尘、车辆运输动力起尘、传送带输送粉尘、筒仓呼吸粉尘、搅拌粉尘和食堂油烟；破碎、筛分粉尘、</w:t>
            </w:r>
            <w:r>
              <w:rPr>
                <w:rFonts w:hint="eastAsia"/>
                <w:bCs/>
                <w:color w:val="000000" w:themeColor="text1"/>
                <w:sz w:val="24"/>
                <w14:textFill>
                  <w14:solidFill>
                    <w14:schemeClr w14:val="tx1"/>
                  </w14:solidFill>
                </w14:textFill>
              </w:rPr>
              <w:t>投料粉尘</w:t>
            </w:r>
            <w:r>
              <w:rPr>
                <w:rFonts w:hint="eastAsia"/>
                <w:color w:val="000000" w:themeColor="text1"/>
                <w:sz w:val="24"/>
                <w14:textFill>
                  <w14:solidFill>
                    <w14:schemeClr w14:val="tx1"/>
                  </w14:solidFill>
                </w14:textFill>
              </w:rPr>
              <w:t>、搅拌粉尘、堆场扬尘经洒水抑尘处理后无组织排放，车辆运输动力起尘经洒水抑尘处理后无组织排排放，传送带输送粉尘经</w:t>
            </w:r>
            <w:r>
              <w:rPr>
                <w:rFonts w:hint="eastAsia"/>
                <w:bCs/>
                <w:color w:val="000000" w:themeColor="text1"/>
                <w:sz w:val="24"/>
                <w14:textFill>
                  <w14:solidFill>
                    <w14:schemeClr w14:val="tx1"/>
                  </w14:solidFill>
                </w14:textFill>
              </w:rPr>
              <w:t>密闭传送处理后无组织排放</w:t>
            </w:r>
            <w:r>
              <w:rPr>
                <w:rFonts w:hint="eastAsia"/>
                <w:color w:val="000000" w:themeColor="text1"/>
                <w:sz w:val="24"/>
                <w14:textFill>
                  <w14:solidFill>
                    <w14:schemeClr w14:val="tx1"/>
                  </w14:solidFill>
                </w14:textFill>
              </w:rPr>
              <w:t>，筒仓呼吸粉尘通过脉冲布袋除尘器去除，食堂油烟经油烟净化器处理后无组织排放。</w:t>
            </w:r>
          </w:p>
          <w:p w14:paraId="29446BB6">
            <w:pPr>
              <w:tabs>
                <w:tab w:val="left" w:pos="1275"/>
              </w:tabs>
              <w:spacing w:line="360" w:lineRule="auto"/>
              <w:ind w:firstLine="48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）堆场扬尘</w:t>
            </w:r>
          </w:p>
          <w:p w14:paraId="40E4FA76">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本项目原料及</w:t>
            </w:r>
            <w:r>
              <w:rPr>
                <w:rFonts w:hint="eastAsia"/>
                <w:color w:val="000000" w:themeColor="text1"/>
                <w:sz w:val="24"/>
                <w14:textFill>
                  <w14:solidFill>
                    <w14:schemeClr w14:val="tx1"/>
                  </w14:solidFill>
                </w14:textFill>
              </w:rPr>
              <w:t>半</w:t>
            </w:r>
            <w:r>
              <w:rPr>
                <w:color w:val="000000" w:themeColor="text1"/>
                <w:sz w:val="24"/>
                <w14:textFill>
                  <w14:solidFill>
                    <w14:schemeClr w14:val="tx1"/>
                  </w14:solidFill>
                </w14:textFill>
              </w:rPr>
              <w:t>成品堆放会产生堆场粉尘，根据《排放源统计调查产排污核算方法和系数手册》中</w:t>
            </w:r>
            <w:r>
              <w:rPr>
                <w:rFonts w:hint="eastAsia"/>
                <w:color w:val="000000" w:themeColor="text1"/>
                <w:sz w:val="24"/>
                <w14:textFill>
                  <w14:solidFill>
                    <w14:schemeClr w14:val="tx1"/>
                  </w14:solidFill>
                </w14:textFill>
              </w:rPr>
              <w:t xml:space="preserve">“附表2 </w:t>
            </w:r>
            <w:r>
              <w:rPr>
                <w:color w:val="000000" w:themeColor="text1"/>
                <w:sz w:val="24"/>
                <w14:textFill>
                  <w14:solidFill>
                    <w14:schemeClr w14:val="tx1"/>
                  </w14:solidFill>
                </w14:textFill>
              </w:rPr>
              <w:t>固体物料堆存颗粒物产排污核算系数手册</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，工业企业固体物料堆存颗粒物包括装卸场尘和风蚀扬尘，颗粒物产生量核算公式如下：</w:t>
            </w:r>
          </w:p>
          <w:p w14:paraId="2B695670">
            <w:pPr>
              <w:jc w:val="center"/>
              <w:rPr>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3924300" cy="323850"/>
                  <wp:effectExtent l="0" t="0" r="0" b="0"/>
                  <wp:docPr id="91962995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29954" name="图片 4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924300" cy="323850"/>
                          </a:xfrm>
                          <a:prstGeom prst="rect">
                            <a:avLst/>
                          </a:prstGeom>
                          <a:noFill/>
                          <a:ln>
                            <a:noFill/>
                          </a:ln>
                          <a:effectLst/>
                        </pic:spPr>
                      </pic:pic>
                    </a:graphicData>
                  </a:graphic>
                </wp:inline>
              </w:drawing>
            </w:r>
          </w:p>
          <w:p w14:paraId="0325CACD">
            <w:pPr>
              <w:spacing w:line="360" w:lineRule="auto"/>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 xml:space="preserve">式中：P—指颗粒物产生量（单位：吨）； </w:t>
            </w:r>
          </w:p>
          <w:p w14:paraId="5BE1D238">
            <w:pPr>
              <w:spacing w:line="360" w:lineRule="auto"/>
              <w:ind w:firstLine="960" w:firstLineChars="400"/>
              <w:rPr>
                <w:color w:val="000000" w:themeColor="text1"/>
                <w:sz w:val="24"/>
                <w14:textFill>
                  <w14:solidFill>
                    <w14:schemeClr w14:val="tx1"/>
                  </w14:solidFill>
                </w14:textFill>
              </w:rPr>
            </w:pPr>
            <w:r>
              <w:rPr>
                <w:color w:val="000000" w:themeColor="text1"/>
                <w:sz w:val="24"/>
                <w14:textFill>
                  <w14:solidFill>
                    <w14:schemeClr w14:val="tx1"/>
                  </w14:solidFill>
                </w14:textFill>
              </w:rPr>
              <w:t>ZC</w:t>
            </w:r>
            <w:r>
              <w:rPr>
                <w:color w:val="000000" w:themeColor="text1"/>
                <w:sz w:val="24"/>
                <w:vertAlign w:val="subscript"/>
                <w14:textFill>
                  <w14:solidFill>
                    <w14:schemeClr w14:val="tx1"/>
                  </w14:solidFill>
                </w14:textFill>
              </w:rPr>
              <w:t>y</w:t>
            </w:r>
            <w:r>
              <w:rPr>
                <w:color w:val="000000" w:themeColor="text1"/>
                <w:sz w:val="24"/>
                <w14:textFill>
                  <w14:solidFill>
                    <w14:schemeClr w14:val="tx1"/>
                  </w14:solidFill>
                </w14:textFill>
              </w:rPr>
              <w:t xml:space="preserve">—指装卸扬尘产生量（单位：吨）； </w:t>
            </w:r>
          </w:p>
          <w:p w14:paraId="014A8D96">
            <w:pPr>
              <w:spacing w:line="360" w:lineRule="auto"/>
              <w:ind w:firstLine="960" w:firstLineChars="400"/>
              <w:rPr>
                <w:color w:val="000000" w:themeColor="text1"/>
                <w:sz w:val="24"/>
                <w14:textFill>
                  <w14:solidFill>
                    <w14:schemeClr w14:val="tx1"/>
                  </w14:solidFill>
                </w14:textFill>
              </w:rPr>
            </w:pPr>
            <w:r>
              <w:rPr>
                <w:color w:val="000000" w:themeColor="text1"/>
                <w:sz w:val="24"/>
                <w14:textFill>
                  <w14:solidFill>
                    <w14:schemeClr w14:val="tx1"/>
                  </w14:solidFill>
                </w14:textFill>
              </w:rPr>
              <w:t>FC</w:t>
            </w:r>
            <w:r>
              <w:rPr>
                <w:color w:val="000000" w:themeColor="text1"/>
                <w:sz w:val="24"/>
                <w:vertAlign w:val="subscript"/>
                <w14:textFill>
                  <w14:solidFill>
                    <w14:schemeClr w14:val="tx1"/>
                  </w14:solidFill>
                </w14:textFill>
              </w:rPr>
              <w:t>y</w:t>
            </w:r>
            <w:r>
              <w:rPr>
                <w:color w:val="000000" w:themeColor="text1"/>
                <w:sz w:val="24"/>
                <w14:textFill>
                  <w14:solidFill>
                    <w14:schemeClr w14:val="tx1"/>
                  </w14:solidFill>
                </w14:textFill>
              </w:rPr>
              <w:t xml:space="preserve">—指风蚀扬尘产生量（单位：吨）； </w:t>
            </w:r>
          </w:p>
          <w:p w14:paraId="24265271">
            <w:pPr>
              <w:spacing w:line="360" w:lineRule="auto"/>
              <w:ind w:firstLine="960" w:firstLineChars="400"/>
              <w:rPr>
                <w:color w:val="000000" w:themeColor="text1"/>
                <w:sz w:val="24"/>
                <w14:textFill>
                  <w14:solidFill>
                    <w14:schemeClr w14:val="tx1"/>
                  </w14:solidFill>
                </w14:textFill>
              </w:rPr>
            </w:pPr>
            <w:r>
              <w:rPr>
                <w:color w:val="000000" w:themeColor="text1"/>
                <w:sz w:val="24"/>
                <w14:textFill>
                  <w14:solidFill>
                    <w14:schemeClr w14:val="tx1"/>
                  </w14:solidFill>
                </w14:textFill>
              </w:rPr>
              <w:t>N</w:t>
            </w:r>
            <w:r>
              <w:rPr>
                <w:color w:val="000000" w:themeColor="text1"/>
                <w:sz w:val="24"/>
                <w:vertAlign w:val="subscript"/>
                <w14:textFill>
                  <w14:solidFill>
                    <w14:schemeClr w14:val="tx1"/>
                  </w14:solidFill>
                </w14:textFill>
              </w:rPr>
              <w:t>c</w:t>
            </w:r>
            <w:r>
              <w:rPr>
                <w:color w:val="000000" w:themeColor="text1"/>
                <w:sz w:val="24"/>
                <w14:textFill>
                  <w14:solidFill>
                    <w14:schemeClr w14:val="tx1"/>
                  </w14:solidFill>
                </w14:textFill>
              </w:rPr>
              <w:t xml:space="preserve">—指年物料运载车次（单位：车）； </w:t>
            </w:r>
          </w:p>
          <w:p w14:paraId="6D356D33">
            <w:pPr>
              <w:spacing w:line="360" w:lineRule="auto"/>
              <w:ind w:firstLine="960" w:firstLineChars="400"/>
              <w:rPr>
                <w:color w:val="000000" w:themeColor="text1"/>
                <w:sz w:val="24"/>
                <w14:textFill>
                  <w14:solidFill>
                    <w14:schemeClr w14:val="tx1"/>
                  </w14:solidFill>
                </w14:textFill>
              </w:rPr>
            </w:pPr>
            <w:r>
              <w:rPr>
                <w:color w:val="000000" w:themeColor="text1"/>
                <w:sz w:val="24"/>
                <w14:textFill>
                  <w14:solidFill>
                    <w14:schemeClr w14:val="tx1"/>
                  </w14:solidFill>
                </w14:textFill>
              </w:rPr>
              <w:t xml:space="preserve">D—指单车平均运载量（单位：吨/车）； </w:t>
            </w:r>
          </w:p>
          <w:p w14:paraId="35AB330E">
            <w:pPr>
              <w:spacing w:line="360" w:lineRule="auto"/>
              <w:ind w:firstLine="960" w:firstLineChars="400"/>
              <w:rPr>
                <w:color w:val="000000" w:themeColor="text1"/>
                <w:sz w:val="24"/>
                <w14:textFill>
                  <w14:solidFill>
                    <w14:schemeClr w14:val="tx1"/>
                  </w14:solidFill>
                </w14:textFill>
              </w:rPr>
            </w:pPr>
            <w:r>
              <w:rPr>
                <w:color w:val="000000" w:themeColor="text1"/>
                <w:sz w:val="24"/>
                <w14:textFill>
                  <w14:solidFill>
                    <w14:schemeClr w14:val="tx1"/>
                  </w14:solidFill>
                </w14:textFill>
              </w:rPr>
              <w:t>（a/b）—指装卸扬尘概化系数（单位：千克/吨），a指各省风速概化系数，根据附录1，a取0.0008，b指物料含水率概化系数，根据附录2，b</w:t>
            </w:r>
            <w:r>
              <w:rPr>
                <w:rFonts w:hint="eastAsia"/>
                <w:color w:val="000000" w:themeColor="text1"/>
                <w:sz w:val="24"/>
                <w:vertAlign w:val="subscript"/>
                <w14:textFill>
                  <w14:solidFill>
                    <w14:schemeClr w14:val="tx1"/>
                  </w14:solidFill>
                </w14:textFill>
              </w:rPr>
              <w:t>原料</w:t>
            </w:r>
            <w:r>
              <w:rPr>
                <w:rFonts w:hint="eastAsia"/>
                <w:color w:val="000000" w:themeColor="text1"/>
                <w:sz w:val="24"/>
                <w14:textFill>
                  <w14:solidFill>
                    <w14:schemeClr w14:val="tx1"/>
                  </w14:solidFill>
                </w14:textFill>
              </w:rPr>
              <w:t>0.0017（参考石灰石产品）</w:t>
            </w:r>
            <w:r>
              <w:rPr>
                <w:color w:val="000000" w:themeColor="text1"/>
                <w:sz w:val="24"/>
                <w14:textFill>
                  <w14:solidFill>
                    <w14:schemeClr w14:val="tx1"/>
                  </w14:solidFill>
                </w14:textFill>
              </w:rPr>
              <w:t>；</w:t>
            </w:r>
          </w:p>
          <w:p w14:paraId="03D26327">
            <w:pPr>
              <w:spacing w:line="360" w:lineRule="auto"/>
              <w:ind w:firstLine="960" w:firstLineChars="400"/>
              <w:rPr>
                <w:color w:val="000000" w:themeColor="text1"/>
                <w:sz w:val="24"/>
                <w14:textFill>
                  <w14:solidFill>
                    <w14:schemeClr w14:val="tx1"/>
                  </w14:solidFill>
                </w14:textFill>
              </w:rPr>
            </w:pPr>
            <w:r>
              <w:rPr>
                <w:color w:val="000000" w:themeColor="text1"/>
                <w:sz w:val="24"/>
                <w14:textFill>
                  <w14:solidFill>
                    <w14:schemeClr w14:val="tx1"/>
                  </w14:solidFill>
                </w14:textFill>
              </w:rPr>
              <w:t>E</w:t>
            </w:r>
            <w:r>
              <w:rPr>
                <w:color w:val="000000" w:themeColor="text1"/>
                <w:sz w:val="24"/>
                <w:vertAlign w:val="subscript"/>
                <w14:textFill>
                  <w14:solidFill>
                    <w14:schemeClr w14:val="tx1"/>
                  </w14:solidFill>
                </w14:textFill>
              </w:rPr>
              <w:t>f</w:t>
            </w:r>
            <w:r>
              <w:rPr>
                <w:color w:val="000000" w:themeColor="text1"/>
                <w:sz w:val="24"/>
                <w14:textFill>
                  <w14:solidFill>
                    <w14:schemeClr w14:val="tx1"/>
                  </w14:solidFill>
                </w14:textFill>
              </w:rPr>
              <w:t>—指堆场风蚀扬尘概化系数，根据附录3，E</w:t>
            </w:r>
            <w:r>
              <w:rPr>
                <w:color w:val="000000" w:themeColor="text1"/>
                <w:sz w:val="24"/>
                <w:vertAlign w:val="subscript"/>
                <w14:textFill>
                  <w14:solidFill>
                    <w14:schemeClr w14:val="tx1"/>
                  </w14:solidFill>
                </w14:textFill>
              </w:rPr>
              <w:t>f</w:t>
            </w:r>
            <w:r>
              <w:rPr>
                <w:rFonts w:hint="eastAsia"/>
                <w:color w:val="000000" w:themeColor="text1"/>
                <w:sz w:val="24"/>
                <w:vertAlign w:val="subscript"/>
                <w14:textFill>
                  <w14:solidFill>
                    <w14:schemeClr w14:val="tx1"/>
                  </w14:solidFill>
                </w14:textFill>
              </w:rPr>
              <w:t>原料</w:t>
            </w:r>
            <w:r>
              <w:rPr>
                <w:color w:val="000000" w:themeColor="text1"/>
                <w:sz w:val="24"/>
                <w14:textFill>
                  <w14:solidFill>
                    <w14:schemeClr w14:val="tx1"/>
                  </w14:solidFill>
                </w14:textFill>
              </w:rPr>
              <w:t>取8.5848</w:t>
            </w:r>
            <w:r>
              <w:rPr>
                <w:rFonts w:hint="eastAsia"/>
                <w:color w:val="000000" w:themeColor="text1"/>
                <w:sz w:val="24"/>
                <w14:textFill>
                  <w14:solidFill>
                    <w14:schemeClr w14:val="tx1"/>
                  </w14:solidFill>
                </w14:textFill>
              </w:rPr>
              <w:t>（参考石灰石）</w:t>
            </w:r>
            <w:r>
              <w:rPr>
                <w:color w:val="000000" w:themeColor="text1"/>
                <w:sz w:val="24"/>
                <w14:textFill>
                  <w14:solidFill>
                    <w14:schemeClr w14:val="tx1"/>
                  </w14:solidFill>
                </w14:textFill>
              </w:rPr>
              <w:t xml:space="preserve">； </w:t>
            </w:r>
          </w:p>
          <w:p w14:paraId="39327216">
            <w:pPr>
              <w:spacing w:line="360" w:lineRule="auto"/>
              <w:ind w:firstLine="960" w:firstLineChars="400"/>
              <w:rPr>
                <w:color w:val="000000" w:themeColor="text1"/>
                <w:sz w:val="24"/>
                <w14:textFill>
                  <w14:solidFill>
                    <w14:schemeClr w14:val="tx1"/>
                  </w14:solidFill>
                </w14:textFill>
              </w:rPr>
            </w:pPr>
            <w:r>
              <w:rPr>
                <w:color w:val="000000" w:themeColor="text1"/>
                <w:sz w:val="24"/>
                <w14:textFill>
                  <w14:solidFill>
                    <w14:schemeClr w14:val="tx1"/>
                  </w14:solidFill>
                </w14:textFill>
              </w:rPr>
              <w:t>S—指堆场占地面积，</w:t>
            </w:r>
            <w:r>
              <w:rPr>
                <w:rFonts w:hint="eastAsia"/>
                <w:color w:val="000000" w:themeColor="text1"/>
                <w:sz w:val="24"/>
                <w14:textFill>
                  <w14:solidFill>
                    <w14:schemeClr w14:val="tx1"/>
                  </w14:solidFill>
                </w14:textFill>
              </w:rPr>
              <w:t>堆场6000m</w:t>
            </w:r>
            <w:r>
              <w:rPr>
                <w:rFonts w:hint="eastAsia"/>
                <w:color w:val="000000" w:themeColor="text1"/>
                <w:sz w:val="24"/>
                <w:vertAlign w:val="superscript"/>
                <w14:textFill>
                  <w14:solidFill>
                    <w14:schemeClr w14:val="tx1"/>
                  </w14:solidFill>
                </w14:textFill>
              </w:rPr>
              <w:t>2</w:t>
            </w:r>
            <w:r>
              <w:rPr>
                <w:color w:val="000000" w:themeColor="text1"/>
                <w:sz w:val="24"/>
                <w14:textFill>
                  <w14:solidFill>
                    <w14:schemeClr w14:val="tx1"/>
                  </w14:solidFill>
                </w14:textFill>
              </w:rPr>
              <w:t>。</w:t>
            </w:r>
          </w:p>
          <w:p w14:paraId="5F4F8231">
            <w:pPr>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 xml:space="preserve">工业企业固体物料堆场颗粒物排放量核算公式如下： </w:t>
            </w:r>
          </w:p>
          <w:p w14:paraId="08428797">
            <w:pPr>
              <w:jc w:val="center"/>
              <w:rPr>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2286000" cy="400050"/>
                  <wp:effectExtent l="0" t="0" r="0" b="0"/>
                  <wp:docPr id="104865736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657366" name="图片 3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286000" cy="400050"/>
                          </a:xfrm>
                          <a:prstGeom prst="rect">
                            <a:avLst/>
                          </a:prstGeom>
                          <a:noFill/>
                          <a:ln>
                            <a:noFill/>
                          </a:ln>
                          <a:effectLst/>
                        </pic:spPr>
                      </pic:pic>
                    </a:graphicData>
                  </a:graphic>
                </wp:inline>
              </w:drawing>
            </w:r>
          </w:p>
          <w:p w14:paraId="7B587402">
            <w:pPr>
              <w:spacing w:line="360" w:lineRule="auto"/>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 xml:space="preserve">式中：P—指颗粒物产生量（单位：吨）； </w:t>
            </w:r>
          </w:p>
          <w:p w14:paraId="0B676DDC">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U</w:t>
            </w:r>
            <w:r>
              <w:rPr>
                <w:color w:val="000000" w:themeColor="text1"/>
                <w:sz w:val="24"/>
                <w:vertAlign w:val="subscript"/>
                <w14:textFill>
                  <w14:solidFill>
                    <w14:schemeClr w14:val="tx1"/>
                  </w14:solidFill>
                </w14:textFill>
              </w:rPr>
              <w:t>c</w:t>
            </w:r>
            <w:r>
              <w:rPr>
                <w:color w:val="000000" w:themeColor="text1"/>
                <w:sz w:val="24"/>
                <w14:textFill>
                  <w14:solidFill>
                    <w14:schemeClr w14:val="tx1"/>
                  </w14:solidFill>
                </w14:textFill>
              </w:rPr>
              <w:t xml:space="preserve">—指颗粒物排放量（单位：吨）； </w:t>
            </w:r>
          </w:p>
          <w:p w14:paraId="19EE5196">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C</w:t>
            </w:r>
            <w:r>
              <w:rPr>
                <w:color w:val="000000" w:themeColor="text1"/>
                <w:sz w:val="24"/>
                <w:vertAlign w:val="subscript"/>
                <w14:textFill>
                  <w14:solidFill>
                    <w14:schemeClr w14:val="tx1"/>
                  </w14:solidFill>
                </w14:textFill>
              </w:rPr>
              <w:t>m</w:t>
            </w:r>
            <w:r>
              <w:rPr>
                <w:color w:val="000000" w:themeColor="text1"/>
                <w:sz w:val="24"/>
                <w14:textFill>
                  <w14:solidFill>
                    <w14:schemeClr w14:val="tx1"/>
                  </w14:solidFill>
                </w14:textFill>
              </w:rPr>
              <w:t>—指颗粒物控制措施控制效率（单位：%），本项目</w:t>
            </w:r>
            <w:r>
              <w:rPr>
                <w:rFonts w:hint="eastAsia"/>
                <w:color w:val="000000" w:themeColor="text1"/>
                <w:sz w:val="24"/>
                <w14:textFill>
                  <w14:solidFill>
                    <w14:schemeClr w14:val="tx1"/>
                  </w14:solidFill>
                </w14:textFill>
              </w:rPr>
              <w:t>装卸采取洒水措施</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根据附录4</w:t>
            </w:r>
            <w:r>
              <w:rPr>
                <w:color w:val="000000" w:themeColor="text1"/>
                <w:sz w:val="24"/>
                <w14:textFill>
                  <w14:solidFill>
                    <w14:schemeClr w14:val="tx1"/>
                  </w14:solidFill>
                </w14:textFill>
              </w:rPr>
              <w:t>取7</w:t>
            </w:r>
            <w:r>
              <w:rPr>
                <w:rFonts w:hint="eastAsia"/>
                <w:color w:val="000000" w:themeColor="text1"/>
                <w:sz w:val="24"/>
                <w14:textFill>
                  <w14:solidFill>
                    <w14:schemeClr w14:val="tx1"/>
                  </w14:solidFill>
                </w14:textFill>
              </w:rPr>
              <w:t>4</w:t>
            </w:r>
            <w:r>
              <w:rPr>
                <w:color w:val="000000" w:themeColor="text1"/>
                <w:sz w:val="24"/>
                <w14:textFill>
                  <w14:solidFill>
                    <w14:schemeClr w14:val="tx1"/>
                  </w14:solidFill>
                </w14:textFill>
              </w:rPr>
              <w:t xml:space="preserve">%； </w:t>
            </w:r>
          </w:p>
          <w:p w14:paraId="66BCB7F7">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T</w:t>
            </w:r>
            <w:r>
              <w:rPr>
                <w:color w:val="000000" w:themeColor="text1"/>
                <w:sz w:val="24"/>
                <w:vertAlign w:val="subscript"/>
                <w14:textFill>
                  <w14:solidFill>
                    <w14:schemeClr w14:val="tx1"/>
                  </w14:solidFill>
                </w14:textFill>
              </w:rPr>
              <w:t>m</w:t>
            </w:r>
            <w:r>
              <w:rPr>
                <w:color w:val="000000" w:themeColor="text1"/>
                <w:sz w:val="24"/>
                <w14:textFill>
                  <w14:solidFill>
                    <w14:schemeClr w14:val="tx1"/>
                  </w14:solidFill>
                </w14:textFill>
              </w:rPr>
              <w:t>—指堆场类型控制效率（单位：%），本项目原料</w:t>
            </w:r>
            <w:r>
              <w:rPr>
                <w:rFonts w:hint="eastAsia"/>
                <w:color w:val="000000" w:themeColor="text1"/>
                <w:sz w:val="24"/>
                <w14:textFill>
                  <w14:solidFill>
                    <w14:schemeClr w14:val="tx1"/>
                  </w14:solidFill>
                </w14:textFill>
              </w:rPr>
              <w:t>和产品堆场</w:t>
            </w:r>
            <w:r>
              <w:rPr>
                <w:color w:val="000000" w:themeColor="text1"/>
                <w:sz w:val="24"/>
                <w14:textFill>
                  <w14:solidFill>
                    <w14:schemeClr w14:val="tx1"/>
                  </w14:solidFill>
                </w14:textFill>
              </w:rPr>
              <w:t>设置在</w:t>
            </w:r>
            <w:r>
              <w:rPr>
                <w:rFonts w:hint="eastAsia"/>
                <w:color w:val="000000" w:themeColor="text1"/>
                <w:sz w:val="24"/>
                <w14:textFill>
                  <w14:solidFill>
                    <w14:schemeClr w14:val="tx1"/>
                  </w14:solidFill>
                </w14:textFill>
              </w:rPr>
              <w:t>密闭</w:t>
            </w:r>
            <w:r>
              <w:rPr>
                <w:color w:val="000000" w:themeColor="text1"/>
                <w:sz w:val="24"/>
                <w14:textFill>
                  <w14:solidFill>
                    <w14:schemeClr w14:val="tx1"/>
                  </w14:solidFill>
                </w14:textFill>
              </w:rPr>
              <w:t>车间内，</w:t>
            </w:r>
            <w:r>
              <w:rPr>
                <w:rFonts w:hint="eastAsia"/>
                <w:color w:val="000000" w:themeColor="text1"/>
                <w:sz w:val="24"/>
                <w14:textFill>
                  <w14:solidFill>
                    <w14:schemeClr w14:val="tx1"/>
                  </w14:solidFill>
                </w14:textFill>
              </w:rPr>
              <w:t>根据附录5</w:t>
            </w:r>
            <w:r>
              <w:rPr>
                <w:color w:val="000000" w:themeColor="text1"/>
                <w:sz w:val="24"/>
                <w14:textFill>
                  <w14:solidFill>
                    <w14:schemeClr w14:val="tx1"/>
                  </w14:solidFill>
                </w14:textFill>
              </w:rPr>
              <w:t>取</w:t>
            </w:r>
            <w:r>
              <w:rPr>
                <w:rFonts w:hint="eastAsia"/>
                <w:color w:val="000000" w:themeColor="text1"/>
                <w:sz w:val="24"/>
                <w14:textFill>
                  <w14:solidFill>
                    <w14:schemeClr w14:val="tx1"/>
                  </w14:solidFill>
                </w14:textFill>
              </w:rPr>
              <w:t>99</w:t>
            </w:r>
            <w:r>
              <w:rPr>
                <w:color w:val="000000" w:themeColor="text1"/>
                <w:sz w:val="24"/>
                <w14:textFill>
                  <w14:solidFill>
                    <w14:schemeClr w14:val="tx1"/>
                  </w14:solidFill>
                </w14:textFill>
              </w:rPr>
              <w:t>%。</w:t>
            </w:r>
          </w:p>
          <w:p w14:paraId="70EA5BB7">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根据建设单位提供资料，年工作时间300d，每天按</w:t>
            </w:r>
            <w:r>
              <w:rPr>
                <w:color w:val="000000" w:themeColor="text1"/>
                <w:sz w:val="24"/>
                <w14:textFill>
                  <w14:solidFill>
                    <w14:schemeClr w14:val="tx1"/>
                  </w14:solidFill>
                </w14:textFill>
              </w:rPr>
              <w:t>24h计，根据上述公式计算，本次过程</w:t>
            </w:r>
            <w:r>
              <w:rPr>
                <w:rFonts w:hint="eastAsia"/>
                <w:color w:val="000000" w:themeColor="text1"/>
                <w:sz w:val="24"/>
                <w14:textFill>
                  <w14:solidFill>
                    <w14:schemeClr w14:val="tx1"/>
                  </w14:solidFill>
                </w14:textFill>
              </w:rPr>
              <w:t>堆场扬尘产生量为520.524t/a、产生速率为72.295</w:t>
            </w:r>
            <w:r>
              <w:rPr>
                <w:rFonts w:hint="eastAsia"/>
                <w:bCs/>
                <w:color w:val="000000" w:themeColor="text1"/>
                <w:sz w:val="24"/>
                <w14:textFill>
                  <w14:solidFill>
                    <w14:schemeClr w14:val="tx1"/>
                  </w14:solidFill>
                </w14:textFill>
              </w:rPr>
              <w:t>kg/h</w:t>
            </w:r>
            <w:r>
              <w:rPr>
                <w:rFonts w:hint="eastAsia"/>
                <w:color w:val="000000" w:themeColor="text1"/>
                <w:sz w:val="24"/>
                <w14:textFill>
                  <w14:solidFill>
                    <w14:schemeClr w14:val="tx1"/>
                  </w14:solidFill>
                </w14:textFill>
              </w:rPr>
              <w:t>，排放量为1.353t/a、排放速率为0.188</w:t>
            </w:r>
            <w:r>
              <w:rPr>
                <w:rFonts w:hint="eastAsia"/>
                <w:bCs/>
                <w:color w:val="000000" w:themeColor="text1"/>
                <w:sz w:val="24"/>
                <w14:textFill>
                  <w14:solidFill>
                    <w14:schemeClr w14:val="tx1"/>
                  </w14:solidFill>
                </w14:textFill>
              </w:rPr>
              <w:t>kg/h</w:t>
            </w:r>
            <w:r>
              <w:rPr>
                <w:color w:val="000000" w:themeColor="text1"/>
                <w:sz w:val="24"/>
                <w14:textFill>
                  <w14:solidFill>
                    <w14:schemeClr w14:val="tx1"/>
                  </w14:solidFill>
                </w14:textFill>
              </w:rPr>
              <w:t>。</w:t>
            </w:r>
          </w:p>
          <w:p w14:paraId="69CD6547">
            <w:pPr>
              <w:tabs>
                <w:tab w:val="left" w:pos="1275"/>
              </w:tabs>
              <w:spacing w:line="360" w:lineRule="auto"/>
              <w:ind w:firstLine="480"/>
              <w:jc w:val="left"/>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（2）破碎、筛分粉尘</w:t>
            </w:r>
          </w:p>
          <w:p w14:paraId="07B340EB">
            <w:pPr>
              <w:tabs>
                <w:tab w:val="left" w:pos="1275"/>
              </w:tabs>
              <w:spacing w:line="360" w:lineRule="auto"/>
              <w:ind w:firstLine="480"/>
              <w:jc w:val="left"/>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本项目毛石需使用破碎机进行破碎、筛分得到小颗粒骨料、中颗粒骨料。</w:t>
            </w:r>
            <w:r>
              <w:rPr>
                <w:bCs/>
                <w:color w:val="000000" w:themeColor="text1"/>
                <w:sz w:val="24"/>
                <w14:textFill>
                  <w14:solidFill>
                    <w14:schemeClr w14:val="tx1"/>
                  </w14:solidFill>
                </w14:textFill>
              </w:rPr>
              <w:t>根据《逸散性工业粉尘控制技术》（中国环境科学出版社）一级破碎和振动筛选过程中的产污系数为0.25kg/t。</w:t>
            </w:r>
            <w:r>
              <w:rPr>
                <w:rFonts w:hint="eastAsia"/>
                <w:bCs/>
                <w:color w:val="000000" w:themeColor="text1"/>
                <w:sz w:val="24"/>
                <w14:textFill>
                  <w14:solidFill>
                    <w14:schemeClr w14:val="tx1"/>
                  </w14:solidFill>
                </w14:textFill>
              </w:rPr>
              <w:t>本项目破碎中所用毛石总量为887200t/a，故该工序颗粒物产生量为221.8t/a。本项目在破碎机周围</w:t>
            </w:r>
            <w:r>
              <w:rPr>
                <w:bCs/>
                <w:color w:val="000000" w:themeColor="text1"/>
                <w:sz w:val="24"/>
                <w14:textFill>
                  <w14:solidFill>
                    <w14:schemeClr w14:val="tx1"/>
                  </w14:solidFill>
                </w14:textFill>
              </w:rPr>
              <w:t>布设喷雾装置洒水抑尘</w:t>
            </w:r>
            <w:r>
              <w:rPr>
                <w:rFonts w:hint="eastAsia"/>
                <w:bCs/>
                <w:color w:val="000000" w:themeColor="text1"/>
                <w:sz w:val="24"/>
                <w14:textFill>
                  <w14:solidFill>
                    <w14:schemeClr w14:val="tx1"/>
                  </w14:solidFill>
                </w14:textFill>
              </w:rPr>
              <w:t>，同时破碎筛分区域属于密闭空间，根据《排放源统计调查产排污核算方法和系数手册》中“工业源固体物料堆场颗粒物核算系数手册”，本项目采用喷淋洒水，控制效率为74%，</w:t>
            </w:r>
            <w:r>
              <w:rPr>
                <w:rFonts w:hint="eastAsia"/>
                <w:bCs/>
                <w:snapToGrid w:val="0"/>
                <w:color w:val="000000" w:themeColor="text1"/>
                <w:sz w:val="24"/>
                <w14:textFill>
                  <w14:solidFill>
                    <w14:schemeClr w14:val="tx1"/>
                  </w14:solidFill>
                </w14:textFill>
              </w:rPr>
              <w:t>密闭空间颗粒物控制效率为99%，综合去除效率为99.74%，</w:t>
            </w:r>
            <w:r>
              <w:rPr>
                <w:rFonts w:hint="eastAsia"/>
                <w:bCs/>
                <w:color w:val="000000" w:themeColor="text1"/>
                <w:sz w:val="24"/>
                <w14:textFill>
                  <w14:solidFill>
                    <w14:schemeClr w14:val="tx1"/>
                  </w14:solidFill>
                </w14:textFill>
              </w:rPr>
              <w:t>故颗粒物无组织产生量为221.8t/a，30.806kg/h、经喷雾降尘后给料过程粉尘排放量为0.578</w:t>
            </w:r>
            <w:r>
              <w:rPr>
                <w:bCs/>
                <w:color w:val="000000" w:themeColor="text1"/>
                <w:sz w:val="24"/>
                <w14:textFill>
                  <w14:solidFill>
                    <w14:schemeClr w14:val="tx1"/>
                  </w14:solidFill>
                </w14:textFill>
              </w:rPr>
              <w:t>t/a</w:t>
            </w:r>
            <w:r>
              <w:rPr>
                <w:rFonts w:hint="eastAsia"/>
                <w:bCs/>
                <w:color w:val="000000" w:themeColor="text1"/>
                <w:sz w:val="24"/>
                <w14:textFill>
                  <w14:solidFill>
                    <w14:schemeClr w14:val="tx1"/>
                  </w14:solidFill>
                </w14:textFill>
              </w:rPr>
              <w:t>，0.080kg/h。</w:t>
            </w:r>
          </w:p>
          <w:p w14:paraId="02CE2EF9">
            <w:pPr>
              <w:tabs>
                <w:tab w:val="left" w:pos="1275"/>
              </w:tabs>
              <w:spacing w:line="360" w:lineRule="auto"/>
              <w:ind w:firstLine="48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3</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投料粉尘</w:t>
            </w:r>
          </w:p>
          <w:p w14:paraId="3AECB164">
            <w:pPr>
              <w:tabs>
                <w:tab w:val="left" w:pos="1275"/>
              </w:tabs>
              <w:spacing w:line="360" w:lineRule="auto"/>
              <w:ind w:firstLine="480"/>
              <w:jc w:val="left"/>
              <w:rPr>
                <w:bCs/>
                <w:color w:val="000000" w:themeColor="text1"/>
                <w:sz w:val="24"/>
                <w14:textFill>
                  <w14:solidFill>
                    <w14:schemeClr w14:val="tx1"/>
                  </w14:solidFill>
                </w14:textFill>
              </w:rPr>
            </w:pPr>
            <w:r>
              <w:rPr>
                <w:color w:val="000000" w:themeColor="text1"/>
                <w:sz w:val="24"/>
                <w14:textFill>
                  <w14:solidFill>
                    <w14:schemeClr w14:val="tx1"/>
                  </w14:solidFill>
                </w14:textFill>
              </w:rPr>
              <w:t>本项目投料采用铲车投料方式，在投料工序会产生一定量的粉尘，参考《逸散性工业粉尘控制技术》第十八章中表18-1粒料加工厂逸散尘的排放因子，送料上堆碎石进料的颗粒物产生系数为0.0007kg/t</w:t>
            </w:r>
            <w:r>
              <w:rPr>
                <w:bCs/>
                <w:color w:val="000000" w:themeColor="text1"/>
                <w:sz w:val="24"/>
                <w14:textFill>
                  <w14:solidFill>
                    <w14:schemeClr w14:val="tx1"/>
                  </w14:solidFill>
                </w14:textFill>
              </w:rPr>
              <w:t>，该工序原料使用量为经卸料及堆场</w:t>
            </w:r>
            <w:r>
              <w:rPr>
                <w:color w:val="000000" w:themeColor="text1"/>
                <w:sz w:val="24"/>
                <w14:textFill>
                  <w14:solidFill>
                    <w14:schemeClr w14:val="tx1"/>
                  </w14:solidFill>
                </w14:textFill>
              </w:rPr>
              <w:t>后的</w:t>
            </w:r>
            <w:r>
              <w:rPr>
                <w:rFonts w:hint="eastAsia"/>
                <w:color w:val="000000" w:themeColor="text1"/>
                <w:sz w:val="24"/>
                <w14:textFill>
                  <w14:solidFill>
                    <w14:schemeClr w14:val="tx1"/>
                  </w14:solidFill>
                </w14:textFill>
              </w:rPr>
              <w:t>毛石</w:t>
            </w:r>
            <w:r>
              <w:rPr>
                <w:color w:val="000000" w:themeColor="text1"/>
                <w:sz w:val="24"/>
                <w14:textFill>
                  <w14:solidFill>
                    <w14:schemeClr w14:val="tx1"/>
                  </w14:solidFill>
                </w14:textFill>
              </w:rPr>
              <w:t>用量，</w:t>
            </w:r>
            <w:r>
              <w:rPr>
                <w:rFonts w:hint="eastAsia"/>
                <w:color w:val="000000" w:themeColor="text1"/>
                <w:sz w:val="24"/>
                <w14:textFill>
                  <w14:solidFill>
                    <w14:schemeClr w14:val="tx1"/>
                  </w14:solidFill>
                </w14:textFill>
              </w:rPr>
              <w:t>为887200</w:t>
            </w:r>
            <w:r>
              <w:rPr>
                <w:bCs/>
                <w:color w:val="000000" w:themeColor="text1"/>
                <w:sz w:val="24"/>
                <w14:textFill>
                  <w14:solidFill>
                    <w14:schemeClr w14:val="tx1"/>
                  </w14:solidFill>
                </w14:textFill>
              </w:rPr>
              <w:t>t/a，则</w:t>
            </w:r>
            <w:r>
              <w:rPr>
                <w:color w:val="000000" w:themeColor="text1"/>
                <w:sz w:val="24"/>
                <w14:textFill>
                  <w14:solidFill>
                    <w14:schemeClr w14:val="tx1"/>
                  </w14:solidFill>
                </w14:textFill>
              </w:rPr>
              <w:t>投</w:t>
            </w:r>
            <w:r>
              <w:rPr>
                <w:bCs/>
                <w:color w:val="000000" w:themeColor="text1"/>
                <w:sz w:val="24"/>
                <w14:textFill>
                  <w14:solidFill>
                    <w14:schemeClr w14:val="tx1"/>
                  </w14:solidFill>
                </w14:textFill>
              </w:rPr>
              <w:t>料粉尘产生量为0.</w:t>
            </w:r>
            <w:r>
              <w:rPr>
                <w:rFonts w:hint="eastAsia"/>
                <w:bCs/>
                <w:color w:val="000000" w:themeColor="text1"/>
                <w:sz w:val="24"/>
                <w14:textFill>
                  <w14:solidFill>
                    <w14:schemeClr w14:val="tx1"/>
                  </w14:solidFill>
                </w14:textFill>
              </w:rPr>
              <w:t>621</w:t>
            </w:r>
            <w:r>
              <w:rPr>
                <w:bCs/>
                <w:color w:val="000000" w:themeColor="text1"/>
                <w:sz w:val="24"/>
                <w14:textFill>
                  <w14:solidFill>
                    <w14:schemeClr w14:val="tx1"/>
                  </w14:solidFill>
                </w14:textFill>
              </w:rPr>
              <w:t>t/a，</w:t>
            </w:r>
            <w:r>
              <w:rPr>
                <w:rFonts w:hint="eastAsia"/>
                <w:bCs/>
                <w:color w:val="000000" w:themeColor="text1"/>
                <w:sz w:val="24"/>
                <w14:textFill>
                  <w14:solidFill>
                    <w14:schemeClr w14:val="tx1"/>
                  </w14:solidFill>
                </w14:textFill>
              </w:rPr>
              <w:t>本项目在投料区域周围</w:t>
            </w:r>
            <w:r>
              <w:rPr>
                <w:bCs/>
                <w:color w:val="000000" w:themeColor="text1"/>
                <w:sz w:val="24"/>
                <w14:textFill>
                  <w14:solidFill>
                    <w14:schemeClr w14:val="tx1"/>
                  </w14:solidFill>
                </w14:textFill>
              </w:rPr>
              <w:t>布设喷雾装置洒水抑尘</w:t>
            </w:r>
            <w:r>
              <w:rPr>
                <w:rFonts w:hint="eastAsia"/>
                <w:bCs/>
                <w:color w:val="000000" w:themeColor="text1"/>
                <w:sz w:val="24"/>
                <w14:textFill>
                  <w14:solidFill>
                    <w14:schemeClr w14:val="tx1"/>
                  </w14:solidFill>
                </w14:textFill>
              </w:rPr>
              <w:t>，根据《排放源统计调查产排污核算方法和系数手册》中“工业源固体物料堆场颗粒物核算系数手册”，本项目采用喷淋洒水，控制效率为74%，故投料粉尘颗粒物无组织产生量为</w:t>
            </w:r>
            <w:r>
              <w:rPr>
                <w:bCs/>
                <w:color w:val="000000" w:themeColor="text1"/>
                <w:sz w:val="24"/>
                <w14:textFill>
                  <w14:solidFill>
                    <w14:schemeClr w14:val="tx1"/>
                  </w14:solidFill>
                </w14:textFill>
              </w:rPr>
              <w:t>0.</w:t>
            </w:r>
            <w:r>
              <w:rPr>
                <w:rFonts w:hint="eastAsia"/>
                <w:bCs/>
                <w:color w:val="000000" w:themeColor="text1"/>
                <w:sz w:val="24"/>
                <w14:textFill>
                  <w14:solidFill>
                    <w14:schemeClr w14:val="tx1"/>
                  </w14:solidFill>
                </w14:textFill>
              </w:rPr>
              <w:t>621t/a，0.086kg/h、经喷雾降尘后投料粉尘排放量为0.161</w:t>
            </w:r>
            <w:r>
              <w:rPr>
                <w:bCs/>
                <w:color w:val="000000" w:themeColor="text1"/>
                <w:sz w:val="24"/>
                <w14:textFill>
                  <w14:solidFill>
                    <w14:schemeClr w14:val="tx1"/>
                  </w14:solidFill>
                </w14:textFill>
              </w:rPr>
              <w:t>t/a</w:t>
            </w:r>
            <w:r>
              <w:rPr>
                <w:rFonts w:hint="eastAsia"/>
                <w:bCs/>
                <w:color w:val="000000" w:themeColor="text1"/>
                <w:sz w:val="24"/>
                <w14:textFill>
                  <w14:solidFill>
                    <w14:schemeClr w14:val="tx1"/>
                  </w14:solidFill>
                </w14:textFill>
              </w:rPr>
              <w:t>，0.022kg/h。</w:t>
            </w:r>
          </w:p>
          <w:p w14:paraId="255E263E">
            <w:pPr>
              <w:tabs>
                <w:tab w:val="left" w:pos="1275"/>
              </w:tabs>
              <w:spacing w:line="360" w:lineRule="auto"/>
              <w:ind w:firstLine="48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4</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过水扬尘</w:t>
            </w:r>
          </w:p>
          <w:p w14:paraId="27EDEBFF">
            <w:pPr>
              <w:tabs>
                <w:tab w:val="left" w:pos="1275"/>
              </w:tabs>
              <w:spacing w:line="360" w:lineRule="auto"/>
              <w:ind w:firstLine="48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本项目设置在</w:t>
            </w:r>
            <w:r>
              <w:rPr>
                <w:rFonts w:hint="eastAsia"/>
                <w:color w:val="000000" w:themeColor="text1"/>
                <w:sz w:val="24"/>
                <w14:textFill>
                  <w14:solidFill>
                    <w14:schemeClr w14:val="tx1"/>
                  </w14:solidFill>
                </w14:textFill>
              </w:rPr>
              <w:t>过水</w:t>
            </w:r>
            <w:r>
              <w:rPr>
                <w:color w:val="000000" w:themeColor="text1"/>
                <w:sz w:val="24"/>
                <w14:textFill>
                  <w14:solidFill>
                    <w14:schemeClr w14:val="tx1"/>
                  </w14:solidFill>
                </w14:textFill>
              </w:rPr>
              <w:t>工序中设置循环水池，且</w:t>
            </w:r>
            <w:r>
              <w:rPr>
                <w:rFonts w:hint="eastAsia"/>
                <w:color w:val="000000" w:themeColor="text1"/>
                <w:sz w:val="24"/>
                <w14:textFill>
                  <w14:solidFill>
                    <w14:schemeClr w14:val="tx1"/>
                  </w14:solidFill>
                </w14:textFill>
              </w:rPr>
              <w:t>过水</w:t>
            </w:r>
            <w:r>
              <w:rPr>
                <w:color w:val="000000" w:themeColor="text1"/>
                <w:sz w:val="24"/>
                <w14:textFill>
                  <w14:solidFill>
                    <w14:schemeClr w14:val="tx1"/>
                  </w14:solidFill>
                </w14:textFill>
              </w:rPr>
              <w:t>工序中大量</w:t>
            </w:r>
            <w:r>
              <w:rPr>
                <w:rFonts w:hint="eastAsia"/>
                <w:color w:val="000000" w:themeColor="text1"/>
                <w:sz w:val="24"/>
                <w14:textFill>
                  <w14:solidFill>
                    <w14:schemeClr w14:val="tx1"/>
                  </w14:solidFill>
                </w14:textFill>
              </w:rPr>
              <w:t>毛石</w:t>
            </w:r>
            <w:r>
              <w:rPr>
                <w:color w:val="000000" w:themeColor="text1"/>
                <w:sz w:val="24"/>
                <w14:textFill>
                  <w14:solidFill>
                    <w14:schemeClr w14:val="tx1"/>
                  </w14:solidFill>
                </w14:textFill>
              </w:rPr>
              <w:t>均在清洗水中去除污泥等，因整道工序均使用循环水，因此本次评价不考虑</w:t>
            </w:r>
            <w:r>
              <w:rPr>
                <w:rFonts w:hint="eastAsia"/>
                <w:color w:val="000000" w:themeColor="text1"/>
                <w:sz w:val="24"/>
                <w14:textFill>
                  <w14:solidFill>
                    <w14:schemeClr w14:val="tx1"/>
                  </w14:solidFill>
                </w14:textFill>
              </w:rPr>
              <w:t>过水</w:t>
            </w:r>
            <w:r>
              <w:rPr>
                <w:color w:val="000000" w:themeColor="text1"/>
                <w:sz w:val="24"/>
                <w14:textFill>
                  <w14:solidFill>
                    <w14:schemeClr w14:val="tx1"/>
                  </w14:solidFill>
                </w14:textFill>
              </w:rPr>
              <w:t>工序产生的粉尘。</w:t>
            </w:r>
          </w:p>
          <w:p w14:paraId="6D835672">
            <w:pPr>
              <w:autoSpaceDE w:val="0"/>
              <w:autoSpaceDN w:val="0"/>
              <w:adjustRightInd w:val="0"/>
              <w:spacing w:line="360" w:lineRule="auto"/>
              <w:ind w:firstLine="48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（5）车辆运输动力起尘</w:t>
            </w:r>
          </w:p>
          <w:p w14:paraId="6298582F">
            <w:pPr>
              <w:adjustRightInd w:val="0"/>
              <w:spacing w:line="360" w:lineRule="auto"/>
              <w:ind w:firstLine="48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项目物料运输主要为汽车运输，在运输过程不可避免地要产生扬尘，在道路完全干燥的情况下，可按下列经验公式计算：</w:t>
            </w:r>
          </w:p>
          <w:p w14:paraId="097BFE2F">
            <w:pPr>
              <w:adjustRightInd w:val="0"/>
              <w:spacing w:line="360" w:lineRule="auto"/>
              <w:ind w:firstLine="48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Q</w:t>
            </w:r>
            <w:r>
              <w:rPr>
                <w:rFonts w:hint="eastAsia"/>
                <w:color w:val="000000" w:themeColor="text1"/>
                <w:sz w:val="24"/>
                <w:vertAlign w:val="subscript"/>
                <w14:textFill>
                  <w14:solidFill>
                    <w14:schemeClr w14:val="tx1"/>
                  </w14:solidFill>
                </w14:textFill>
              </w:rPr>
              <w:t>y</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123</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V</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5</w:t>
            </w:r>
            <w:r>
              <w:rPr>
                <w:rFonts w:hint="eastAsia"/>
                <w:color w:val="000000" w:themeColor="text1"/>
                <w:sz w:val="24"/>
                <w14:textFill>
                  <w14:solidFill>
                    <w14:schemeClr w14:val="tx1"/>
                  </w14:solidFill>
                </w14:textFill>
              </w:rPr>
              <w:t>)</w:t>
            </w:r>
            <w:r>
              <w:rPr>
                <w:rFonts w:hint="eastAsia"/>
                <w:color w:val="000000" w:themeColor="text1"/>
                <w14:textFill>
                  <w14:solidFill>
                    <w14:schemeClr w14:val="tx1"/>
                  </w14:solidFill>
                </w14:textFill>
              </w:rPr>
              <w:t xml:space="preserve"> </w:t>
            </w:r>
            <w:r>
              <w:rPr>
                <w:rFonts w:hint="eastAsia"/>
                <w:color w:val="000000" w:themeColor="text1"/>
                <w:sz w:val="24"/>
                <w14:textFill>
                  <w14:solidFill>
                    <w14:schemeClr w14:val="tx1"/>
                  </w14:solidFill>
                </w14:textFill>
              </w:rPr>
              <w:t>×( M÷</w:t>
            </w:r>
            <w:r>
              <w:rPr>
                <w:color w:val="000000" w:themeColor="text1"/>
                <w:sz w:val="24"/>
                <w14:textFill>
                  <w14:solidFill>
                    <w14:schemeClr w14:val="tx1"/>
                  </w14:solidFill>
                </w14:textFill>
              </w:rPr>
              <w:t>6</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8</w:t>
            </w:r>
            <w:r>
              <w:rPr>
                <w:rFonts w:hint="eastAsia"/>
                <w:color w:val="000000" w:themeColor="text1"/>
                <w:sz w:val="24"/>
                <w14:textFill>
                  <w14:solidFill>
                    <w14:schemeClr w14:val="tx1"/>
                  </w14:solidFill>
                </w14:textFill>
              </w:rPr>
              <w:t>)</w:t>
            </w:r>
            <w:r>
              <w:rPr>
                <w:color w:val="000000" w:themeColor="text1"/>
                <w:sz w:val="24"/>
                <w:vertAlign w:val="superscript"/>
                <w14:textFill>
                  <w14:solidFill>
                    <w14:schemeClr w14:val="tx1"/>
                  </w14:solidFill>
                </w14:textFill>
              </w:rPr>
              <w:t>0</w:t>
            </w:r>
            <w:r>
              <w:rPr>
                <w:rFonts w:hint="eastAsia"/>
                <w:color w:val="000000" w:themeColor="text1"/>
                <w:sz w:val="24"/>
                <w:vertAlign w:val="superscript"/>
                <w14:textFill>
                  <w14:solidFill>
                    <w14:schemeClr w14:val="tx1"/>
                  </w14:solidFill>
                </w14:textFill>
              </w:rPr>
              <w:t>.</w:t>
            </w:r>
            <w:r>
              <w:rPr>
                <w:color w:val="000000" w:themeColor="text1"/>
                <w:sz w:val="24"/>
                <w:vertAlign w:val="superscript"/>
                <w14:textFill>
                  <w14:solidFill>
                    <w14:schemeClr w14:val="tx1"/>
                  </w14:solidFill>
                </w14:textFill>
              </w:rPr>
              <w:t>85</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P</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5</w:t>
            </w:r>
            <w:r>
              <w:rPr>
                <w:rFonts w:hint="eastAsia"/>
                <w:color w:val="000000" w:themeColor="text1"/>
                <w:sz w:val="24"/>
                <w14:textFill>
                  <w14:solidFill>
                    <w14:schemeClr w14:val="tx1"/>
                  </w14:solidFill>
                </w14:textFill>
              </w:rPr>
              <w:t>)</w:t>
            </w:r>
            <w:r>
              <w:rPr>
                <w:color w:val="000000" w:themeColor="text1"/>
                <w:sz w:val="24"/>
                <w:vertAlign w:val="superscript"/>
                <w14:textFill>
                  <w14:solidFill>
                    <w14:schemeClr w14:val="tx1"/>
                  </w14:solidFill>
                </w14:textFill>
              </w:rPr>
              <w:t>0</w:t>
            </w:r>
            <w:r>
              <w:rPr>
                <w:rFonts w:hint="eastAsia"/>
                <w:color w:val="000000" w:themeColor="text1"/>
                <w:sz w:val="24"/>
                <w:vertAlign w:val="superscript"/>
                <w14:textFill>
                  <w14:solidFill>
                    <w14:schemeClr w14:val="tx1"/>
                  </w14:solidFill>
                </w14:textFill>
              </w:rPr>
              <w:t>.</w:t>
            </w:r>
            <w:r>
              <w:rPr>
                <w:color w:val="000000" w:themeColor="text1"/>
                <w:sz w:val="24"/>
                <w:vertAlign w:val="superscript"/>
                <w14:textFill>
                  <w14:solidFill>
                    <w14:schemeClr w14:val="tx1"/>
                  </w14:solidFill>
                </w14:textFill>
              </w:rPr>
              <w:t>75</w:t>
            </w:r>
          </w:p>
          <w:p w14:paraId="74D31542">
            <w:pPr>
              <w:adjustRightInd w:val="0"/>
              <w:spacing w:line="360" w:lineRule="auto"/>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Q</w:t>
            </w:r>
            <w:r>
              <w:rPr>
                <w:rFonts w:hint="eastAsia"/>
                <w:color w:val="000000" w:themeColor="text1"/>
                <w:vertAlign w:val="subscript"/>
                <w14:textFill>
                  <w14:solidFill>
                    <w14:schemeClr w14:val="tx1"/>
                  </w14:solidFill>
                </w14:textFill>
              </w:rPr>
              <w:t>t</w:t>
            </w:r>
            <w:r>
              <w:rPr>
                <w:rFonts w:hint="eastAsia"/>
                <w:color w:val="000000" w:themeColor="text1"/>
                <w14:textFill>
                  <w14:solidFill>
                    <w14:schemeClr w14:val="tx1"/>
                  </w14:solidFill>
                </w14:textFill>
              </w:rPr>
              <w:t>=</w:t>
            </w:r>
            <w:r>
              <w:rPr>
                <w:color w:val="000000" w:themeColor="text1"/>
                <w:sz w:val="24"/>
                <w14:textFill>
                  <w14:solidFill>
                    <w14:schemeClr w14:val="tx1"/>
                  </w14:solidFill>
                </w14:textFill>
              </w:rPr>
              <w:t xml:space="preserve"> Q</w:t>
            </w:r>
            <w:r>
              <w:rPr>
                <w:rFonts w:hint="eastAsia"/>
                <w:color w:val="000000" w:themeColor="text1"/>
                <w:sz w:val="24"/>
                <w:vertAlign w:val="subscript"/>
                <w14:textFill>
                  <w14:solidFill>
                    <w14:schemeClr w14:val="tx1"/>
                  </w14:solidFill>
                </w14:textFill>
              </w:rPr>
              <w:t>y</w:t>
            </w:r>
            <w:r>
              <w:rPr>
                <w:rFonts w:hint="eastAsia"/>
                <w:color w:val="000000" w:themeColor="text1"/>
                <w:sz w:val="24"/>
                <w14:textFill>
                  <w14:solidFill>
                    <w14:schemeClr w14:val="tx1"/>
                  </w14:solidFill>
                </w14:textFill>
              </w:rPr>
              <w:t>×L×（Q÷M）</w:t>
            </w:r>
          </w:p>
          <w:p w14:paraId="60E36A0E">
            <w:pPr>
              <w:adjustRightIn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式中：</w:t>
            </w:r>
            <w:r>
              <w:rPr>
                <w:color w:val="000000" w:themeColor="text1"/>
                <w:sz w:val="24"/>
                <w14:textFill>
                  <w14:solidFill>
                    <w14:schemeClr w14:val="tx1"/>
                  </w14:solidFill>
                </w14:textFill>
              </w:rPr>
              <w:t>Q</w:t>
            </w:r>
            <w:r>
              <w:rPr>
                <w:rFonts w:hint="eastAsia"/>
                <w:color w:val="000000" w:themeColor="text1"/>
                <w:sz w:val="24"/>
                <w:vertAlign w:val="subscript"/>
                <w14:textFill>
                  <w14:solidFill>
                    <w14:schemeClr w14:val="tx1"/>
                  </w14:solidFill>
                </w14:textFill>
              </w:rPr>
              <w:t>y</w:t>
            </w:r>
            <w:r>
              <w:rPr>
                <w:rFonts w:hint="eastAsia"/>
                <w:color w:val="000000" w:themeColor="text1"/>
                <w:sz w:val="24"/>
                <w14:textFill>
                  <w14:solidFill>
                    <w14:schemeClr w14:val="tx1"/>
                  </w14:solidFill>
                </w14:textFill>
              </w:rPr>
              <w:t>——汽车行驶时的扬尘，</w:t>
            </w:r>
            <w:r>
              <w:rPr>
                <w:color w:val="000000" w:themeColor="text1"/>
                <w:sz w:val="24"/>
                <w14:textFill>
                  <w14:solidFill>
                    <w14:schemeClr w14:val="tx1"/>
                  </w14:solidFill>
                </w14:textFill>
              </w:rPr>
              <w:t>kg</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km</w:t>
            </w:r>
            <w:r>
              <w:rPr>
                <w:rFonts w:hint="eastAsia"/>
                <w:color w:val="000000" w:themeColor="text1"/>
                <w:sz w:val="24"/>
                <w14:textFill>
                  <w14:solidFill>
                    <w14:schemeClr w14:val="tx1"/>
                  </w14:solidFill>
                </w14:textFill>
              </w:rPr>
              <w:t>.辆；</w:t>
            </w:r>
          </w:p>
          <w:p w14:paraId="0F687647">
            <w:pPr>
              <w:adjustRightInd w:val="0"/>
              <w:spacing w:line="360" w:lineRule="auto"/>
              <w:ind w:firstLine="1260" w:firstLineChars="600"/>
              <w:jc w:val="left"/>
              <w:rPr>
                <w:color w:val="000000" w:themeColor="text1"/>
                <w:sz w:val="24"/>
                <w14:textFill>
                  <w14:solidFill>
                    <w14:schemeClr w14:val="tx1"/>
                  </w14:solidFill>
                </w14:textFill>
              </w:rPr>
            </w:pPr>
            <w:r>
              <w:rPr>
                <w:rFonts w:hint="eastAsia"/>
                <w:color w:val="000000" w:themeColor="text1"/>
                <w14:textFill>
                  <w14:solidFill>
                    <w14:schemeClr w14:val="tx1"/>
                  </w14:solidFill>
                </w14:textFill>
              </w:rPr>
              <w:t>Q</w:t>
            </w:r>
            <w:r>
              <w:rPr>
                <w:rFonts w:hint="eastAsia"/>
                <w:color w:val="000000" w:themeColor="text1"/>
                <w:vertAlign w:val="subscript"/>
                <w14:textFill>
                  <w14:solidFill>
                    <w14:schemeClr w14:val="tx1"/>
                  </w14:solidFill>
                </w14:textFill>
              </w:rPr>
              <w:t>t</w:t>
            </w:r>
            <w:r>
              <w:rPr>
                <w:rFonts w:hint="eastAsia"/>
                <w:color w:val="000000" w:themeColor="text1"/>
                <w:sz w:val="24"/>
                <w14:textFill>
                  <w14:solidFill>
                    <w14:schemeClr w14:val="tx1"/>
                  </w14:solidFill>
                </w14:textFill>
              </w:rPr>
              <w:t>——运输途中起尘量，</w:t>
            </w:r>
            <w:r>
              <w:rPr>
                <w:color w:val="000000" w:themeColor="text1"/>
                <w:sz w:val="24"/>
                <w14:textFill>
                  <w14:solidFill>
                    <w14:schemeClr w14:val="tx1"/>
                  </w14:solidFill>
                </w14:textFill>
              </w:rPr>
              <w:t>kg</w:t>
            </w:r>
            <w:r>
              <w:rPr>
                <w:rFonts w:hint="eastAsia"/>
                <w:color w:val="000000" w:themeColor="text1"/>
                <w:sz w:val="24"/>
                <w14:textFill>
                  <w14:solidFill>
                    <w14:schemeClr w14:val="tx1"/>
                  </w14:solidFill>
                </w14:textFill>
              </w:rPr>
              <w:t>/a；</w:t>
            </w:r>
          </w:p>
          <w:p w14:paraId="358E3771">
            <w:pPr>
              <w:adjustRightInd w:val="0"/>
              <w:spacing w:line="360" w:lineRule="auto"/>
              <w:ind w:firstLine="1200" w:firstLineChars="5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V</w:t>
            </w:r>
            <w:r>
              <w:rPr>
                <w:rFonts w:hint="eastAsia"/>
                <w:color w:val="000000" w:themeColor="text1"/>
                <w:sz w:val="24"/>
                <w14:textFill>
                  <w14:solidFill>
                    <w14:schemeClr w14:val="tx1"/>
                  </w14:solidFill>
                </w14:textFill>
              </w:rPr>
              <w:t>——汽车速度，</w:t>
            </w:r>
            <w:r>
              <w:rPr>
                <w:color w:val="000000" w:themeColor="text1"/>
                <w:sz w:val="24"/>
                <w14:textFill>
                  <w14:solidFill>
                    <w14:schemeClr w14:val="tx1"/>
                  </w14:solidFill>
                </w14:textFill>
              </w:rPr>
              <w:t>km</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h</w:t>
            </w:r>
            <w:r>
              <w:rPr>
                <w:rFonts w:hint="eastAsia"/>
                <w:color w:val="000000" w:themeColor="text1"/>
                <w:sz w:val="24"/>
                <w14:textFill>
                  <w14:solidFill>
                    <w14:schemeClr w14:val="tx1"/>
                  </w14:solidFill>
                </w14:textFill>
              </w:rPr>
              <w:t>；</w:t>
            </w:r>
          </w:p>
          <w:p w14:paraId="2BF1C5FD">
            <w:pPr>
              <w:adjustRightInd w:val="0"/>
              <w:spacing w:line="360" w:lineRule="auto"/>
              <w:ind w:firstLine="1200" w:firstLineChars="5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M——汽车重量，</w:t>
            </w:r>
            <w:r>
              <w:rPr>
                <w:color w:val="000000" w:themeColor="text1"/>
                <w:sz w:val="24"/>
                <w14:textFill>
                  <w14:solidFill>
                    <w14:schemeClr w14:val="tx1"/>
                  </w14:solidFill>
                </w14:textFill>
              </w:rPr>
              <w:t>t</w:t>
            </w:r>
            <w:r>
              <w:rPr>
                <w:rFonts w:hint="eastAsia"/>
                <w:color w:val="000000" w:themeColor="text1"/>
                <w:sz w:val="24"/>
                <w14:textFill>
                  <w14:solidFill>
                    <w14:schemeClr w14:val="tx1"/>
                  </w14:solidFill>
                </w14:textFill>
              </w:rPr>
              <w:t>；</w:t>
            </w:r>
          </w:p>
          <w:p w14:paraId="75454FE0">
            <w:pPr>
              <w:adjustRightInd w:val="0"/>
              <w:spacing w:line="360" w:lineRule="auto"/>
              <w:ind w:firstLine="1200" w:firstLineChars="5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L——运输距离，Km；</w:t>
            </w:r>
          </w:p>
          <w:p w14:paraId="7F1643D3">
            <w:pPr>
              <w:adjustRightInd w:val="0"/>
              <w:spacing w:line="360" w:lineRule="auto"/>
              <w:ind w:firstLine="1260" w:firstLineChars="60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Q</w:t>
            </w:r>
            <w:r>
              <w:rPr>
                <w:rFonts w:hint="eastAsia"/>
                <w:color w:val="000000" w:themeColor="text1"/>
                <w:sz w:val="24"/>
                <w14:textFill>
                  <w14:solidFill>
                    <w14:schemeClr w14:val="tx1"/>
                  </w14:solidFill>
                </w14:textFill>
              </w:rPr>
              <w:t>——运输量，</w:t>
            </w:r>
            <w:r>
              <w:rPr>
                <w:color w:val="000000" w:themeColor="text1"/>
                <w:sz w:val="24"/>
                <w14:textFill>
                  <w14:solidFill>
                    <w14:schemeClr w14:val="tx1"/>
                  </w14:solidFill>
                </w14:textFill>
              </w:rPr>
              <w:t>t</w:t>
            </w:r>
            <w:r>
              <w:rPr>
                <w:rFonts w:hint="eastAsia"/>
                <w:color w:val="000000" w:themeColor="text1"/>
                <w:sz w:val="24"/>
                <w14:textFill>
                  <w14:solidFill>
                    <w14:schemeClr w14:val="tx1"/>
                  </w14:solidFill>
                </w14:textFill>
              </w:rPr>
              <w:t>/a；</w:t>
            </w:r>
          </w:p>
          <w:p w14:paraId="1434F4CF">
            <w:pPr>
              <w:adjustRightInd w:val="0"/>
              <w:spacing w:line="360" w:lineRule="auto"/>
              <w:ind w:firstLine="1200" w:firstLineChars="5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P</w:t>
            </w:r>
            <w:r>
              <w:rPr>
                <w:rFonts w:hint="eastAsia"/>
                <w:color w:val="000000" w:themeColor="text1"/>
                <w:sz w:val="24"/>
                <w14:textFill>
                  <w14:solidFill>
                    <w14:schemeClr w14:val="tx1"/>
                  </w14:solidFill>
                </w14:textFill>
              </w:rPr>
              <w:t>——道路表面粉尘量，</w:t>
            </w:r>
            <w:r>
              <w:rPr>
                <w:color w:val="000000" w:themeColor="text1"/>
                <w:sz w:val="24"/>
                <w14:textFill>
                  <w14:solidFill>
                    <w14:schemeClr w14:val="tx1"/>
                  </w14:solidFill>
                </w14:textFill>
              </w:rPr>
              <w:t>kg</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2</w:t>
            </w:r>
            <w:r>
              <w:rPr>
                <w:rFonts w:hint="eastAsia"/>
                <w:color w:val="000000" w:themeColor="text1"/>
                <w:sz w:val="24"/>
                <w14:textFill>
                  <w14:solidFill>
                    <w14:schemeClr w14:val="tx1"/>
                  </w14:solidFill>
                </w14:textFill>
              </w:rPr>
              <w:t>。</w:t>
            </w:r>
          </w:p>
          <w:p w14:paraId="4EA0661E">
            <w:pPr>
              <w:spacing w:line="360" w:lineRule="auto"/>
              <w:ind w:firstLine="48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本项目车辆在厂区内行驶距离按20</w:t>
            </w:r>
            <w:r>
              <w:rPr>
                <w:color w:val="000000" w:themeColor="text1"/>
                <w:sz w:val="24"/>
                <w14:textFill>
                  <w14:solidFill>
                    <w14:schemeClr w14:val="tx1"/>
                  </w14:solidFill>
                </w14:textFill>
              </w:rPr>
              <w:t>0m</w:t>
            </w:r>
            <w:r>
              <w:rPr>
                <w:rFonts w:hint="eastAsia"/>
                <w:color w:val="000000" w:themeColor="text1"/>
                <w:sz w:val="24"/>
                <w14:textFill>
                  <w14:solidFill>
                    <w14:schemeClr w14:val="tx1"/>
                  </w14:solidFill>
                </w14:textFill>
              </w:rPr>
              <w:t>计，平均每天发车重载60辆/天；</w:t>
            </w:r>
            <w:r>
              <w:rPr>
                <w:color w:val="000000" w:themeColor="text1"/>
                <w:sz w:val="24"/>
                <w14:textFill>
                  <w14:solidFill>
                    <w14:schemeClr w14:val="tx1"/>
                  </w14:solidFill>
                </w14:textFill>
              </w:rPr>
              <w:t>项目主要用平均载重</w:t>
            </w:r>
            <w:r>
              <w:rPr>
                <w:rFonts w:hint="eastAsia"/>
                <w:color w:val="000000" w:themeColor="text1"/>
                <w:sz w:val="24"/>
                <w14:textFill>
                  <w14:solidFill>
                    <w14:schemeClr w14:val="tx1"/>
                  </w14:solidFill>
                </w14:textFill>
              </w:rPr>
              <w:t>5</w:t>
            </w:r>
            <w:r>
              <w:rPr>
                <w:color w:val="000000" w:themeColor="text1"/>
                <w:sz w:val="24"/>
                <w14:textFill>
                  <w14:solidFill>
                    <w14:schemeClr w14:val="tx1"/>
                  </w14:solidFill>
                </w14:textFill>
              </w:rPr>
              <w:t>0t的车辆进行运输，原料年总运输量约为</w:t>
            </w:r>
            <w:r>
              <w:rPr>
                <w:rFonts w:hint="eastAsia"/>
                <w:color w:val="000000" w:themeColor="text1"/>
                <w:sz w:val="24"/>
                <w14:textFill>
                  <w14:solidFill>
                    <w14:schemeClr w14:val="tx1"/>
                  </w14:solidFill>
                </w14:textFill>
              </w:rPr>
              <w:t>1932000t/a（毛石、水泥等原料用量约932000t/a，成品水稳料约1000000t/a），以速度</w:t>
            </w:r>
            <w:r>
              <w:rPr>
                <w:color w:val="000000" w:themeColor="text1"/>
                <w:sz w:val="24"/>
                <w14:textFill>
                  <w14:solidFill>
                    <w14:schemeClr w14:val="tx1"/>
                  </w14:solidFill>
                </w14:textFill>
              </w:rPr>
              <w:t>10km</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h</w:t>
            </w:r>
            <w:r>
              <w:rPr>
                <w:rFonts w:hint="eastAsia"/>
                <w:color w:val="000000" w:themeColor="text1"/>
                <w:sz w:val="24"/>
                <w14:textFill>
                  <w14:solidFill>
                    <w14:schemeClr w14:val="tx1"/>
                  </w14:solidFill>
                </w14:textFill>
              </w:rPr>
              <w:t>行驶，根据本项目的情况，要求项目建设方对厂区内地面定期派专人进行路面清扫、洒水，以减少道路扬尘。基于这种情况，本环评对道路路况以</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kg</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2</w:t>
            </w:r>
            <w:r>
              <w:rPr>
                <w:rFonts w:hint="eastAsia"/>
                <w:color w:val="000000" w:themeColor="text1"/>
                <w:sz w:val="24"/>
                <w14:textFill>
                  <w14:solidFill>
                    <w14:schemeClr w14:val="tx1"/>
                  </w14:solidFill>
                </w14:textFill>
              </w:rPr>
              <w:t>计，则经计算，项目汽车动力起尘量为0.401</w:t>
            </w:r>
            <w:r>
              <w:rPr>
                <w:color w:val="000000" w:themeColor="text1"/>
                <w:sz w:val="24"/>
                <w14:textFill>
                  <w14:solidFill>
                    <w14:schemeClr w14:val="tx1"/>
                  </w14:solidFill>
                </w14:textFill>
              </w:rPr>
              <w:t xml:space="preserve"> kg</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km</w:t>
            </w:r>
            <w:r>
              <w:rPr>
                <w:rFonts w:hint="eastAsia"/>
                <w:color w:val="000000" w:themeColor="text1"/>
                <w:sz w:val="24"/>
                <w14:textFill>
                  <w14:solidFill>
                    <w14:schemeClr w14:val="tx1"/>
                  </w14:solidFill>
                </w14:textFill>
              </w:rPr>
              <w:t>.辆，</w:t>
            </w:r>
            <w:r>
              <w:rPr>
                <w:color w:val="000000" w:themeColor="text1"/>
                <w:sz w:val="24"/>
                <w14:textFill>
                  <w14:solidFill>
                    <w14:schemeClr w14:val="tx1"/>
                  </w14:solidFill>
                </w14:textFill>
              </w:rPr>
              <w:t>则项目道路扬尘产生量为</w:t>
            </w:r>
            <w:r>
              <w:rPr>
                <w:rFonts w:hint="eastAsia"/>
                <w:color w:val="000000" w:themeColor="text1"/>
                <w:sz w:val="24"/>
                <w14:textFill>
                  <w14:solidFill>
                    <w14:schemeClr w14:val="tx1"/>
                  </w14:solidFill>
                </w14:textFill>
              </w:rPr>
              <w:t>3.098</w:t>
            </w:r>
            <w:r>
              <w:rPr>
                <w:color w:val="000000" w:themeColor="text1"/>
                <w:sz w:val="24"/>
                <w14:textFill>
                  <w14:solidFill>
                    <w14:schemeClr w14:val="tx1"/>
                  </w14:solidFill>
                </w14:textFill>
              </w:rPr>
              <w:t>t/a</w:t>
            </w:r>
            <w:r>
              <w:rPr>
                <w:rFonts w:hint="eastAsia"/>
                <w:color w:val="000000" w:themeColor="text1"/>
                <w:sz w:val="24"/>
                <w14:textFill>
                  <w14:solidFill>
                    <w14:schemeClr w14:val="tx1"/>
                  </w14:solidFill>
                </w14:textFill>
              </w:rPr>
              <w:t>，</w:t>
            </w:r>
            <w:r>
              <w:rPr>
                <w:rFonts w:hint="eastAsia"/>
                <w:bCs/>
                <w:color w:val="000000" w:themeColor="text1"/>
                <w:sz w:val="24"/>
                <w14:textFill>
                  <w14:solidFill>
                    <w14:schemeClr w14:val="tx1"/>
                  </w14:solidFill>
                </w14:textFill>
              </w:rPr>
              <w:t>0.</w:t>
            </w:r>
            <w:r>
              <w:rPr>
                <w:rFonts w:hint="eastAsia"/>
                <w:bCs/>
                <w:color w:val="000000" w:themeColor="text1"/>
                <w:sz w:val="24"/>
                <w:lang w:val="en-US" w:eastAsia="zh-CN"/>
                <w14:textFill>
                  <w14:solidFill>
                    <w14:schemeClr w14:val="tx1"/>
                  </w14:solidFill>
                </w14:textFill>
              </w:rPr>
              <w:t>010</w:t>
            </w:r>
            <w:r>
              <w:rPr>
                <w:rFonts w:hint="eastAsia"/>
                <w:bCs/>
                <w:color w:val="000000" w:themeColor="text1"/>
                <w:sz w:val="24"/>
                <w14:textFill>
                  <w14:solidFill>
                    <w14:schemeClr w14:val="tx1"/>
                  </w14:solidFill>
                </w14:textFill>
              </w:rPr>
              <w:t>kg/h</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由于项目物料运输量较大</w:t>
            </w:r>
            <w:r>
              <w:rPr>
                <w:rFonts w:hint="eastAsia"/>
                <w:color w:val="000000" w:themeColor="text1"/>
                <w:sz w:val="24"/>
                <w14:textFill>
                  <w14:solidFill>
                    <w14:schemeClr w14:val="tx1"/>
                  </w14:solidFill>
                </w14:textFill>
              </w:rPr>
              <w:t>，为减少项目建设对当地环境的影响，环评要求在运输过程中要限制车速，对车辆行驶的厂区内路面及运输路线实施洒水抑尘，每天多次洒水，设置车辆冲洗平台，运输车辆不允许超载，降低对沿线敏感点的不利影响，根据《排放源统计调查产排污核算方法和系数手册》中“工业源固体物料堆场颗粒物核算系数手册”，洒水控制效率为74%，则经洒水降尘后车辆运输动力起尘排放量为</w:t>
            </w:r>
            <w:r>
              <w:rPr>
                <w:rFonts w:hint="eastAsia"/>
                <w:bCs/>
                <w:color w:val="000000" w:themeColor="text1"/>
                <w:sz w:val="24"/>
                <w14:textFill>
                  <w14:solidFill>
                    <w14:schemeClr w14:val="tx1"/>
                  </w14:solidFill>
                </w14:textFill>
              </w:rPr>
              <w:t>0.805</w:t>
            </w:r>
            <w:r>
              <w:rPr>
                <w:bCs/>
                <w:color w:val="000000" w:themeColor="text1"/>
                <w:sz w:val="24"/>
                <w14:textFill>
                  <w14:solidFill>
                    <w14:schemeClr w14:val="tx1"/>
                  </w14:solidFill>
                </w14:textFill>
              </w:rPr>
              <w:t>t/a</w:t>
            </w:r>
            <w:r>
              <w:rPr>
                <w:rFonts w:hint="eastAsia"/>
                <w:bCs/>
                <w:color w:val="000000" w:themeColor="text1"/>
                <w:sz w:val="24"/>
                <w14:textFill>
                  <w14:solidFill>
                    <w14:schemeClr w14:val="tx1"/>
                  </w14:solidFill>
                </w14:textFill>
              </w:rPr>
              <w:t>，0.112kg/h。</w:t>
            </w:r>
          </w:p>
          <w:p w14:paraId="7A7A5A39">
            <w:pPr>
              <w:spacing w:line="360" w:lineRule="auto"/>
              <w:ind w:firstLine="48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（6）传送带输送粉尘</w:t>
            </w:r>
          </w:p>
          <w:p w14:paraId="42E427EE">
            <w:pPr>
              <w:spacing w:line="360" w:lineRule="auto"/>
              <w:ind w:firstLine="48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项目原料由经皮带输送至半成品</w:t>
            </w:r>
            <w:r>
              <w:rPr>
                <w:color w:val="000000" w:themeColor="text1"/>
                <w:sz w:val="24"/>
                <w14:textFill>
                  <w14:solidFill>
                    <w14:schemeClr w14:val="tx1"/>
                  </w14:solidFill>
                </w14:textFill>
              </w:rPr>
              <w:t>堆</w:t>
            </w:r>
            <w:r>
              <w:rPr>
                <w:rFonts w:hint="eastAsia"/>
                <w:color w:val="000000" w:themeColor="text1"/>
                <w:sz w:val="24"/>
                <w14:textFill>
                  <w14:solidFill>
                    <w14:schemeClr w14:val="tx1"/>
                  </w14:solidFill>
                </w14:textFill>
              </w:rPr>
              <w:t>场，输送装置设置传送带密闭处理，不安装洒水抑尘设施，但在进料、出料过程中开启、关闭传送带过程会排出空气，此过程会产生一定量的粉尘，</w:t>
            </w:r>
            <w:r>
              <w:rPr>
                <w:color w:val="000000" w:themeColor="text1"/>
                <w:sz w:val="24"/>
                <w14:textFill>
                  <w14:solidFill>
                    <w14:schemeClr w14:val="tx1"/>
                  </w14:solidFill>
                </w14:textFill>
              </w:rPr>
              <w:t>根据《逸散性工业粉尘控制技术》（J.A.奥里蒙、G.A.久兹等编著 中国环境科学出版社，1989）中的</w:t>
            </w:r>
            <w:r>
              <w:rPr>
                <w:rFonts w:hint="eastAsia"/>
                <w:color w:val="000000" w:themeColor="text1"/>
                <w:sz w:val="24"/>
                <w14:textFill>
                  <w14:solidFill>
                    <w14:schemeClr w14:val="tx1"/>
                  </w14:solidFill>
                </w14:textFill>
              </w:rPr>
              <w:t>“送料上堆-砂和砾石”进料</w:t>
            </w:r>
            <w:r>
              <w:rPr>
                <w:color w:val="000000" w:themeColor="text1"/>
                <w:sz w:val="24"/>
                <w14:textFill>
                  <w14:solidFill>
                    <w14:schemeClr w14:val="tx1"/>
                  </w14:solidFill>
                </w14:textFill>
              </w:rPr>
              <w:t>工艺粉尘产污系数为0.0</w:t>
            </w:r>
            <w:r>
              <w:rPr>
                <w:rFonts w:hint="eastAsia"/>
                <w:color w:val="000000" w:themeColor="text1"/>
                <w:sz w:val="24"/>
                <w14:textFill>
                  <w14:solidFill>
                    <w14:schemeClr w14:val="tx1"/>
                  </w14:solidFill>
                </w14:textFill>
              </w:rPr>
              <w:t>006</w:t>
            </w:r>
            <w:r>
              <w:rPr>
                <w:color w:val="000000" w:themeColor="text1"/>
                <w:sz w:val="24"/>
                <w14:textFill>
                  <w14:solidFill>
                    <w14:schemeClr w14:val="tx1"/>
                  </w14:solidFill>
                </w14:textFill>
              </w:rPr>
              <w:t>kg/t</w:t>
            </w:r>
            <w:r>
              <w:rPr>
                <w:rFonts w:hint="eastAsia"/>
                <w:color w:val="000000" w:themeColor="text1"/>
                <w:sz w:val="24"/>
                <w14:textFill>
                  <w14:solidFill>
                    <w14:schemeClr w14:val="tx1"/>
                  </w14:solidFill>
                </w14:textFill>
              </w:rPr>
              <w:t>、出料</w:t>
            </w:r>
            <w:r>
              <w:rPr>
                <w:color w:val="000000" w:themeColor="text1"/>
                <w:sz w:val="24"/>
                <w14:textFill>
                  <w14:solidFill>
                    <w14:schemeClr w14:val="tx1"/>
                  </w14:solidFill>
                </w14:textFill>
              </w:rPr>
              <w:t>工艺粉尘产污系数为0.0</w:t>
            </w:r>
            <w:r>
              <w:rPr>
                <w:rFonts w:hint="eastAsia"/>
                <w:color w:val="000000" w:themeColor="text1"/>
                <w:sz w:val="24"/>
                <w14:textFill>
                  <w14:solidFill>
                    <w14:schemeClr w14:val="tx1"/>
                  </w14:solidFill>
                </w14:textFill>
              </w:rPr>
              <w:t>015</w:t>
            </w:r>
            <w:r>
              <w:rPr>
                <w:color w:val="000000" w:themeColor="text1"/>
                <w:sz w:val="24"/>
                <w14:textFill>
                  <w14:solidFill>
                    <w14:schemeClr w14:val="tx1"/>
                  </w14:solidFill>
                </w14:textFill>
              </w:rPr>
              <w:t>kg/t</w:t>
            </w:r>
            <w:r>
              <w:rPr>
                <w:rFonts w:hint="eastAsia"/>
                <w:color w:val="000000" w:themeColor="text1"/>
                <w:sz w:val="24"/>
                <w14:textFill>
                  <w14:solidFill>
                    <w14:schemeClr w14:val="tx1"/>
                  </w14:solidFill>
                </w14:textFill>
              </w:rPr>
              <w:t>，本项目原料毛石年用量为887200t、半成品骨料年产约887200t，则进料粉尘产生量532kg/a，出粉尘产生量1330kg/a，传送带输送粉尘产生量为进料和出料粉尘的总和，则传送带输送粉尘产生量为1862 kg/a，以无组织的形式经墙壁围挡处理排放。本项目厂房采用密闭式和厂区地面硬化管理，根据《固体物料堆存颗粒物产排污核算系数手册》 中“附录4：粉尘控制措施控制效率”中墙壁围挡的控制效率为60%，</w:t>
            </w:r>
            <w:r>
              <w:rPr>
                <w:rFonts w:hint="eastAsia"/>
                <w:bCs/>
                <w:color w:val="000000" w:themeColor="text1"/>
                <w:sz w:val="24"/>
                <w14:textFill>
                  <w14:solidFill>
                    <w14:schemeClr w14:val="tx1"/>
                  </w14:solidFill>
                </w14:textFill>
              </w:rPr>
              <w:t>故传送带输送粉尘颗粒物无组织产生量为1.862t/a，0.259kg/h、经墙壁围挡降尘后粉尘排放量为</w:t>
            </w:r>
            <w:r>
              <w:rPr>
                <w:bCs/>
                <w:color w:val="000000" w:themeColor="text1"/>
                <w:sz w:val="24"/>
                <w14:textFill>
                  <w14:solidFill>
                    <w14:schemeClr w14:val="tx1"/>
                  </w14:solidFill>
                </w14:textFill>
              </w:rPr>
              <w:t>0.</w:t>
            </w:r>
            <w:r>
              <w:rPr>
                <w:rFonts w:hint="eastAsia"/>
                <w:bCs/>
                <w:color w:val="000000" w:themeColor="text1"/>
                <w:sz w:val="24"/>
                <w14:textFill>
                  <w14:solidFill>
                    <w14:schemeClr w14:val="tx1"/>
                  </w14:solidFill>
                </w14:textFill>
              </w:rPr>
              <w:t>484</w:t>
            </w:r>
            <w:r>
              <w:rPr>
                <w:bCs/>
                <w:color w:val="000000" w:themeColor="text1"/>
                <w:sz w:val="24"/>
                <w14:textFill>
                  <w14:solidFill>
                    <w14:schemeClr w14:val="tx1"/>
                  </w14:solidFill>
                </w14:textFill>
              </w:rPr>
              <w:t>t/a</w:t>
            </w:r>
            <w:r>
              <w:rPr>
                <w:rFonts w:hint="eastAsia"/>
                <w:bCs/>
                <w:color w:val="000000" w:themeColor="text1"/>
                <w:sz w:val="24"/>
                <w14:textFill>
                  <w14:solidFill>
                    <w14:schemeClr w14:val="tx1"/>
                  </w14:solidFill>
                </w14:textFill>
              </w:rPr>
              <w:t>，0067kg/h。</w:t>
            </w:r>
          </w:p>
          <w:p w14:paraId="45DCAC9A">
            <w:pPr>
              <w:spacing w:line="360" w:lineRule="auto"/>
              <w:ind w:firstLine="48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7</w:t>
            </w:r>
            <w:r>
              <w:rPr>
                <w:color w:val="000000" w:themeColor="text1"/>
                <w:sz w:val="24"/>
                <w14:textFill>
                  <w14:solidFill>
                    <w14:schemeClr w14:val="tx1"/>
                  </w14:solidFill>
                </w14:textFill>
              </w:rPr>
              <w:t>）汽车尾气</w:t>
            </w:r>
          </w:p>
          <w:p w14:paraId="3DD6734D">
            <w:pPr>
              <w:spacing w:line="360" w:lineRule="auto"/>
              <w:ind w:firstLine="48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项目营运期使用的</w:t>
            </w:r>
            <w:r>
              <w:rPr>
                <w:rFonts w:hint="eastAsia"/>
                <w:color w:val="000000" w:themeColor="text1"/>
                <w:sz w:val="24"/>
                <w14:textFill>
                  <w14:solidFill>
                    <w14:schemeClr w14:val="tx1"/>
                  </w14:solidFill>
                </w14:textFill>
              </w:rPr>
              <w:t>叉车、装载机</w:t>
            </w:r>
            <w:r>
              <w:rPr>
                <w:color w:val="000000" w:themeColor="text1"/>
                <w:sz w:val="24"/>
                <w14:textFill>
                  <w14:solidFill>
                    <w14:schemeClr w14:val="tx1"/>
                  </w14:solidFill>
                </w14:textFill>
              </w:rPr>
              <w:t>主要以柴油为原料，加上重型机械的尾气排放量比较大，尾气的排放使区域大气环境受到一定的污染。尾气中所含的污染物主要有CO、THC、SO2、NOx等。本项目</w:t>
            </w:r>
            <w:r>
              <w:rPr>
                <w:rFonts w:hint="eastAsia"/>
                <w:color w:val="000000" w:themeColor="text1"/>
                <w:sz w:val="24"/>
                <w14:textFill>
                  <w14:solidFill>
                    <w14:schemeClr w14:val="tx1"/>
                  </w14:solidFill>
                </w14:textFill>
              </w:rPr>
              <w:t>叉车、</w:t>
            </w:r>
            <w:r>
              <w:rPr>
                <w:color w:val="000000" w:themeColor="text1"/>
                <w:sz w:val="24"/>
                <w14:textFill>
                  <w14:solidFill>
                    <w14:schemeClr w14:val="tx1"/>
                  </w14:solidFill>
                </w14:textFill>
              </w:rPr>
              <w:t>装卸机</w:t>
            </w:r>
            <w:r>
              <w:rPr>
                <w:rFonts w:hint="eastAsia"/>
                <w:color w:val="000000" w:themeColor="text1"/>
                <w:sz w:val="24"/>
                <w14:textFill>
                  <w14:solidFill>
                    <w14:schemeClr w14:val="tx1"/>
                  </w14:solidFill>
                </w14:textFill>
              </w:rPr>
              <w:t>使用次数较少，其他大部分</w:t>
            </w:r>
            <w:r>
              <w:rPr>
                <w:color w:val="000000" w:themeColor="text1"/>
                <w:sz w:val="24"/>
                <w14:textFill>
                  <w14:solidFill>
                    <w14:schemeClr w14:val="tx1"/>
                  </w14:solidFill>
                </w14:textFill>
              </w:rPr>
              <w:t>工序转运均通过皮带机自动转运，</w:t>
            </w:r>
            <w:r>
              <w:rPr>
                <w:rFonts w:hint="eastAsia"/>
                <w:color w:val="000000" w:themeColor="text1"/>
                <w:sz w:val="24"/>
                <w14:textFill>
                  <w14:solidFill>
                    <w14:schemeClr w14:val="tx1"/>
                  </w14:solidFill>
                </w14:textFill>
              </w:rPr>
              <w:t>装载机</w:t>
            </w:r>
            <w:r>
              <w:rPr>
                <w:color w:val="000000" w:themeColor="text1"/>
                <w:sz w:val="24"/>
                <w14:textFill>
                  <w14:solidFill>
                    <w14:schemeClr w14:val="tx1"/>
                  </w14:solidFill>
                </w14:textFill>
              </w:rPr>
              <w:t>产生的尾气在短时间内可经大气扩散稀释。</w:t>
            </w:r>
          </w:p>
          <w:bookmarkEnd w:id="53"/>
          <w:p w14:paraId="67122544">
            <w:pPr>
              <w:tabs>
                <w:tab w:val="center" w:pos="4813"/>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（8）搅拌粉尘</w:t>
            </w:r>
          </w:p>
          <w:p w14:paraId="3E2C88CE">
            <w:pPr>
              <w:spacing w:line="360" w:lineRule="auto"/>
              <w:ind w:firstLine="480" w:firstLineChars="200"/>
              <w:jc w:val="left"/>
              <w:rPr>
                <w:bCs/>
                <w:snapToGrid w:val="0"/>
                <w:color w:val="000000" w:themeColor="text1"/>
                <w:sz w:val="24"/>
                <w14:textFill>
                  <w14:solidFill>
                    <w14:schemeClr w14:val="tx1"/>
                  </w14:solidFill>
                </w14:textFill>
              </w:rPr>
            </w:pPr>
            <w:r>
              <w:rPr>
                <w:rFonts w:hint="eastAsia"/>
                <w:bCs/>
                <w:snapToGrid w:val="0"/>
                <w:color w:val="000000" w:themeColor="text1"/>
                <w:sz w:val="24"/>
                <w14:textFill>
                  <w14:solidFill>
                    <w14:schemeClr w14:val="tx1"/>
                  </w14:solidFill>
                </w14:textFill>
              </w:rPr>
              <w:t>本项目需对配比称量后的水、</w:t>
            </w:r>
            <w:r>
              <w:rPr>
                <w:rFonts w:hint="eastAsia"/>
                <w:bCs/>
                <w:color w:val="000000" w:themeColor="text1"/>
                <w:sz w:val="24"/>
                <w14:textFill>
                  <w14:solidFill>
                    <w14:schemeClr w14:val="tx1"/>
                  </w14:solidFill>
                </w14:textFill>
              </w:rPr>
              <w:t>小颗粒骨料、中颗粒骨料</w:t>
            </w:r>
            <w:r>
              <w:rPr>
                <w:rFonts w:hint="eastAsia"/>
                <w:bCs/>
                <w:snapToGrid w:val="0"/>
                <w:color w:val="000000" w:themeColor="text1"/>
                <w:sz w:val="24"/>
                <w14:textFill>
                  <w14:solidFill>
                    <w14:schemeClr w14:val="tx1"/>
                  </w14:solidFill>
                </w14:textFill>
              </w:rPr>
              <w:t>和水泥进行搅拌后得到产品。参考《排放源统计调查产排污核算方法和系数手册》中的“3021、3022、3029水泥制品制造行业系数手册”水泥、砂子、石子等物料混合搅拌工序中颗粒物产生量为0.13kg/t·产品，本项目水稳料生产线产品总量约为1000000t/a，故该工序颗粒物产生量为130t/a。本项目在搅拌机周围</w:t>
            </w:r>
            <w:r>
              <w:rPr>
                <w:bCs/>
                <w:snapToGrid w:val="0"/>
                <w:color w:val="000000" w:themeColor="text1"/>
                <w:sz w:val="24"/>
                <w14:textFill>
                  <w14:solidFill>
                    <w14:schemeClr w14:val="tx1"/>
                  </w14:solidFill>
                </w14:textFill>
              </w:rPr>
              <w:t>布设喷雾装置洒水抑尘</w:t>
            </w:r>
            <w:r>
              <w:rPr>
                <w:rFonts w:hint="eastAsia"/>
                <w:bCs/>
                <w:snapToGrid w:val="0"/>
                <w:color w:val="000000" w:themeColor="text1"/>
                <w:sz w:val="24"/>
                <w14:textFill>
                  <w14:solidFill>
                    <w14:schemeClr w14:val="tx1"/>
                  </w14:solidFill>
                </w14:textFill>
              </w:rPr>
              <w:t>，搅拌区域属于密闭空间，根据《排放源统计调查产排污核算方法和系数手册》中“工业源固体物料堆场颗粒物核算系数手册”，本项目采用喷淋洒水，控制效率为74%，密闭空间颗粒物控制效率为99%，综合去除效率为99.74%，故颗粒物无组织产生量为130t/a，18.056kg/h、经喷雾降尘后搅拌过程粉尘排放量为0.338</w:t>
            </w:r>
            <w:r>
              <w:rPr>
                <w:bCs/>
                <w:snapToGrid w:val="0"/>
                <w:color w:val="000000" w:themeColor="text1"/>
                <w:sz w:val="24"/>
                <w14:textFill>
                  <w14:solidFill>
                    <w14:schemeClr w14:val="tx1"/>
                  </w14:solidFill>
                </w14:textFill>
              </w:rPr>
              <w:t>t/a</w:t>
            </w:r>
            <w:r>
              <w:rPr>
                <w:rFonts w:hint="eastAsia"/>
                <w:bCs/>
                <w:snapToGrid w:val="0"/>
                <w:color w:val="000000" w:themeColor="text1"/>
                <w:sz w:val="24"/>
                <w14:textFill>
                  <w14:solidFill>
                    <w14:schemeClr w14:val="tx1"/>
                  </w14:solidFill>
                </w14:textFill>
              </w:rPr>
              <w:t>，0.047kg/h。</w:t>
            </w:r>
          </w:p>
          <w:p w14:paraId="4D891E47">
            <w:pPr>
              <w:pStyle w:val="44"/>
              <w:spacing w:after="0"/>
              <w:ind w:firstLine="496" w:firstLineChars="200"/>
              <w:rPr>
                <w:rFonts w:ascii="Times New Roman" w:hAnsi="Times New Roman"/>
                <w:color w:val="000000" w:themeColor="text1"/>
                <w:szCs w:val="24"/>
                <w14:textFill>
                  <w14:solidFill>
                    <w14:schemeClr w14:val="tx1"/>
                  </w14:solidFill>
                </w14:textFill>
              </w:rPr>
            </w:pPr>
            <w:r>
              <w:rPr>
                <w:rFonts w:ascii="Times New Roman" w:hAnsi="Times New Roman"/>
                <w:bCs/>
                <w:color w:val="000000" w:themeColor="text1"/>
                <w:spacing w:val="4"/>
                <w:kern w:val="18"/>
                <w14:textFill>
                  <w14:solidFill>
                    <w14:schemeClr w14:val="tx1"/>
                  </w14:solidFill>
                </w14:textFill>
              </w:rPr>
              <w:t>（9）</w:t>
            </w:r>
            <w:r>
              <w:rPr>
                <w:rFonts w:ascii="Times New Roman" w:hAnsi="Times New Roman"/>
                <w:color w:val="000000" w:themeColor="text1"/>
                <w:kern w:val="0"/>
                <w:lang w:val="zh-CN"/>
                <w14:textFill>
                  <w14:solidFill>
                    <w14:schemeClr w14:val="tx1"/>
                  </w14:solidFill>
                </w14:textFill>
              </w:rPr>
              <w:t>筒仓呼吸粉尘</w:t>
            </w:r>
          </w:p>
          <w:p w14:paraId="205B62A9">
            <w:pPr>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项目水泥通过气力输送进筒仓内，水泥筒仓内输送过程中，由于仓内气压大于仓外气压，仓内水泥粉尘通过仓顶呼吸孔外排，外排颗粒物一部分应重力作用沉降在仓内，其余的经</w:t>
            </w:r>
            <w:r>
              <w:rPr>
                <w:color w:val="000000" w:themeColor="text1"/>
                <w:kern w:val="0"/>
                <w:sz w:val="24"/>
                <w:szCs w:val="24"/>
                <w:lang w:val="zh-CN"/>
                <w14:textFill>
                  <w14:solidFill>
                    <w14:schemeClr w14:val="tx1"/>
                  </w14:solidFill>
                </w14:textFill>
              </w:rPr>
              <w:t>筒仓</w:t>
            </w:r>
            <w:r>
              <w:rPr>
                <w:rFonts w:hint="eastAsia"/>
                <w:color w:val="000000" w:themeColor="text1"/>
                <w:sz w:val="24"/>
                <w14:textFill>
                  <w14:solidFill>
                    <w14:schemeClr w14:val="tx1"/>
                  </w14:solidFill>
                </w14:textFill>
              </w:rPr>
              <w:t>顶部自带的脉冲布袋除尘器处理后排放。参考《排放源统计调查产排污核算方法和系数手册》中水泥制品制造业产排污系数表，项目粉料输送、储存工序产尘量按0.12kg/t-产品计。</w:t>
            </w:r>
          </w:p>
          <w:p w14:paraId="6CE4B134">
            <w:pPr>
              <w:spacing w:line="360" w:lineRule="auto"/>
              <w:ind w:firstLine="480" w:firstLineChars="200"/>
              <w:jc w:val="left"/>
              <w:rPr>
                <w:rFonts w:hint="eastAsia"/>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项目水泥总用量50000t/a，则筒仓呼吸粉尘产生量约为6t/a（单个筒仓均分，共4个，按1.5t/a计），各筒仓顶部设有脉冲布袋除尘器，去除效率可达99.7%，颗粒物经脉冲布袋除尘器处理后无组织排放。水泥筒仓</w:t>
            </w:r>
            <w:r>
              <w:rPr>
                <w:color w:val="000000" w:themeColor="text1"/>
                <w:sz w:val="24"/>
                <w14:textFill>
                  <w14:solidFill>
                    <w14:schemeClr w14:val="tx1"/>
                  </w14:solidFill>
                </w14:textFill>
              </w:rPr>
              <w:t>粉尘产生量为</w:t>
            </w:r>
            <w:r>
              <w:rPr>
                <w:rFonts w:hint="eastAsia"/>
                <w:color w:val="000000" w:themeColor="text1"/>
                <w:sz w:val="24"/>
                <w14:textFill>
                  <w14:solidFill>
                    <w14:schemeClr w14:val="tx1"/>
                  </w14:solidFill>
                </w14:textFill>
              </w:rPr>
              <w:t>6</w:t>
            </w:r>
            <w:r>
              <w:rPr>
                <w:color w:val="000000" w:themeColor="text1"/>
                <w:sz w:val="24"/>
                <w14:textFill>
                  <w14:solidFill>
                    <w14:schemeClr w14:val="tx1"/>
                  </w14:solidFill>
                </w14:textFill>
              </w:rPr>
              <w:t>t/a，产生速率为</w:t>
            </w:r>
            <w:r>
              <w:rPr>
                <w:rFonts w:hint="eastAsia"/>
                <w:color w:val="000000" w:themeColor="text1"/>
                <w:sz w:val="24"/>
                <w14:textFill>
                  <w14:solidFill>
                    <w14:schemeClr w14:val="tx1"/>
                  </w14:solidFill>
                </w14:textFill>
              </w:rPr>
              <w:t>7.5</w:t>
            </w:r>
            <w:r>
              <w:rPr>
                <w:color w:val="000000" w:themeColor="text1"/>
                <w:sz w:val="24"/>
                <w14:textFill>
                  <w14:solidFill>
                    <w14:schemeClr w14:val="tx1"/>
                  </w14:solidFill>
                </w14:textFill>
              </w:rPr>
              <w:t>kg/h，</w:t>
            </w:r>
            <w:r>
              <w:rPr>
                <w:rFonts w:hint="eastAsia"/>
                <w:color w:val="000000" w:themeColor="text1"/>
                <w:sz w:val="24"/>
                <w14:textFill>
                  <w14:solidFill>
                    <w14:schemeClr w14:val="tx1"/>
                  </w14:solidFill>
                </w14:textFill>
              </w:rPr>
              <w:t>无组织排放量为0.018t/a，排放速率为0.023kg/h。脉冲布袋除尘器收集的粉尘回流至各个水泥筒仓中。</w:t>
            </w:r>
          </w:p>
          <w:p w14:paraId="3A19BE3E">
            <w:pPr>
              <w:numPr>
                <w:ilvl w:val="0"/>
                <w:numId w:val="16"/>
              </w:numPr>
              <w:spacing w:line="360" w:lineRule="auto"/>
              <w:ind w:firstLine="480" w:firstLineChars="200"/>
              <w:jc w:val="left"/>
              <w:rPr>
                <w:rFonts w:hint="default" w:ascii="Times New Roman" w:hAnsi="Times New Roman" w:eastAsia="宋体" w:cs="Times New Roman"/>
                <w:color w:val="000000" w:themeColor="text1"/>
                <w:sz w:val="24"/>
                <w:lang w:val="en-US"/>
                <w14:textFill>
                  <w14:solidFill>
                    <w14:schemeClr w14:val="tx1"/>
                  </w14:solidFill>
                </w14:textFill>
              </w:rPr>
            </w:pPr>
            <w:r>
              <w:rPr>
                <w:rFonts w:hint="eastAsia" w:ascii="Times New Roman" w:hAnsi="Times New Roman" w:eastAsia="宋体" w:cs="Times New Roman"/>
                <w:color w:val="000000" w:themeColor="text1"/>
                <w:sz w:val="24"/>
                <w:lang w:val="en-US" w:eastAsia="zh-CN"/>
                <w14:textFill>
                  <w14:solidFill>
                    <w14:schemeClr w14:val="tx1"/>
                  </w14:solidFill>
                </w14:textFill>
              </w:rPr>
              <w:t>包装及出料装车粉尘</w:t>
            </w:r>
          </w:p>
          <w:p w14:paraId="2CE3EB77">
            <w:pPr>
              <w:tabs>
                <w:tab w:val="left" w:pos="1275"/>
              </w:tabs>
              <w:spacing w:line="360" w:lineRule="auto"/>
              <w:ind w:firstLine="480"/>
              <w:jc w:val="left"/>
              <w:rPr>
                <w:rFonts w:ascii="Times New Roman" w:hAnsi="Times New Roman" w:eastAsia="宋体" w:cs="Times New Roman"/>
                <w:bCs/>
                <w:color w:val="000000" w:themeColor="text1"/>
                <w:sz w:val="24"/>
                <w14:textFill>
                  <w14:solidFill>
                    <w14:schemeClr w14:val="tx1"/>
                  </w14:solidFill>
                </w14:textFill>
              </w:rPr>
            </w:pPr>
            <w:r>
              <w:rPr>
                <w:rFonts w:hint="eastAsia" w:ascii="Times New Roman" w:hAnsi="Times New Roman" w:eastAsia="宋体" w:cs="Times New Roman"/>
                <w:bCs/>
                <w:color w:val="000000" w:themeColor="text1"/>
                <w:sz w:val="24"/>
                <w14:textFill>
                  <w14:solidFill>
                    <w14:schemeClr w14:val="tx1"/>
                  </w14:solidFill>
                </w14:textFill>
              </w:rPr>
              <w:t>本项目水稳料为湿态混合料，含水率约 7%，无包装工序；生产过程中由输送机直接装车外运，厂区内不储存、不堆存，落料高度小、抑尘条件好，粉尘产生量极</w:t>
            </w:r>
            <w:r>
              <w:rPr>
                <w:rFonts w:hint="eastAsia" w:ascii="Times New Roman" w:hAnsi="Times New Roman" w:eastAsia="宋体" w:cs="Times New Roman"/>
                <w:bCs/>
                <w:color w:val="000000" w:themeColor="text1"/>
                <w:sz w:val="24"/>
                <w:lang w:val="en-US" w:eastAsia="zh-CN"/>
                <w14:textFill>
                  <w14:solidFill>
                    <w14:schemeClr w14:val="tx1"/>
                  </w14:solidFill>
                </w14:textFill>
              </w:rPr>
              <w:t>少</w:t>
            </w:r>
            <w:r>
              <w:rPr>
                <w:rFonts w:hint="eastAsia" w:ascii="Times New Roman" w:hAnsi="Times New Roman" w:eastAsia="宋体" w:cs="Times New Roman"/>
                <w:bCs/>
                <w:color w:val="000000" w:themeColor="text1"/>
                <w:sz w:val="24"/>
                <w14:textFill>
                  <w14:solidFill>
                    <w14:schemeClr w14:val="tx1"/>
                  </w14:solidFill>
                </w14:textFill>
              </w:rPr>
              <w:t>。因此，</w:t>
            </w:r>
            <w:r>
              <w:rPr>
                <w:color w:val="000000" w:themeColor="text1"/>
                <w:sz w:val="24"/>
                <w14:textFill>
                  <w14:solidFill>
                    <w14:schemeClr w14:val="tx1"/>
                  </w14:solidFill>
                </w14:textFill>
              </w:rPr>
              <w:t>因此本次评价不考虑</w:t>
            </w:r>
            <w:r>
              <w:rPr>
                <w:rFonts w:hint="eastAsia" w:ascii="Times New Roman" w:hAnsi="Times New Roman" w:eastAsia="宋体" w:cs="Times New Roman"/>
                <w:color w:val="000000" w:themeColor="text1"/>
                <w:sz w:val="24"/>
                <w:lang w:val="en-US" w:eastAsia="zh-CN"/>
                <w14:textFill>
                  <w14:solidFill>
                    <w14:schemeClr w14:val="tx1"/>
                  </w14:solidFill>
                </w14:textFill>
              </w:rPr>
              <w:t>包装及出料装车</w:t>
            </w:r>
            <w:r>
              <w:rPr>
                <w:color w:val="000000" w:themeColor="text1"/>
                <w:sz w:val="24"/>
                <w14:textFill>
                  <w14:solidFill>
                    <w14:schemeClr w14:val="tx1"/>
                  </w14:solidFill>
                </w14:textFill>
              </w:rPr>
              <w:t>工序产生的粉尘</w:t>
            </w:r>
            <w:r>
              <w:rPr>
                <w:rFonts w:hint="eastAsia" w:ascii="Times New Roman" w:hAnsi="Times New Roman" w:eastAsia="宋体" w:cs="Times New Roman"/>
                <w:bCs/>
                <w:color w:val="000000" w:themeColor="text1"/>
                <w:sz w:val="24"/>
                <w14:textFill>
                  <w14:solidFill>
                    <w14:schemeClr w14:val="tx1"/>
                  </w14:solidFill>
                </w14:textFill>
              </w:rPr>
              <w:t>。</w:t>
            </w:r>
          </w:p>
          <w:p w14:paraId="1C6F007E">
            <w:pPr>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rFonts w:hint="eastAsia"/>
                <w:color w:val="000000" w:themeColor="text1"/>
                <w:sz w:val="24"/>
                <w:lang w:val="en-US" w:eastAsia="zh-CN"/>
                <w14:textFill>
                  <w14:solidFill>
                    <w14:schemeClr w14:val="tx1"/>
                  </w14:solidFill>
                </w14:textFill>
              </w:rPr>
              <w:t>1</w:t>
            </w:r>
            <w:r>
              <w:rPr>
                <w:rFonts w:hint="eastAsia"/>
                <w:color w:val="000000" w:themeColor="text1"/>
                <w:sz w:val="24"/>
                <w14:textFill>
                  <w14:solidFill>
                    <w14:schemeClr w14:val="tx1"/>
                  </w14:solidFill>
                </w14:textFill>
              </w:rPr>
              <w:t>）厨房油烟</w:t>
            </w:r>
          </w:p>
          <w:p w14:paraId="6972AB20">
            <w:pPr>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厂区内设有一个食堂，共</w:t>
            </w:r>
            <w:r>
              <w:rPr>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个基准灶头，主要为厂内职工提供午餐和晚餐，按每天使用</w:t>
            </w:r>
            <w:r>
              <w:rPr>
                <w:color w:val="000000" w:themeColor="text1"/>
                <w:sz w:val="24"/>
                <w14:textFill>
                  <w14:solidFill>
                    <w14:schemeClr w14:val="tx1"/>
                  </w14:solidFill>
                </w14:textFill>
              </w:rPr>
              <w:t>6</w:t>
            </w:r>
            <w:r>
              <w:rPr>
                <w:rFonts w:hint="eastAsia"/>
                <w:color w:val="000000" w:themeColor="text1"/>
                <w:sz w:val="24"/>
                <w14:textFill>
                  <w14:solidFill>
                    <w14:schemeClr w14:val="tx1"/>
                  </w14:solidFill>
                </w14:textFill>
              </w:rPr>
              <w:t>小时，年工作</w:t>
            </w:r>
            <w:r>
              <w:rPr>
                <w:color w:val="000000" w:themeColor="text1"/>
                <w:sz w:val="24"/>
                <w14:textFill>
                  <w14:solidFill>
                    <w14:schemeClr w14:val="tx1"/>
                  </w14:solidFill>
                </w14:textFill>
              </w:rPr>
              <w:t>3</w:t>
            </w:r>
            <w:r>
              <w:rPr>
                <w:rFonts w:hint="eastAsia"/>
                <w:color w:val="000000" w:themeColor="text1"/>
                <w:sz w:val="24"/>
                <w14:textFill>
                  <w14:solidFill>
                    <w14:schemeClr w14:val="tx1"/>
                  </w14:solidFill>
                </w14:textFill>
              </w:rPr>
              <w:t>00天计。食堂在烹饪过程中会产生油烟废气，油烟废气采用油烟净化装置进行处理后，再通过专用烟道引至楼顶天面排放，本项目设有员工20人，食用油消耗量按人均20g/d计，则项目日耗油量为0.4kg，年耗油量为</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12t。炒菜时油烟和油的挥发量占总耗油量的2%～4%之间，本评价取3%。则油烟年产生量为</w:t>
            </w:r>
            <w:r>
              <w:rPr>
                <w:color w:val="000000" w:themeColor="text1"/>
                <w:sz w:val="24"/>
                <w14:textFill>
                  <w14:solidFill>
                    <w14:schemeClr w14:val="tx1"/>
                  </w14:solidFill>
                </w14:textFill>
              </w:rPr>
              <w:t>0.00</w:t>
            </w:r>
            <w:r>
              <w:rPr>
                <w:rFonts w:hint="eastAsia"/>
                <w:color w:val="000000" w:themeColor="text1"/>
                <w:sz w:val="24"/>
                <w14:textFill>
                  <w14:solidFill>
                    <w14:schemeClr w14:val="tx1"/>
                  </w14:solidFill>
                </w14:textFill>
              </w:rPr>
              <w:t>4t/a（0</w:t>
            </w:r>
            <w:r>
              <w:rPr>
                <w:color w:val="000000" w:themeColor="text1"/>
                <w:sz w:val="24"/>
                <w14:textFill>
                  <w14:solidFill>
                    <w14:schemeClr w14:val="tx1"/>
                  </w14:solidFill>
                </w14:textFill>
              </w:rPr>
              <w:t>.00</w:t>
            </w:r>
            <w:r>
              <w:rPr>
                <w:rFonts w:hint="eastAsia"/>
                <w:color w:val="000000" w:themeColor="text1"/>
                <w:sz w:val="24"/>
                <w14:textFill>
                  <w14:solidFill>
                    <w14:schemeClr w14:val="tx1"/>
                  </w14:solidFill>
                </w14:textFill>
              </w:rPr>
              <w:t>2</w:t>
            </w:r>
            <w:r>
              <w:rPr>
                <w:color w:val="000000" w:themeColor="text1"/>
                <w:sz w:val="24"/>
                <w14:textFill>
                  <w14:solidFill>
                    <w14:schemeClr w14:val="tx1"/>
                  </w14:solidFill>
                </w14:textFill>
              </w:rPr>
              <w:t>kg/h</w:t>
            </w:r>
            <w:r>
              <w:rPr>
                <w:rFonts w:hint="eastAsia"/>
                <w:color w:val="000000" w:themeColor="text1"/>
                <w:sz w:val="24"/>
                <w14:textFill>
                  <w14:solidFill>
                    <w14:schemeClr w14:val="tx1"/>
                  </w14:solidFill>
                </w14:textFill>
              </w:rPr>
              <w:t>）。项目厨房排烟系统的设计处理风量为</w:t>
            </w:r>
            <w:r>
              <w:rPr>
                <w:color w:val="000000" w:themeColor="text1"/>
                <w:sz w:val="24"/>
                <w14:textFill>
                  <w14:solidFill>
                    <w14:schemeClr w14:val="tx1"/>
                  </w14:solidFill>
                </w14:textFill>
              </w:rPr>
              <w:t>1000</w:t>
            </w:r>
            <w:r>
              <w:rPr>
                <w:rFonts w:hint="eastAsia"/>
                <w:color w:val="000000" w:themeColor="text1"/>
                <w:sz w:val="24"/>
                <w14:textFill>
                  <w14:solidFill>
                    <w14:schemeClr w14:val="tx1"/>
                  </w14:solidFill>
                </w14:textFill>
              </w:rPr>
              <w:t>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/h，拟采用油烟净化器去除效率可达75%以上（本项目取75%），处理后油烟年排放量为</w:t>
            </w:r>
            <w:r>
              <w:rPr>
                <w:color w:val="000000" w:themeColor="text1"/>
                <w:sz w:val="24"/>
                <w14:textFill>
                  <w14:solidFill>
                    <w14:schemeClr w14:val="tx1"/>
                  </w14:solidFill>
                </w14:textFill>
              </w:rPr>
              <w:t>0.00</w:t>
            </w:r>
            <w:r>
              <w:rPr>
                <w:rFonts w:hint="eastAsia"/>
                <w:color w:val="000000" w:themeColor="text1"/>
                <w:sz w:val="24"/>
                <w14:textFill>
                  <w14:solidFill>
                    <w14:schemeClr w14:val="tx1"/>
                  </w14:solidFill>
                </w14:textFill>
              </w:rPr>
              <w:t>1t/a（0</w:t>
            </w:r>
            <w:r>
              <w:rPr>
                <w:color w:val="000000" w:themeColor="text1"/>
                <w:sz w:val="24"/>
                <w14:textFill>
                  <w14:solidFill>
                    <w14:schemeClr w14:val="tx1"/>
                  </w14:solidFill>
                </w14:textFill>
              </w:rPr>
              <w:t>.00</w:t>
            </w:r>
            <w:r>
              <w:rPr>
                <w:rFonts w:hint="eastAsia"/>
                <w:color w:val="000000" w:themeColor="text1"/>
                <w:sz w:val="24"/>
                <w14:textFill>
                  <w14:solidFill>
                    <w14:schemeClr w14:val="tx1"/>
                  </w14:solidFill>
                </w14:textFill>
              </w:rPr>
              <w:t>05</w:t>
            </w:r>
            <w:r>
              <w:rPr>
                <w:color w:val="000000" w:themeColor="text1"/>
                <w:sz w:val="24"/>
                <w14:textFill>
                  <w14:solidFill>
                    <w14:schemeClr w14:val="tx1"/>
                  </w14:solidFill>
                </w14:textFill>
              </w:rPr>
              <w:t>kg/h</w:t>
            </w:r>
            <w:r>
              <w:rPr>
                <w:rFonts w:hint="eastAsia"/>
                <w:color w:val="000000" w:themeColor="text1"/>
                <w:sz w:val="24"/>
                <w14:textFill>
                  <w14:solidFill>
                    <w14:schemeClr w14:val="tx1"/>
                  </w14:solidFill>
                </w14:textFill>
              </w:rPr>
              <w:t>），排放浓度为0.5</w:t>
            </w:r>
            <w:r>
              <w:rPr>
                <w:color w:val="000000" w:themeColor="text1"/>
                <w:sz w:val="24"/>
                <w14:textFill>
                  <w14:solidFill>
                    <w14:schemeClr w14:val="tx1"/>
                  </w14:solidFill>
                </w14:textFill>
              </w:rPr>
              <w:t>mg/</w:t>
            </w:r>
            <w:r>
              <w:rPr>
                <w:rFonts w:hint="eastAsia"/>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w:t>
            </w:r>
          </w:p>
          <w:p w14:paraId="6F1BE428">
            <w:pPr>
              <w:spacing w:line="360" w:lineRule="auto"/>
              <w:ind w:firstLine="482" w:firstLineChars="200"/>
              <w:jc w:val="left"/>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2、卫生防护距离核算</w:t>
            </w:r>
          </w:p>
          <w:p w14:paraId="1C0CC433">
            <w:pPr>
              <w:spacing w:line="360" w:lineRule="auto"/>
              <w:ind w:firstLine="480" w:firstLineChars="200"/>
              <w:jc w:val="left"/>
              <w:rPr>
                <w:rFonts w:eastAsia="新宋体"/>
                <w:color w:val="000000" w:themeColor="text1"/>
                <w:kern w:val="18"/>
                <w:sz w:val="24"/>
                <w14:textFill>
                  <w14:solidFill>
                    <w14:schemeClr w14:val="tx1"/>
                  </w14:solidFill>
                </w14:textFill>
              </w:rPr>
            </w:pPr>
            <w:r>
              <w:rPr>
                <w:rFonts w:eastAsia="新宋体"/>
                <w:color w:val="000000" w:themeColor="text1"/>
                <w:kern w:val="18"/>
                <w:sz w:val="24"/>
                <w14:textFill>
                  <w14:solidFill>
                    <w14:schemeClr w14:val="tx1"/>
                  </w14:solidFill>
                </w14:textFill>
              </w:rPr>
              <w:t>根据《大气有害物质无组织排放卫生防护距离推导技术导则》（GB/T39499-2020）的有关规定，确定建设项目的卫生防护距离按下式计算：</w:t>
            </w:r>
          </w:p>
          <w:p w14:paraId="30CFA122">
            <w:pPr>
              <w:spacing w:line="360" w:lineRule="auto"/>
              <w:jc w:val="center"/>
              <w:rPr>
                <w:rFonts w:eastAsia="新宋体"/>
                <w:color w:val="000000" w:themeColor="text1"/>
                <w:kern w:val="18"/>
                <w:sz w:val="24"/>
                <w14:textFill>
                  <w14:solidFill>
                    <w14:schemeClr w14:val="tx1"/>
                  </w14:solidFill>
                </w14:textFill>
              </w:rPr>
            </w:pPr>
            <w:r>
              <w:rPr>
                <w:color w:val="000000" w:themeColor="text1"/>
                <w:kern w:val="0"/>
                <w:position w:val="-30"/>
                <w:sz w:val="24"/>
                <w:lang w:eastAsia="en-US"/>
                <w14:textFill>
                  <w14:solidFill>
                    <w14:schemeClr w14:val="tx1"/>
                  </w14:solidFill>
                </w14:textFill>
              </w:rPr>
              <w:object>
                <v:shape id="_x0000_i1027" o:spt="75" type="#_x0000_t75" style="height:36.75pt;width:149.25pt;" o:ole="t" filled="f" o:preferrelative="t" stroked="f" coordsize="21600,21600">
                  <v:path/>
                  <v:fill on="f" focussize="0,0"/>
                  <v:stroke on="f" joinstyle="miter"/>
                  <v:imagedata r:id="rId20" o:title=""/>
                  <o:lock v:ext="edit" aspectratio="t"/>
                  <w10:wrap type="none"/>
                  <w10:anchorlock/>
                </v:shape>
                <o:OLEObject Type="Embed" ProgID="Equation.3" ShapeID="_x0000_i1027" DrawAspect="Content" ObjectID="_1468075727" r:id="rId19">
                  <o:LockedField>false</o:LockedField>
                </o:OLEObject>
              </w:object>
            </w:r>
            <w:r>
              <w:rPr>
                <w:rFonts w:eastAsia="新宋体"/>
                <w:color w:val="000000" w:themeColor="text1"/>
                <w:kern w:val="18"/>
                <w:sz w:val="24"/>
                <w14:textFill>
                  <w14:solidFill>
                    <w14:schemeClr w14:val="tx1"/>
                  </w14:solidFill>
                </w14:textFill>
              </w:rPr>
              <w:t xml:space="preserve"> </w:t>
            </w:r>
          </w:p>
          <w:p w14:paraId="28656F91">
            <w:pPr>
              <w:spacing w:line="360" w:lineRule="auto"/>
              <w:ind w:firstLine="480" w:firstLineChars="200"/>
              <w:jc w:val="left"/>
              <w:rPr>
                <w:rFonts w:eastAsia="新宋体"/>
                <w:color w:val="000000" w:themeColor="text1"/>
                <w:kern w:val="18"/>
                <w:sz w:val="24"/>
                <w14:textFill>
                  <w14:solidFill>
                    <w14:schemeClr w14:val="tx1"/>
                  </w14:solidFill>
                </w14:textFill>
              </w:rPr>
            </w:pPr>
            <w:r>
              <w:rPr>
                <w:rFonts w:eastAsia="新宋体"/>
                <w:color w:val="000000" w:themeColor="text1"/>
                <w:kern w:val="18"/>
                <w:sz w:val="24"/>
                <w14:textFill>
                  <w14:solidFill>
                    <w14:schemeClr w14:val="tx1"/>
                  </w14:solidFill>
                </w14:textFill>
              </w:rPr>
              <w:t>式中：Qc－大气有害物质的无组织排放量，单位为千克每小时（kg/h）；</w:t>
            </w:r>
          </w:p>
          <w:p w14:paraId="5675DBD3">
            <w:pPr>
              <w:spacing w:line="360" w:lineRule="auto"/>
              <w:ind w:firstLine="480" w:firstLineChars="200"/>
              <w:jc w:val="left"/>
              <w:rPr>
                <w:rFonts w:eastAsia="新宋体"/>
                <w:color w:val="000000" w:themeColor="text1"/>
                <w:kern w:val="18"/>
                <w:sz w:val="24"/>
                <w14:textFill>
                  <w14:solidFill>
                    <w14:schemeClr w14:val="tx1"/>
                  </w14:solidFill>
                </w14:textFill>
              </w:rPr>
            </w:pPr>
            <w:r>
              <w:rPr>
                <w:rFonts w:eastAsia="新宋体"/>
                <w:color w:val="000000" w:themeColor="text1"/>
                <w:kern w:val="18"/>
                <w:sz w:val="24"/>
                <w14:textFill>
                  <w14:solidFill>
                    <w14:schemeClr w14:val="tx1"/>
                  </w14:solidFill>
                </w14:textFill>
              </w:rPr>
              <w:t xml:space="preserve">      C</w:t>
            </w:r>
            <w:r>
              <w:rPr>
                <w:rFonts w:eastAsia="新宋体"/>
                <w:color w:val="000000" w:themeColor="text1"/>
                <w:kern w:val="18"/>
                <w:sz w:val="24"/>
                <w:vertAlign w:val="subscript"/>
                <w14:textFill>
                  <w14:solidFill>
                    <w14:schemeClr w14:val="tx1"/>
                  </w14:solidFill>
                </w14:textFill>
              </w:rPr>
              <w:t>m</w:t>
            </w:r>
            <w:r>
              <w:rPr>
                <w:rFonts w:eastAsia="新宋体"/>
                <w:color w:val="000000" w:themeColor="text1"/>
                <w:kern w:val="18"/>
                <w:sz w:val="24"/>
                <w14:textFill>
                  <w14:solidFill>
                    <w14:schemeClr w14:val="tx1"/>
                  </w14:solidFill>
                </w14:textFill>
              </w:rPr>
              <w:t>－大气有害物质环境空气质量的标准限值，单位为毫克每立方(mg/m</w:t>
            </w:r>
            <w:r>
              <w:rPr>
                <w:rFonts w:eastAsia="新宋体"/>
                <w:color w:val="000000" w:themeColor="text1"/>
                <w:kern w:val="18"/>
                <w:sz w:val="24"/>
                <w:vertAlign w:val="superscript"/>
                <w14:textFill>
                  <w14:solidFill>
                    <w14:schemeClr w14:val="tx1"/>
                  </w14:solidFill>
                </w14:textFill>
              </w:rPr>
              <w:t>3</w:t>
            </w:r>
            <w:r>
              <w:rPr>
                <w:rFonts w:eastAsia="新宋体"/>
                <w:color w:val="000000" w:themeColor="text1"/>
                <w:kern w:val="18"/>
                <w:sz w:val="24"/>
                <w14:textFill>
                  <w14:solidFill>
                    <w14:schemeClr w14:val="tx1"/>
                  </w14:solidFill>
                </w14:textFill>
              </w:rPr>
              <w:t>)；</w:t>
            </w:r>
          </w:p>
          <w:p w14:paraId="027F18CE">
            <w:pPr>
              <w:spacing w:line="360" w:lineRule="auto"/>
              <w:ind w:firstLine="480" w:firstLineChars="200"/>
              <w:jc w:val="left"/>
              <w:rPr>
                <w:rFonts w:eastAsia="新宋体"/>
                <w:color w:val="000000" w:themeColor="text1"/>
                <w:kern w:val="18"/>
                <w:sz w:val="24"/>
                <w14:textFill>
                  <w14:solidFill>
                    <w14:schemeClr w14:val="tx1"/>
                  </w14:solidFill>
                </w14:textFill>
              </w:rPr>
            </w:pPr>
            <w:r>
              <w:rPr>
                <w:rFonts w:eastAsia="新宋体"/>
                <w:color w:val="000000" w:themeColor="text1"/>
                <w:kern w:val="18"/>
                <w:sz w:val="24"/>
                <w14:textFill>
                  <w14:solidFill>
                    <w14:schemeClr w14:val="tx1"/>
                  </w14:solidFill>
                </w14:textFill>
              </w:rPr>
              <w:t xml:space="preserve">      r－大气有害物质无组织排放源所在生产单元的等效半径，单位为米 (m)；</w:t>
            </w:r>
          </w:p>
          <w:p w14:paraId="60E74092">
            <w:pPr>
              <w:spacing w:line="360" w:lineRule="auto"/>
              <w:ind w:firstLine="480" w:firstLineChars="200"/>
              <w:jc w:val="left"/>
              <w:rPr>
                <w:rFonts w:eastAsia="新宋体"/>
                <w:color w:val="000000" w:themeColor="text1"/>
                <w:kern w:val="18"/>
                <w:sz w:val="24"/>
                <w14:textFill>
                  <w14:solidFill>
                    <w14:schemeClr w14:val="tx1"/>
                  </w14:solidFill>
                </w14:textFill>
              </w:rPr>
            </w:pPr>
            <w:r>
              <w:rPr>
                <w:rFonts w:eastAsia="新宋体"/>
                <w:color w:val="000000" w:themeColor="text1"/>
                <w:kern w:val="18"/>
                <w:sz w:val="24"/>
                <w14:textFill>
                  <w14:solidFill>
                    <w14:schemeClr w14:val="tx1"/>
                  </w14:solidFill>
                </w14:textFill>
              </w:rPr>
              <w:t xml:space="preserve">      A、B、C、D－为卫生防护距离计算系数，无因次，根据工业企业所在地区近5年平均风速及大气污染源构成，查询详见下表；</w:t>
            </w:r>
          </w:p>
          <w:p w14:paraId="22A5018D">
            <w:pPr>
              <w:spacing w:line="360" w:lineRule="auto"/>
              <w:ind w:firstLine="480" w:firstLineChars="200"/>
              <w:jc w:val="left"/>
              <w:rPr>
                <w:color w:val="000000" w:themeColor="text1"/>
                <w:kern w:val="18"/>
                <w:sz w:val="24"/>
                <w14:textFill>
                  <w14:solidFill>
                    <w14:schemeClr w14:val="tx1"/>
                  </w14:solidFill>
                </w14:textFill>
              </w:rPr>
            </w:pPr>
            <w:r>
              <w:rPr>
                <w:rFonts w:eastAsia="新宋体"/>
                <w:color w:val="000000" w:themeColor="text1"/>
                <w:kern w:val="18"/>
                <w:sz w:val="24"/>
                <w14:textFill>
                  <w14:solidFill>
                    <w14:schemeClr w14:val="tx1"/>
                  </w14:solidFill>
                </w14:textFill>
              </w:rPr>
              <w:t xml:space="preserve">      L－大气有害物质卫生防护距离初值，单位为米(m)。</w:t>
            </w:r>
          </w:p>
          <w:p w14:paraId="2F3946E8">
            <w:pPr>
              <w:spacing w:line="360" w:lineRule="auto"/>
              <w:ind w:firstLine="1200" w:firstLineChars="500"/>
              <w:rPr>
                <w:color w:val="000000" w:themeColor="text1"/>
                <w:sz w:val="24"/>
                <w14:textFill>
                  <w14:solidFill>
                    <w14:schemeClr w14:val="tx1"/>
                  </w14:solidFill>
                </w14:textFill>
              </w:rPr>
            </w:pPr>
            <w:r>
              <w:rPr>
                <w:color w:val="000000" w:themeColor="text1"/>
                <w:kern w:val="18"/>
                <w:sz w:val="24"/>
                <w14:textFill>
                  <w14:solidFill>
                    <w14:schemeClr w14:val="tx1"/>
                  </w14:solidFill>
                </w14:textFill>
              </w:rPr>
              <w:t>本项目无组织排放废气的等标排放量核算见下表（本次卫生防护距离核算中将颗粒物无组织排放量进行计算）：</w:t>
            </w:r>
          </w:p>
          <w:p w14:paraId="4361ED1A">
            <w:pPr>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表4-</w:t>
            </w:r>
            <w:r>
              <w:rPr>
                <w:rFonts w:hint="eastAsia"/>
                <w:b/>
                <w:bCs/>
                <w:color w:val="000000" w:themeColor="text1"/>
                <w:sz w:val="24"/>
                <w14:textFill>
                  <w14:solidFill>
                    <w14:schemeClr w14:val="tx1"/>
                  </w14:solidFill>
                </w14:textFill>
              </w:rPr>
              <w:t xml:space="preserve">4 </w:t>
            </w:r>
            <w:r>
              <w:rPr>
                <w:b/>
                <w:bCs/>
                <w:color w:val="000000" w:themeColor="text1"/>
                <w:sz w:val="24"/>
                <w14:textFill>
                  <w14:solidFill>
                    <w14:schemeClr w14:val="tx1"/>
                  </w14:solidFill>
                </w14:textFill>
              </w:rPr>
              <w:t xml:space="preserve">  无组织排放污染物等标排放量计算结果</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949"/>
              <w:gridCol w:w="4001"/>
              <w:gridCol w:w="1945"/>
              <w:gridCol w:w="2293"/>
              <w:gridCol w:w="3421"/>
            </w:tblGrid>
            <w:tr w14:paraId="3B587B1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716" w:type="pct"/>
                  <w:tcBorders>
                    <w:top w:val="single" w:color="auto" w:sz="12" w:space="0"/>
                    <w:left w:val="single" w:color="auto" w:sz="12" w:space="0"/>
                    <w:bottom w:val="single" w:color="auto" w:sz="12" w:space="0"/>
                    <w:right w:val="single" w:color="auto" w:sz="12" w:space="0"/>
                  </w:tcBorders>
                </w:tcPr>
                <w:p w14:paraId="1ED1C87A">
                  <w:pPr>
                    <w:autoSpaceDE w:val="0"/>
                    <w:autoSpaceDN w:val="0"/>
                    <w:adjustRightInd w:val="0"/>
                    <w:snapToGrid w:val="0"/>
                    <w:jc w:val="center"/>
                    <w:rPr>
                      <w:b/>
                      <w:color w:val="000000" w:themeColor="text1"/>
                      <w:sz w:val="18"/>
                      <w:szCs w:val="18"/>
                      <w14:textFill>
                        <w14:solidFill>
                          <w14:schemeClr w14:val="tx1"/>
                        </w14:solidFill>
                      </w14:textFill>
                    </w:rPr>
                  </w:pPr>
                  <w:r>
                    <w:rPr>
                      <w:b/>
                      <w:color w:val="000000" w:themeColor="text1"/>
                      <w:sz w:val="18"/>
                      <w:szCs w:val="18"/>
                      <w14:textFill>
                        <w14:solidFill>
                          <w14:schemeClr w14:val="tx1"/>
                        </w14:solidFill>
                      </w14:textFill>
                    </w:rPr>
                    <w:t>污染源</w:t>
                  </w:r>
                </w:p>
              </w:tc>
              <w:tc>
                <w:tcPr>
                  <w:tcW w:w="1469" w:type="pct"/>
                  <w:tcBorders>
                    <w:top w:val="single" w:color="auto" w:sz="12" w:space="0"/>
                    <w:left w:val="single" w:color="auto" w:sz="12" w:space="0"/>
                    <w:bottom w:val="single" w:color="auto" w:sz="12" w:space="0"/>
                    <w:right w:val="single" w:color="auto" w:sz="12" w:space="0"/>
                  </w:tcBorders>
                  <w:vAlign w:val="center"/>
                </w:tcPr>
                <w:p w14:paraId="7104B57A">
                  <w:pPr>
                    <w:autoSpaceDE w:val="0"/>
                    <w:autoSpaceDN w:val="0"/>
                    <w:adjustRightInd w:val="0"/>
                    <w:snapToGrid w:val="0"/>
                    <w:jc w:val="center"/>
                    <w:rPr>
                      <w:b/>
                      <w:color w:val="000000" w:themeColor="text1"/>
                      <w:sz w:val="18"/>
                      <w:szCs w:val="18"/>
                      <w14:textFill>
                        <w14:solidFill>
                          <w14:schemeClr w14:val="tx1"/>
                        </w14:solidFill>
                      </w14:textFill>
                    </w:rPr>
                  </w:pPr>
                  <w:r>
                    <w:rPr>
                      <w:b/>
                      <w:color w:val="000000" w:themeColor="text1"/>
                      <w:sz w:val="18"/>
                      <w:szCs w:val="18"/>
                      <w14:textFill>
                        <w14:solidFill>
                          <w14:schemeClr w14:val="tx1"/>
                        </w14:solidFill>
                      </w14:textFill>
                    </w:rPr>
                    <w:t>污染物名称</w:t>
                  </w:r>
                </w:p>
              </w:tc>
              <w:tc>
                <w:tcPr>
                  <w:tcW w:w="714" w:type="pct"/>
                  <w:tcBorders>
                    <w:top w:val="single" w:color="auto" w:sz="12" w:space="0"/>
                    <w:left w:val="single" w:color="auto" w:sz="12" w:space="0"/>
                    <w:bottom w:val="single" w:color="auto" w:sz="12" w:space="0"/>
                    <w:right w:val="single" w:color="auto" w:sz="12" w:space="0"/>
                  </w:tcBorders>
                  <w:vAlign w:val="center"/>
                </w:tcPr>
                <w:p w14:paraId="5CB2FC42">
                  <w:pPr>
                    <w:autoSpaceDE w:val="0"/>
                    <w:autoSpaceDN w:val="0"/>
                    <w:adjustRightInd w:val="0"/>
                    <w:snapToGrid w:val="0"/>
                    <w:jc w:val="center"/>
                    <w:rPr>
                      <w:b/>
                      <w:color w:val="000000" w:themeColor="text1"/>
                      <w:sz w:val="18"/>
                      <w:szCs w:val="18"/>
                      <w14:textFill>
                        <w14:solidFill>
                          <w14:schemeClr w14:val="tx1"/>
                        </w14:solidFill>
                      </w14:textFill>
                    </w:rPr>
                  </w:pPr>
                  <w:r>
                    <w:rPr>
                      <w:b/>
                      <w:color w:val="000000" w:themeColor="text1"/>
                      <w:sz w:val="18"/>
                      <w:szCs w:val="18"/>
                      <w14:textFill>
                        <w14:solidFill>
                          <w14:schemeClr w14:val="tx1"/>
                        </w14:solidFill>
                      </w14:textFill>
                    </w:rPr>
                    <w:t>Q</w:t>
                  </w:r>
                  <w:r>
                    <w:rPr>
                      <w:b/>
                      <w:color w:val="000000" w:themeColor="text1"/>
                      <w:sz w:val="18"/>
                      <w:szCs w:val="18"/>
                      <w:vertAlign w:val="subscript"/>
                      <w14:textFill>
                        <w14:solidFill>
                          <w14:schemeClr w14:val="tx1"/>
                        </w14:solidFill>
                      </w14:textFill>
                    </w:rPr>
                    <w:t>c</w:t>
                  </w:r>
                  <w:r>
                    <w:rPr>
                      <w:b/>
                      <w:color w:val="000000" w:themeColor="text1"/>
                      <w:sz w:val="18"/>
                      <w:szCs w:val="18"/>
                      <w14:textFill>
                        <w14:solidFill>
                          <w14:schemeClr w14:val="tx1"/>
                        </w14:solidFill>
                      </w14:textFill>
                    </w:rPr>
                    <w:t>（kg/h）</w:t>
                  </w:r>
                </w:p>
              </w:tc>
              <w:tc>
                <w:tcPr>
                  <w:tcW w:w="842" w:type="pct"/>
                  <w:tcBorders>
                    <w:top w:val="single" w:color="auto" w:sz="12" w:space="0"/>
                    <w:left w:val="single" w:color="auto" w:sz="12" w:space="0"/>
                    <w:bottom w:val="single" w:color="auto" w:sz="12" w:space="0"/>
                    <w:right w:val="single" w:color="auto" w:sz="12" w:space="0"/>
                  </w:tcBorders>
                  <w:vAlign w:val="center"/>
                </w:tcPr>
                <w:p w14:paraId="59846264">
                  <w:pPr>
                    <w:autoSpaceDE w:val="0"/>
                    <w:autoSpaceDN w:val="0"/>
                    <w:adjustRightInd w:val="0"/>
                    <w:snapToGrid w:val="0"/>
                    <w:jc w:val="center"/>
                    <w:rPr>
                      <w:b/>
                      <w:color w:val="000000" w:themeColor="text1"/>
                      <w:sz w:val="18"/>
                      <w:szCs w:val="18"/>
                      <w14:textFill>
                        <w14:solidFill>
                          <w14:schemeClr w14:val="tx1"/>
                        </w14:solidFill>
                      </w14:textFill>
                    </w:rPr>
                  </w:pPr>
                  <w:r>
                    <w:rPr>
                      <w:b/>
                      <w:color w:val="000000" w:themeColor="text1"/>
                      <w:sz w:val="18"/>
                      <w:szCs w:val="18"/>
                      <w14:textFill>
                        <w14:solidFill>
                          <w14:schemeClr w14:val="tx1"/>
                        </w14:solidFill>
                      </w14:textFill>
                    </w:rPr>
                    <w:t>C</w:t>
                  </w:r>
                  <w:r>
                    <w:rPr>
                      <w:b/>
                      <w:color w:val="000000" w:themeColor="text1"/>
                      <w:sz w:val="18"/>
                      <w:szCs w:val="18"/>
                      <w:vertAlign w:val="subscript"/>
                      <w14:textFill>
                        <w14:solidFill>
                          <w14:schemeClr w14:val="tx1"/>
                        </w14:solidFill>
                      </w14:textFill>
                    </w:rPr>
                    <w:t>m</w:t>
                  </w:r>
                  <w:r>
                    <w:rPr>
                      <w:b/>
                      <w:color w:val="000000" w:themeColor="text1"/>
                      <w:sz w:val="18"/>
                      <w:szCs w:val="18"/>
                      <w14:textFill>
                        <w14:solidFill>
                          <w14:schemeClr w14:val="tx1"/>
                        </w14:solidFill>
                      </w14:textFill>
                    </w:rPr>
                    <w:t>（mg/m</w:t>
                  </w:r>
                  <w:r>
                    <w:rPr>
                      <w:b/>
                      <w:color w:val="000000" w:themeColor="text1"/>
                      <w:sz w:val="18"/>
                      <w:szCs w:val="18"/>
                      <w:vertAlign w:val="superscript"/>
                      <w14:textFill>
                        <w14:solidFill>
                          <w14:schemeClr w14:val="tx1"/>
                        </w14:solidFill>
                      </w14:textFill>
                    </w:rPr>
                    <w:t>3</w:t>
                  </w:r>
                  <w:r>
                    <w:rPr>
                      <w:b/>
                      <w:color w:val="000000" w:themeColor="text1"/>
                      <w:sz w:val="18"/>
                      <w:szCs w:val="18"/>
                      <w14:textFill>
                        <w14:solidFill>
                          <w14:schemeClr w14:val="tx1"/>
                        </w14:solidFill>
                      </w14:textFill>
                    </w:rPr>
                    <w:t>）</w:t>
                  </w:r>
                </w:p>
              </w:tc>
              <w:tc>
                <w:tcPr>
                  <w:tcW w:w="1256" w:type="pct"/>
                  <w:tcBorders>
                    <w:top w:val="single" w:color="auto" w:sz="12" w:space="0"/>
                    <w:left w:val="single" w:color="auto" w:sz="12" w:space="0"/>
                    <w:bottom w:val="single" w:color="auto" w:sz="12" w:space="0"/>
                    <w:right w:val="single" w:color="auto" w:sz="12" w:space="0"/>
                  </w:tcBorders>
                  <w:vAlign w:val="center"/>
                </w:tcPr>
                <w:p w14:paraId="46BF7E2E">
                  <w:pPr>
                    <w:autoSpaceDE w:val="0"/>
                    <w:autoSpaceDN w:val="0"/>
                    <w:adjustRightInd w:val="0"/>
                    <w:snapToGrid w:val="0"/>
                    <w:jc w:val="center"/>
                    <w:rPr>
                      <w:b/>
                      <w:color w:val="000000" w:themeColor="text1"/>
                      <w:sz w:val="18"/>
                      <w:szCs w:val="18"/>
                      <w14:textFill>
                        <w14:solidFill>
                          <w14:schemeClr w14:val="tx1"/>
                        </w14:solidFill>
                      </w14:textFill>
                    </w:rPr>
                  </w:pPr>
                  <w:r>
                    <w:rPr>
                      <w:b/>
                      <w:color w:val="000000" w:themeColor="text1"/>
                      <w:sz w:val="18"/>
                      <w:szCs w:val="18"/>
                      <w14:textFill>
                        <w14:solidFill>
                          <w14:schemeClr w14:val="tx1"/>
                        </w14:solidFill>
                      </w14:textFill>
                    </w:rPr>
                    <w:t>等标排放量（Q</w:t>
                  </w:r>
                  <w:r>
                    <w:rPr>
                      <w:b/>
                      <w:color w:val="000000" w:themeColor="text1"/>
                      <w:sz w:val="18"/>
                      <w:szCs w:val="18"/>
                      <w:vertAlign w:val="subscript"/>
                      <w14:textFill>
                        <w14:solidFill>
                          <w14:schemeClr w14:val="tx1"/>
                        </w14:solidFill>
                      </w14:textFill>
                    </w:rPr>
                    <w:t>c</w:t>
                  </w:r>
                  <w:r>
                    <w:rPr>
                      <w:b/>
                      <w:color w:val="000000" w:themeColor="text1"/>
                      <w:sz w:val="18"/>
                      <w:szCs w:val="18"/>
                      <w14:textFill>
                        <w14:solidFill>
                          <w14:schemeClr w14:val="tx1"/>
                        </w14:solidFill>
                      </w14:textFill>
                    </w:rPr>
                    <w:t>/C</w:t>
                  </w:r>
                  <w:r>
                    <w:rPr>
                      <w:b/>
                      <w:color w:val="000000" w:themeColor="text1"/>
                      <w:sz w:val="18"/>
                      <w:szCs w:val="18"/>
                      <w:vertAlign w:val="subscript"/>
                      <w14:textFill>
                        <w14:solidFill>
                          <w14:schemeClr w14:val="tx1"/>
                        </w14:solidFill>
                      </w14:textFill>
                    </w:rPr>
                    <w:t>m</w:t>
                  </w:r>
                  <w:r>
                    <w:rPr>
                      <w:b/>
                      <w:color w:val="000000" w:themeColor="text1"/>
                      <w:sz w:val="18"/>
                      <w:szCs w:val="18"/>
                      <w14:textFill>
                        <w14:solidFill>
                          <w14:schemeClr w14:val="tx1"/>
                        </w14:solidFill>
                      </w14:textFill>
                    </w:rPr>
                    <w:t>）</w:t>
                  </w:r>
                </w:p>
              </w:tc>
            </w:tr>
            <w:tr w14:paraId="0834F68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716" w:type="pct"/>
                  <w:tcBorders>
                    <w:top w:val="single" w:color="auto" w:sz="12" w:space="0"/>
                    <w:left w:val="single" w:color="auto" w:sz="12" w:space="0"/>
                    <w:right w:val="single" w:color="auto" w:sz="12" w:space="0"/>
                  </w:tcBorders>
                  <w:vAlign w:val="center"/>
                </w:tcPr>
                <w:p w14:paraId="4C77B730">
                  <w:pPr>
                    <w:autoSpaceDE w:val="0"/>
                    <w:autoSpaceDN w:val="0"/>
                    <w:adjustRightInd w:val="0"/>
                    <w:snapToGrid w:val="0"/>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厂房</w:t>
                  </w:r>
                </w:p>
              </w:tc>
              <w:tc>
                <w:tcPr>
                  <w:tcW w:w="1469" w:type="pct"/>
                  <w:tcBorders>
                    <w:top w:val="single" w:color="auto" w:sz="12" w:space="0"/>
                    <w:left w:val="single" w:color="auto" w:sz="12" w:space="0"/>
                    <w:bottom w:val="single" w:color="auto" w:sz="12" w:space="0"/>
                    <w:right w:val="single" w:color="auto" w:sz="12" w:space="0"/>
                  </w:tcBorders>
                  <w:vAlign w:val="center"/>
                </w:tcPr>
                <w:p w14:paraId="27BB9A5C">
                  <w:pPr>
                    <w:autoSpaceDE w:val="0"/>
                    <w:autoSpaceDN w:val="0"/>
                    <w:adjustRightInd w:val="0"/>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颗粒物</w:t>
                  </w:r>
                </w:p>
              </w:tc>
              <w:tc>
                <w:tcPr>
                  <w:tcW w:w="714" w:type="pct"/>
                  <w:tcBorders>
                    <w:top w:val="single" w:color="auto" w:sz="12" w:space="0"/>
                    <w:left w:val="single" w:color="auto" w:sz="12" w:space="0"/>
                    <w:bottom w:val="single" w:color="auto" w:sz="12" w:space="0"/>
                    <w:right w:val="single" w:color="auto" w:sz="12" w:space="0"/>
                  </w:tcBorders>
                  <w:vAlign w:val="center"/>
                </w:tcPr>
                <w:p w14:paraId="631D80CE">
                  <w:pPr>
                    <w:autoSpaceDE w:val="0"/>
                    <w:autoSpaceDN w:val="0"/>
                    <w:adjustRightInd w:val="0"/>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0.539</w:t>
                  </w:r>
                </w:p>
              </w:tc>
              <w:tc>
                <w:tcPr>
                  <w:tcW w:w="842" w:type="pct"/>
                  <w:tcBorders>
                    <w:top w:val="single" w:color="auto" w:sz="12" w:space="0"/>
                    <w:left w:val="single" w:color="auto" w:sz="12" w:space="0"/>
                    <w:bottom w:val="single" w:color="auto" w:sz="12" w:space="0"/>
                    <w:right w:val="single" w:color="auto" w:sz="12" w:space="0"/>
                  </w:tcBorders>
                  <w:vAlign w:val="center"/>
                </w:tcPr>
                <w:p w14:paraId="7DE34050">
                  <w:pPr>
                    <w:autoSpaceDE w:val="0"/>
                    <w:autoSpaceDN w:val="0"/>
                    <w:adjustRightInd w:val="0"/>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0.9</w:t>
                  </w:r>
                </w:p>
              </w:tc>
              <w:tc>
                <w:tcPr>
                  <w:tcW w:w="1256" w:type="pct"/>
                  <w:tcBorders>
                    <w:top w:val="single" w:color="auto" w:sz="12" w:space="0"/>
                    <w:left w:val="single" w:color="auto" w:sz="12" w:space="0"/>
                    <w:bottom w:val="single" w:color="auto" w:sz="12" w:space="0"/>
                    <w:right w:val="single" w:color="auto" w:sz="12" w:space="0"/>
                  </w:tcBorders>
                  <w:vAlign w:val="center"/>
                </w:tcPr>
                <w:p w14:paraId="12274955">
                  <w:pPr>
                    <w:autoSpaceDE w:val="0"/>
                    <w:autoSpaceDN w:val="0"/>
                    <w:adjustRightInd w:val="0"/>
                    <w:snapToGrid w:val="0"/>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0.599</w:t>
                  </w:r>
                </w:p>
              </w:tc>
            </w:tr>
          </w:tbl>
          <w:p w14:paraId="72E373A9">
            <w:pPr>
              <w:widowControl/>
              <w:adjustRightInd w:val="0"/>
              <w:snapToGrid w:val="0"/>
              <w:spacing w:line="360" w:lineRule="auto"/>
              <w:ind w:firstLine="480" w:firstLineChars="200"/>
              <w:rPr>
                <w:color w:val="000000" w:themeColor="text1"/>
                <w:sz w:val="24"/>
                <w:szCs w:val="40"/>
                <w14:textFill>
                  <w14:solidFill>
                    <w14:schemeClr w14:val="tx1"/>
                  </w14:solidFill>
                </w14:textFill>
              </w:rPr>
            </w:pPr>
            <w:r>
              <w:rPr>
                <w:color w:val="000000" w:themeColor="text1"/>
                <w:sz w:val="24"/>
                <w:szCs w:val="20"/>
                <w14:textFill>
                  <w14:solidFill>
                    <w14:schemeClr w14:val="tx1"/>
                  </w14:solidFill>
                </w14:textFill>
              </w:rPr>
              <w:t>本项目</w:t>
            </w:r>
            <w:r>
              <w:rPr>
                <w:rFonts w:hint="eastAsia"/>
                <w:color w:val="000000" w:themeColor="text1"/>
                <w:sz w:val="24"/>
                <w:szCs w:val="20"/>
                <w14:textFill>
                  <w14:solidFill>
                    <w14:schemeClr w14:val="tx1"/>
                  </w14:solidFill>
                </w14:textFill>
              </w:rPr>
              <w:t>所在区域近5年平均风速＞2m/s，</w:t>
            </w:r>
            <w:r>
              <w:rPr>
                <w:rFonts w:ascii="宋体" w:hAnsi="宋体"/>
                <w:color w:val="000000" w:themeColor="text1"/>
                <w:sz w:val="24"/>
                <w:szCs w:val="20"/>
                <w14:textFill>
                  <w14:solidFill>
                    <w14:schemeClr w14:val="tx1"/>
                  </w14:solidFill>
                </w14:textFill>
              </w:rPr>
              <w:t>选择颗粒物</w:t>
            </w:r>
            <w:r>
              <w:rPr>
                <w:rFonts w:hint="eastAsia" w:ascii="宋体" w:hAnsi="宋体"/>
                <w:color w:val="000000" w:themeColor="text1"/>
                <w:sz w:val="24"/>
                <w:szCs w:val="20"/>
                <w14:textFill>
                  <w14:solidFill>
                    <w14:schemeClr w14:val="tx1"/>
                  </w14:solidFill>
                </w14:textFill>
              </w:rPr>
              <w:t>（TSP）</w:t>
            </w:r>
            <w:r>
              <w:rPr>
                <w:rFonts w:ascii="宋体" w:hAnsi="宋体"/>
                <w:color w:val="000000" w:themeColor="text1"/>
                <w:sz w:val="24"/>
                <w:szCs w:val="20"/>
                <w14:textFill>
                  <w14:solidFill>
                    <w14:schemeClr w14:val="tx1"/>
                  </w14:solidFill>
                </w14:textFill>
              </w:rPr>
              <w:t>为无组织排放的主要特征大气有害物质来计算卫生防护距离初值</w:t>
            </w:r>
            <w:r>
              <w:rPr>
                <w:rFonts w:ascii="宋体" w:hAnsi="宋体"/>
                <w:color w:val="000000" w:themeColor="text1"/>
                <w:kern w:val="18"/>
                <w:sz w:val="24"/>
                <w:szCs w:val="20"/>
                <w14:textFill>
                  <w14:solidFill>
                    <w14:schemeClr w14:val="tx1"/>
                  </w14:solidFill>
                </w14:textFill>
              </w:rPr>
              <w:t>。</w:t>
            </w:r>
            <w:r>
              <w:rPr>
                <w:rFonts w:hint="eastAsia" w:ascii="宋体" w:hAnsi="宋体"/>
                <w:color w:val="000000" w:themeColor="text1"/>
                <w:kern w:val="18"/>
                <w:sz w:val="24"/>
                <w:szCs w:val="20"/>
                <w14:textFill>
                  <w14:solidFill>
                    <w14:schemeClr w14:val="tx1"/>
                  </w14:solidFill>
                </w14:textFill>
              </w:rPr>
              <w:t>计算参数</w:t>
            </w:r>
            <w:r>
              <w:rPr>
                <w:rFonts w:ascii="宋体" w:hAnsi="宋体"/>
                <w:color w:val="000000" w:themeColor="text1"/>
                <w:kern w:val="18"/>
                <w:sz w:val="24"/>
                <w:szCs w:val="20"/>
                <w14:textFill>
                  <w14:solidFill>
                    <w14:schemeClr w14:val="tx1"/>
                  </w14:solidFill>
                </w14:textFill>
              </w:rPr>
              <w:t>具体如下：</w:t>
            </w:r>
          </w:p>
          <w:p w14:paraId="1AD8FE94">
            <w:pPr>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表4-</w:t>
            </w:r>
            <w:r>
              <w:rPr>
                <w:rFonts w:hint="eastAsia"/>
                <w:b/>
                <w:bCs/>
                <w:color w:val="000000" w:themeColor="text1"/>
                <w:sz w:val="24"/>
                <w14:textFill>
                  <w14:solidFill>
                    <w14:schemeClr w14:val="tx1"/>
                  </w14:solidFill>
                </w14:textFill>
              </w:rPr>
              <w:t>5</w:t>
            </w:r>
            <w:r>
              <w:rPr>
                <w:b/>
                <w:bCs/>
                <w:color w:val="000000" w:themeColor="text1"/>
                <w:sz w:val="24"/>
                <w14:textFill>
                  <w14:solidFill>
                    <w14:schemeClr w14:val="tx1"/>
                  </w14:solidFill>
                </w14:textFill>
              </w:rPr>
              <w:t xml:space="preserve">  卫生防护距离计算参数选择</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845"/>
              <w:gridCol w:w="2450"/>
              <w:gridCol w:w="1015"/>
              <w:gridCol w:w="1203"/>
              <w:gridCol w:w="1015"/>
              <w:gridCol w:w="1013"/>
              <w:gridCol w:w="1015"/>
              <w:gridCol w:w="1015"/>
              <w:gridCol w:w="1015"/>
              <w:gridCol w:w="1015"/>
              <w:gridCol w:w="1008"/>
            </w:tblGrid>
            <w:tr w14:paraId="313840E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678" w:type="pct"/>
                  <w:vMerge w:val="restart"/>
                  <w:tcBorders>
                    <w:top w:val="single" w:color="auto" w:sz="12" w:space="0"/>
                    <w:left w:val="single" w:color="auto" w:sz="12" w:space="0"/>
                    <w:bottom w:val="single" w:color="auto" w:sz="12" w:space="0"/>
                    <w:right w:val="single" w:color="auto" w:sz="12" w:space="0"/>
                  </w:tcBorders>
                  <w:vAlign w:val="center"/>
                </w:tcPr>
                <w:p w14:paraId="11AB21B3">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计算系数</w:t>
                  </w:r>
                </w:p>
              </w:tc>
              <w:tc>
                <w:tcPr>
                  <w:tcW w:w="900" w:type="pct"/>
                  <w:vMerge w:val="restart"/>
                  <w:tcBorders>
                    <w:top w:val="single" w:color="auto" w:sz="12" w:space="0"/>
                    <w:left w:val="single" w:color="auto" w:sz="12" w:space="0"/>
                    <w:bottom w:val="single" w:color="auto" w:sz="12" w:space="0"/>
                    <w:right w:val="single" w:color="auto" w:sz="12" w:space="0"/>
                  </w:tcBorders>
                  <w:vAlign w:val="center"/>
                </w:tcPr>
                <w:p w14:paraId="6D3890C3">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5年平均风速</w:t>
                  </w:r>
                </w:p>
              </w:tc>
              <w:tc>
                <w:tcPr>
                  <w:tcW w:w="3423" w:type="pct"/>
                  <w:gridSpan w:val="9"/>
                  <w:tcBorders>
                    <w:top w:val="single" w:color="auto" w:sz="12" w:space="0"/>
                    <w:left w:val="single" w:color="auto" w:sz="12" w:space="0"/>
                    <w:bottom w:val="single" w:color="auto" w:sz="12" w:space="0"/>
                    <w:right w:val="single" w:color="auto" w:sz="12" w:space="0"/>
                  </w:tcBorders>
                  <w:vAlign w:val="center"/>
                </w:tcPr>
                <w:p w14:paraId="2E1686A5">
                  <w:pPr>
                    <w:jc w:val="center"/>
                    <w:rPr>
                      <w:color w:val="000000" w:themeColor="text1"/>
                      <w:kern w:val="0"/>
                      <w:sz w:val="18"/>
                      <w:szCs w:val="18"/>
                      <w14:textFill>
                        <w14:solidFill>
                          <w14:schemeClr w14:val="tx1"/>
                        </w14:solidFill>
                      </w14:textFill>
                    </w:rPr>
                  </w:pPr>
                  <w:r>
                    <w:rPr>
                      <w:b/>
                      <w:color w:val="000000" w:themeColor="text1"/>
                      <w:sz w:val="18"/>
                      <w:szCs w:val="18"/>
                      <w14:textFill>
                        <w14:solidFill>
                          <w14:schemeClr w14:val="tx1"/>
                        </w14:solidFill>
                      </w14:textFill>
                    </w:rPr>
                    <w:t>卫生防护距离L（m）</w:t>
                  </w:r>
                </w:p>
              </w:tc>
            </w:tr>
            <w:tr w14:paraId="77B2F31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678" w:type="pct"/>
                  <w:vMerge w:val="continue"/>
                  <w:tcBorders>
                    <w:top w:val="single" w:color="auto" w:sz="12" w:space="0"/>
                    <w:left w:val="single" w:color="auto" w:sz="12" w:space="0"/>
                    <w:bottom w:val="single" w:color="auto" w:sz="12" w:space="0"/>
                    <w:right w:val="single" w:color="auto" w:sz="12" w:space="0"/>
                  </w:tcBorders>
                  <w:vAlign w:val="center"/>
                </w:tcPr>
                <w:p w14:paraId="561DE8E1">
                  <w:pPr>
                    <w:widowControl/>
                    <w:jc w:val="center"/>
                    <w:rPr>
                      <w:color w:val="000000" w:themeColor="text1"/>
                      <w:kern w:val="0"/>
                      <w:sz w:val="18"/>
                      <w:szCs w:val="18"/>
                      <w14:textFill>
                        <w14:solidFill>
                          <w14:schemeClr w14:val="tx1"/>
                        </w14:solidFill>
                      </w14:textFill>
                    </w:rPr>
                  </w:pPr>
                </w:p>
              </w:tc>
              <w:tc>
                <w:tcPr>
                  <w:tcW w:w="900" w:type="pct"/>
                  <w:vMerge w:val="continue"/>
                  <w:tcBorders>
                    <w:top w:val="single" w:color="auto" w:sz="12" w:space="0"/>
                    <w:left w:val="single" w:color="auto" w:sz="12" w:space="0"/>
                    <w:bottom w:val="single" w:color="auto" w:sz="12" w:space="0"/>
                    <w:right w:val="single" w:color="auto" w:sz="12" w:space="0"/>
                  </w:tcBorders>
                  <w:vAlign w:val="center"/>
                </w:tcPr>
                <w:p w14:paraId="547BE437">
                  <w:pPr>
                    <w:widowControl/>
                    <w:jc w:val="center"/>
                    <w:rPr>
                      <w:color w:val="000000" w:themeColor="text1"/>
                      <w:kern w:val="0"/>
                      <w:sz w:val="18"/>
                      <w:szCs w:val="18"/>
                      <w14:textFill>
                        <w14:solidFill>
                          <w14:schemeClr w14:val="tx1"/>
                        </w14:solidFill>
                      </w14:textFill>
                    </w:rPr>
                  </w:pPr>
                </w:p>
              </w:tc>
              <w:tc>
                <w:tcPr>
                  <w:tcW w:w="1187" w:type="pct"/>
                  <w:gridSpan w:val="3"/>
                  <w:tcBorders>
                    <w:top w:val="single" w:color="auto" w:sz="12" w:space="0"/>
                    <w:left w:val="single" w:color="auto" w:sz="12" w:space="0"/>
                    <w:bottom w:val="single" w:color="auto" w:sz="12" w:space="0"/>
                    <w:right w:val="single" w:color="auto" w:sz="12" w:space="0"/>
                  </w:tcBorders>
                  <w:vAlign w:val="center"/>
                </w:tcPr>
                <w:p w14:paraId="2FEF0213">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L≤1000</w:t>
                  </w:r>
                </w:p>
              </w:tc>
              <w:tc>
                <w:tcPr>
                  <w:tcW w:w="1117" w:type="pct"/>
                  <w:gridSpan w:val="3"/>
                  <w:tcBorders>
                    <w:top w:val="single" w:color="auto" w:sz="12" w:space="0"/>
                    <w:left w:val="single" w:color="auto" w:sz="12" w:space="0"/>
                    <w:bottom w:val="single" w:color="auto" w:sz="12" w:space="0"/>
                    <w:right w:val="single" w:color="auto" w:sz="12" w:space="0"/>
                  </w:tcBorders>
                  <w:vAlign w:val="center"/>
                </w:tcPr>
                <w:p w14:paraId="7F2F628C">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1000&lt;L≤2000</w:t>
                  </w:r>
                </w:p>
              </w:tc>
              <w:tc>
                <w:tcPr>
                  <w:tcW w:w="1118" w:type="pct"/>
                  <w:gridSpan w:val="3"/>
                  <w:tcBorders>
                    <w:top w:val="single" w:color="auto" w:sz="12" w:space="0"/>
                    <w:left w:val="single" w:color="auto" w:sz="12" w:space="0"/>
                    <w:bottom w:val="single" w:color="auto" w:sz="12" w:space="0"/>
                    <w:right w:val="single" w:color="auto" w:sz="12" w:space="0"/>
                  </w:tcBorders>
                  <w:vAlign w:val="center"/>
                </w:tcPr>
                <w:p w14:paraId="57E49848">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L≥2000</w:t>
                  </w:r>
                </w:p>
              </w:tc>
            </w:tr>
            <w:tr w14:paraId="0D4D745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678" w:type="pct"/>
                  <w:vMerge w:val="continue"/>
                  <w:tcBorders>
                    <w:top w:val="single" w:color="auto" w:sz="12" w:space="0"/>
                    <w:left w:val="single" w:color="auto" w:sz="12" w:space="0"/>
                    <w:bottom w:val="single" w:color="auto" w:sz="12" w:space="0"/>
                    <w:right w:val="single" w:color="auto" w:sz="12" w:space="0"/>
                  </w:tcBorders>
                  <w:vAlign w:val="center"/>
                </w:tcPr>
                <w:p w14:paraId="2723EF7A">
                  <w:pPr>
                    <w:widowControl/>
                    <w:jc w:val="center"/>
                    <w:rPr>
                      <w:color w:val="000000" w:themeColor="text1"/>
                      <w:kern w:val="0"/>
                      <w:sz w:val="18"/>
                      <w:szCs w:val="18"/>
                      <w14:textFill>
                        <w14:solidFill>
                          <w14:schemeClr w14:val="tx1"/>
                        </w14:solidFill>
                      </w14:textFill>
                    </w:rPr>
                  </w:pPr>
                </w:p>
              </w:tc>
              <w:tc>
                <w:tcPr>
                  <w:tcW w:w="900" w:type="pct"/>
                  <w:vMerge w:val="continue"/>
                  <w:tcBorders>
                    <w:top w:val="single" w:color="auto" w:sz="12" w:space="0"/>
                    <w:left w:val="single" w:color="auto" w:sz="12" w:space="0"/>
                    <w:bottom w:val="single" w:color="auto" w:sz="12" w:space="0"/>
                    <w:right w:val="single" w:color="auto" w:sz="12" w:space="0"/>
                  </w:tcBorders>
                  <w:vAlign w:val="center"/>
                </w:tcPr>
                <w:p w14:paraId="28A6F191">
                  <w:pPr>
                    <w:widowControl/>
                    <w:jc w:val="center"/>
                    <w:rPr>
                      <w:color w:val="000000" w:themeColor="text1"/>
                      <w:kern w:val="0"/>
                      <w:sz w:val="18"/>
                      <w:szCs w:val="18"/>
                      <w14:textFill>
                        <w14:solidFill>
                          <w14:schemeClr w14:val="tx1"/>
                        </w14:solidFill>
                      </w14:textFill>
                    </w:rPr>
                  </w:pPr>
                </w:p>
              </w:tc>
              <w:tc>
                <w:tcPr>
                  <w:tcW w:w="3423" w:type="pct"/>
                  <w:gridSpan w:val="9"/>
                  <w:tcBorders>
                    <w:top w:val="single" w:color="auto" w:sz="12" w:space="0"/>
                    <w:left w:val="single" w:color="auto" w:sz="12" w:space="0"/>
                    <w:bottom w:val="single" w:color="auto" w:sz="12" w:space="0"/>
                    <w:right w:val="single" w:color="auto" w:sz="12" w:space="0"/>
                  </w:tcBorders>
                  <w:vAlign w:val="center"/>
                </w:tcPr>
                <w:p w14:paraId="278DFDC7">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工业大气污染源构成类别</w:t>
                  </w:r>
                </w:p>
              </w:tc>
            </w:tr>
            <w:tr w14:paraId="02BC80C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678" w:type="pct"/>
                  <w:vMerge w:val="continue"/>
                  <w:tcBorders>
                    <w:top w:val="single" w:color="auto" w:sz="12" w:space="0"/>
                    <w:left w:val="single" w:color="auto" w:sz="12" w:space="0"/>
                    <w:bottom w:val="single" w:color="auto" w:sz="12" w:space="0"/>
                    <w:right w:val="single" w:color="auto" w:sz="12" w:space="0"/>
                  </w:tcBorders>
                  <w:vAlign w:val="center"/>
                </w:tcPr>
                <w:p w14:paraId="6F7403AA">
                  <w:pPr>
                    <w:widowControl/>
                    <w:jc w:val="center"/>
                    <w:rPr>
                      <w:color w:val="000000" w:themeColor="text1"/>
                      <w:kern w:val="0"/>
                      <w:sz w:val="18"/>
                      <w:szCs w:val="18"/>
                      <w14:textFill>
                        <w14:solidFill>
                          <w14:schemeClr w14:val="tx1"/>
                        </w14:solidFill>
                      </w14:textFill>
                    </w:rPr>
                  </w:pPr>
                </w:p>
              </w:tc>
              <w:tc>
                <w:tcPr>
                  <w:tcW w:w="900" w:type="pct"/>
                  <w:vMerge w:val="continue"/>
                  <w:tcBorders>
                    <w:top w:val="single" w:color="auto" w:sz="12" w:space="0"/>
                    <w:left w:val="single" w:color="auto" w:sz="12" w:space="0"/>
                    <w:bottom w:val="single" w:color="auto" w:sz="12" w:space="0"/>
                    <w:right w:val="single" w:color="auto" w:sz="12" w:space="0"/>
                  </w:tcBorders>
                  <w:vAlign w:val="center"/>
                </w:tcPr>
                <w:p w14:paraId="50BD9275">
                  <w:pPr>
                    <w:widowControl/>
                    <w:jc w:val="center"/>
                    <w:rPr>
                      <w:color w:val="000000" w:themeColor="text1"/>
                      <w:kern w:val="0"/>
                      <w:sz w:val="18"/>
                      <w:szCs w:val="18"/>
                      <w14:textFill>
                        <w14:solidFill>
                          <w14:schemeClr w14:val="tx1"/>
                        </w14:solidFill>
                      </w14:textFill>
                    </w:rPr>
                  </w:pPr>
                </w:p>
              </w:tc>
              <w:tc>
                <w:tcPr>
                  <w:tcW w:w="373" w:type="pct"/>
                  <w:tcBorders>
                    <w:top w:val="single" w:color="auto" w:sz="12" w:space="0"/>
                    <w:left w:val="single" w:color="auto" w:sz="12" w:space="0"/>
                    <w:bottom w:val="single" w:color="auto" w:sz="12" w:space="0"/>
                    <w:right w:val="single" w:color="auto" w:sz="12" w:space="0"/>
                  </w:tcBorders>
                  <w:vAlign w:val="center"/>
                </w:tcPr>
                <w:p w14:paraId="13A87C88">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I</w:t>
                  </w:r>
                </w:p>
              </w:tc>
              <w:tc>
                <w:tcPr>
                  <w:tcW w:w="442" w:type="pct"/>
                  <w:tcBorders>
                    <w:top w:val="single" w:color="auto" w:sz="12" w:space="0"/>
                    <w:left w:val="single" w:color="auto" w:sz="12" w:space="0"/>
                    <w:bottom w:val="single" w:color="auto" w:sz="12" w:space="0"/>
                    <w:right w:val="single" w:color="auto" w:sz="12" w:space="0"/>
                  </w:tcBorders>
                  <w:vAlign w:val="center"/>
                </w:tcPr>
                <w:p w14:paraId="41BE21B5">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II</w:t>
                  </w:r>
                </w:p>
              </w:tc>
              <w:tc>
                <w:tcPr>
                  <w:tcW w:w="373" w:type="pct"/>
                  <w:tcBorders>
                    <w:top w:val="single" w:color="auto" w:sz="12" w:space="0"/>
                    <w:left w:val="single" w:color="auto" w:sz="12" w:space="0"/>
                    <w:bottom w:val="single" w:color="auto" w:sz="12" w:space="0"/>
                    <w:right w:val="single" w:color="auto" w:sz="12" w:space="0"/>
                  </w:tcBorders>
                  <w:vAlign w:val="center"/>
                </w:tcPr>
                <w:p w14:paraId="361FEE5A">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III</w:t>
                  </w:r>
                </w:p>
              </w:tc>
              <w:tc>
                <w:tcPr>
                  <w:tcW w:w="372" w:type="pct"/>
                  <w:tcBorders>
                    <w:top w:val="single" w:color="auto" w:sz="12" w:space="0"/>
                    <w:left w:val="single" w:color="auto" w:sz="12" w:space="0"/>
                    <w:bottom w:val="single" w:color="auto" w:sz="12" w:space="0"/>
                    <w:right w:val="single" w:color="auto" w:sz="12" w:space="0"/>
                  </w:tcBorders>
                  <w:vAlign w:val="center"/>
                </w:tcPr>
                <w:p w14:paraId="0207C51F">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I</w:t>
                  </w:r>
                </w:p>
              </w:tc>
              <w:tc>
                <w:tcPr>
                  <w:tcW w:w="373" w:type="pct"/>
                  <w:tcBorders>
                    <w:top w:val="single" w:color="auto" w:sz="12" w:space="0"/>
                    <w:left w:val="single" w:color="auto" w:sz="12" w:space="0"/>
                    <w:bottom w:val="single" w:color="auto" w:sz="12" w:space="0"/>
                    <w:right w:val="single" w:color="auto" w:sz="12" w:space="0"/>
                  </w:tcBorders>
                  <w:vAlign w:val="center"/>
                </w:tcPr>
                <w:p w14:paraId="7F21E23E">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II</w:t>
                  </w:r>
                </w:p>
              </w:tc>
              <w:tc>
                <w:tcPr>
                  <w:tcW w:w="373" w:type="pct"/>
                  <w:tcBorders>
                    <w:top w:val="single" w:color="auto" w:sz="12" w:space="0"/>
                    <w:left w:val="single" w:color="auto" w:sz="12" w:space="0"/>
                    <w:bottom w:val="single" w:color="auto" w:sz="12" w:space="0"/>
                    <w:right w:val="single" w:color="auto" w:sz="12" w:space="0"/>
                  </w:tcBorders>
                  <w:vAlign w:val="center"/>
                </w:tcPr>
                <w:p w14:paraId="51F15644">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III</w:t>
                  </w:r>
                </w:p>
              </w:tc>
              <w:tc>
                <w:tcPr>
                  <w:tcW w:w="373" w:type="pct"/>
                  <w:tcBorders>
                    <w:top w:val="single" w:color="auto" w:sz="12" w:space="0"/>
                    <w:left w:val="single" w:color="auto" w:sz="12" w:space="0"/>
                    <w:bottom w:val="single" w:color="auto" w:sz="12" w:space="0"/>
                    <w:right w:val="single" w:color="auto" w:sz="12" w:space="0"/>
                  </w:tcBorders>
                  <w:vAlign w:val="center"/>
                </w:tcPr>
                <w:p w14:paraId="32875548">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I</w:t>
                  </w:r>
                </w:p>
              </w:tc>
              <w:tc>
                <w:tcPr>
                  <w:tcW w:w="373" w:type="pct"/>
                  <w:tcBorders>
                    <w:top w:val="single" w:color="auto" w:sz="12" w:space="0"/>
                    <w:left w:val="single" w:color="auto" w:sz="12" w:space="0"/>
                    <w:bottom w:val="single" w:color="auto" w:sz="12" w:space="0"/>
                    <w:right w:val="single" w:color="auto" w:sz="12" w:space="0"/>
                  </w:tcBorders>
                  <w:vAlign w:val="center"/>
                </w:tcPr>
                <w:p w14:paraId="0CDF7830">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II</w:t>
                  </w:r>
                </w:p>
              </w:tc>
              <w:tc>
                <w:tcPr>
                  <w:tcW w:w="373" w:type="pct"/>
                  <w:tcBorders>
                    <w:top w:val="single" w:color="auto" w:sz="12" w:space="0"/>
                    <w:left w:val="single" w:color="auto" w:sz="12" w:space="0"/>
                    <w:bottom w:val="single" w:color="auto" w:sz="12" w:space="0"/>
                    <w:right w:val="single" w:color="auto" w:sz="12" w:space="0"/>
                  </w:tcBorders>
                  <w:vAlign w:val="center"/>
                </w:tcPr>
                <w:p w14:paraId="7412726C">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III</w:t>
                  </w:r>
                </w:p>
              </w:tc>
            </w:tr>
            <w:tr w14:paraId="6B372A2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678" w:type="pct"/>
                  <w:vMerge w:val="restart"/>
                  <w:tcBorders>
                    <w:top w:val="nil"/>
                    <w:left w:val="single" w:color="auto" w:sz="12" w:space="0"/>
                    <w:bottom w:val="single" w:color="auto" w:sz="12" w:space="0"/>
                    <w:right w:val="single" w:color="auto" w:sz="12" w:space="0"/>
                  </w:tcBorders>
                  <w:vAlign w:val="center"/>
                </w:tcPr>
                <w:p w14:paraId="14A57A0F">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A</w:t>
                  </w:r>
                </w:p>
              </w:tc>
              <w:tc>
                <w:tcPr>
                  <w:tcW w:w="900" w:type="pct"/>
                  <w:tcBorders>
                    <w:top w:val="single" w:color="auto" w:sz="12" w:space="0"/>
                    <w:left w:val="single" w:color="auto" w:sz="12" w:space="0"/>
                    <w:bottom w:val="single" w:color="auto" w:sz="12" w:space="0"/>
                    <w:right w:val="single" w:color="auto" w:sz="12" w:space="0"/>
                  </w:tcBorders>
                  <w:vAlign w:val="center"/>
                </w:tcPr>
                <w:p w14:paraId="2B485F87">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&lt;2</w:t>
                  </w:r>
                </w:p>
              </w:tc>
              <w:tc>
                <w:tcPr>
                  <w:tcW w:w="373" w:type="pct"/>
                  <w:tcBorders>
                    <w:top w:val="single" w:color="auto" w:sz="12" w:space="0"/>
                    <w:left w:val="single" w:color="auto" w:sz="12" w:space="0"/>
                    <w:bottom w:val="single" w:color="auto" w:sz="12" w:space="0"/>
                    <w:right w:val="single" w:color="auto" w:sz="12" w:space="0"/>
                  </w:tcBorders>
                  <w:vAlign w:val="center"/>
                </w:tcPr>
                <w:p w14:paraId="128592DD">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400</w:t>
                  </w:r>
                </w:p>
              </w:tc>
              <w:tc>
                <w:tcPr>
                  <w:tcW w:w="442" w:type="pct"/>
                  <w:tcBorders>
                    <w:top w:val="single" w:color="auto" w:sz="12" w:space="0"/>
                    <w:left w:val="single" w:color="auto" w:sz="12" w:space="0"/>
                    <w:bottom w:val="single" w:color="auto" w:sz="12" w:space="0"/>
                    <w:right w:val="single" w:color="auto" w:sz="12" w:space="0"/>
                  </w:tcBorders>
                  <w:vAlign w:val="center"/>
                </w:tcPr>
                <w:p w14:paraId="295FF371">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400</w:t>
                  </w:r>
                </w:p>
              </w:tc>
              <w:tc>
                <w:tcPr>
                  <w:tcW w:w="373" w:type="pct"/>
                  <w:tcBorders>
                    <w:top w:val="single" w:color="auto" w:sz="12" w:space="0"/>
                    <w:left w:val="single" w:color="auto" w:sz="12" w:space="0"/>
                    <w:bottom w:val="single" w:color="auto" w:sz="12" w:space="0"/>
                    <w:right w:val="single" w:color="auto" w:sz="12" w:space="0"/>
                  </w:tcBorders>
                  <w:vAlign w:val="center"/>
                </w:tcPr>
                <w:p w14:paraId="610AF0A5">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400</w:t>
                  </w:r>
                </w:p>
              </w:tc>
              <w:tc>
                <w:tcPr>
                  <w:tcW w:w="372" w:type="pct"/>
                  <w:tcBorders>
                    <w:top w:val="single" w:color="auto" w:sz="12" w:space="0"/>
                    <w:left w:val="single" w:color="auto" w:sz="12" w:space="0"/>
                    <w:bottom w:val="single" w:color="auto" w:sz="12" w:space="0"/>
                    <w:right w:val="single" w:color="auto" w:sz="12" w:space="0"/>
                  </w:tcBorders>
                  <w:vAlign w:val="center"/>
                </w:tcPr>
                <w:p w14:paraId="7BBEC56D">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400</w:t>
                  </w:r>
                </w:p>
              </w:tc>
              <w:tc>
                <w:tcPr>
                  <w:tcW w:w="373" w:type="pct"/>
                  <w:tcBorders>
                    <w:top w:val="single" w:color="auto" w:sz="12" w:space="0"/>
                    <w:left w:val="single" w:color="auto" w:sz="12" w:space="0"/>
                    <w:bottom w:val="single" w:color="auto" w:sz="12" w:space="0"/>
                    <w:right w:val="single" w:color="auto" w:sz="12" w:space="0"/>
                  </w:tcBorders>
                  <w:vAlign w:val="center"/>
                </w:tcPr>
                <w:p w14:paraId="60A8DE7B">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400</w:t>
                  </w:r>
                </w:p>
              </w:tc>
              <w:tc>
                <w:tcPr>
                  <w:tcW w:w="373" w:type="pct"/>
                  <w:tcBorders>
                    <w:top w:val="single" w:color="auto" w:sz="12" w:space="0"/>
                    <w:left w:val="single" w:color="auto" w:sz="12" w:space="0"/>
                    <w:bottom w:val="single" w:color="auto" w:sz="12" w:space="0"/>
                    <w:right w:val="single" w:color="auto" w:sz="12" w:space="0"/>
                  </w:tcBorders>
                  <w:vAlign w:val="center"/>
                </w:tcPr>
                <w:p w14:paraId="496C0680">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400</w:t>
                  </w:r>
                </w:p>
              </w:tc>
              <w:tc>
                <w:tcPr>
                  <w:tcW w:w="373" w:type="pct"/>
                  <w:tcBorders>
                    <w:top w:val="single" w:color="auto" w:sz="12" w:space="0"/>
                    <w:left w:val="single" w:color="auto" w:sz="12" w:space="0"/>
                    <w:bottom w:val="single" w:color="auto" w:sz="12" w:space="0"/>
                    <w:right w:val="single" w:color="auto" w:sz="12" w:space="0"/>
                  </w:tcBorders>
                  <w:vAlign w:val="center"/>
                </w:tcPr>
                <w:p w14:paraId="504232F7">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80</w:t>
                  </w:r>
                </w:p>
              </w:tc>
              <w:tc>
                <w:tcPr>
                  <w:tcW w:w="373" w:type="pct"/>
                  <w:tcBorders>
                    <w:top w:val="single" w:color="auto" w:sz="12" w:space="0"/>
                    <w:left w:val="single" w:color="auto" w:sz="12" w:space="0"/>
                    <w:bottom w:val="single" w:color="auto" w:sz="12" w:space="0"/>
                    <w:right w:val="single" w:color="auto" w:sz="12" w:space="0"/>
                  </w:tcBorders>
                  <w:vAlign w:val="center"/>
                </w:tcPr>
                <w:p w14:paraId="16AA1F1A">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80</w:t>
                  </w:r>
                </w:p>
              </w:tc>
              <w:tc>
                <w:tcPr>
                  <w:tcW w:w="373" w:type="pct"/>
                  <w:tcBorders>
                    <w:top w:val="single" w:color="auto" w:sz="12" w:space="0"/>
                    <w:left w:val="single" w:color="auto" w:sz="12" w:space="0"/>
                    <w:bottom w:val="single" w:color="auto" w:sz="12" w:space="0"/>
                    <w:right w:val="single" w:color="auto" w:sz="12" w:space="0"/>
                  </w:tcBorders>
                  <w:vAlign w:val="center"/>
                </w:tcPr>
                <w:p w14:paraId="1777D51B">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80</w:t>
                  </w:r>
                </w:p>
              </w:tc>
            </w:tr>
            <w:tr w14:paraId="05BF9BB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678" w:type="pct"/>
                  <w:vMerge w:val="continue"/>
                  <w:tcBorders>
                    <w:top w:val="nil"/>
                    <w:left w:val="single" w:color="auto" w:sz="12" w:space="0"/>
                    <w:bottom w:val="single" w:color="auto" w:sz="12" w:space="0"/>
                    <w:right w:val="single" w:color="auto" w:sz="12" w:space="0"/>
                  </w:tcBorders>
                  <w:vAlign w:val="center"/>
                </w:tcPr>
                <w:p w14:paraId="3E59D11F">
                  <w:pPr>
                    <w:widowControl/>
                    <w:jc w:val="center"/>
                    <w:rPr>
                      <w:color w:val="000000" w:themeColor="text1"/>
                      <w:kern w:val="0"/>
                      <w:sz w:val="18"/>
                      <w:szCs w:val="18"/>
                      <w14:textFill>
                        <w14:solidFill>
                          <w14:schemeClr w14:val="tx1"/>
                        </w14:solidFill>
                      </w14:textFill>
                    </w:rPr>
                  </w:pPr>
                </w:p>
              </w:tc>
              <w:tc>
                <w:tcPr>
                  <w:tcW w:w="900" w:type="pct"/>
                  <w:tcBorders>
                    <w:top w:val="single" w:color="auto" w:sz="12" w:space="0"/>
                    <w:left w:val="single" w:color="auto" w:sz="12" w:space="0"/>
                    <w:bottom w:val="single" w:color="auto" w:sz="12" w:space="0"/>
                    <w:right w:val="single" w:color="auto" w:sz="12" w:space="0"/>
                  </w:tcBorders>
                  <w:vAlign w:val="center"/>
                </w:tcPr>
                <w:p w14:paraId="16B864E9">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2-4</w:t>
                  </w:r>
                </w:p>
              </w:tc>
              <w:tc>
                <w:tcPr>
                  <w:tcW w:w="373" w:type="pct"/>
                  <w:tcBorders>
                    <w:top w:val="single" w:color="auto" w:sz="12" w:space="0"/>
                    <w:left w:val="single" w:color="auto" w:sz="12" w:space="0"/>
                    <w:bottom w:val="single" w:color="auto" w:sz="12" w:space="0"/>
                    <w:right w:val="single" w:color="auto" w:sz="12" w:space="0"/>
                  </w:tcBorders>
                  <w:vAlign w:val="center"/>
                </w:tcPr>
                <w:p w14:paraId="3B03FF88">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700</w:t>
                  </w:r>
                </w:p>
              </w:tc>
              <w:tc>
                <w:tcPr>
                  <w:tcW w:w="442" w:type="pct"/>
                  <w:tcBorders>
                    <w:top w:val="single" w:color="auto" w:sz="12" w:space="0"/>
                    <w:left w:val="single" w:color="auto" w:sz="12" w:space="0"/>
                    <w:bottom w:val="single" w:color="auto" w:sz="12" w:space="0"/>
                    <w:right w:val="single" w:color="auto" w:sz="12" w:space="0"/>
                  </w:tcBorders>
                  <w:vAlign w:val="center"/>
                </w:tcPr>
                <w:p w14:paraId="236EE9C9">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470</w:t>
                  </w:r>
                </w:p>
              </w:tc>
              <w:tc>
                <w:tcPr>
                  <w:tcW w:w="373" w:type="pct"/>
                  <w:tcBorders>
                    <w:top w:val="single" w:color="auto" w:sz="12" w:space="0"/>
                    <w:left w:val="single" w:color="auto" w:sz="12" w:space="0"/>
                    <w:bottom w:val="single" w:color="auto" w:sz="12" w:space="0"/>
                    <w:right w:val="single" w:color="auto" w:sz="12" w:space="0"/>
                  </w:tcBorders>
                  <w:vAlign w:val="center"/>
                </w:tcPr>
                <w:p w14:paraId="710B94A4">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350*</w:t>
                  </w:r>
                </w:p>
              </w:tc>
              <w:tc>
                <w:tcPr>
                  <w:tcW w:w="372" w:type="pct"/>
                  <w:tcBorders>
                    <w:top w:val="single" w:color="auto" w:sz="12" w:space="0"/>
                    <w:left w:val="single" w:color="auto" w:sz="12" w:space="0"/>
                    <w:bottom w:val="single" w:color="auto" w:sz="12" w:space="0"/>
                    <w:right w:val="single" w:color="auto" w:sz="12" w:space="0"/>
                  </w:tcBorders>
                  <w:vAlign w:val="center"/>
                </w:tcPr>
                <w:p w14:paraId="64524280">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700</w:t>
                  </w:r>
                </w:p>
              </w:tc>
              <w:tc>
                <w:tcPr>
                  <w:tcW w:w="373" w:type="pct"/>
                  <w:tcBorders>
                    <w:top w:val="single" w:color="auto" w:sz="12" w:space="0"/>
                    <w:left w:val="single" w:color="auto" w:sz="12" w:space="0"/>
                    <w:bottom w:val="single" w:color="auto" w:sz="12" w:space="0"/>
                    <w:right w:val="single" w:color="auto" w:sz="12" w:space="0"/>
                  </w:tcBorders>
                  <w:vAlign w:val="center"/>
                </w:tcPr>
                <w:p w14:paraId="42CE0A22">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470</w:t>
                  </w:r>
                </w:p>
              </w:tc>
              <w:tc>
                <w:tcPr>
                  <w:tcW w:w="373" w:type="pct"/>
                  <w:tcBorders>
                    <w:top w:val="single" w:color="auto" w:sz="12" w:space="0"/>
                    <w:left w:val="single" w:color="auto" w:sz="12" w:space="0"/>
                    <w:bottom w:val="single" w:color="auto" w:sz="12" w:space="0"/>
                    <w:right w:val="single" w:color="auto" w:sz="12" w:space="0"/>
                  </w:tcBorders>
                  <w:vAlign w:val="center"/>
                </w:tcPr>
                <w:p w14:paraId="756787D3">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350</w:t>
                  </w:r>
                </w:p>
              </w:tc>
              <w:tc>
                <w:tcPr>
                  <w:tcW w:w="373" w:type="pct"/>
                  <w:tcBorders>
                    <w:top w:val="single" w:color="auto" w:sz="12" w:space="0"/>
                    <w:left w:val="single" w:color="auto" w:sz="12" w:space="0"/>
                    <w:bottom w:val="single" w:color="auto" w:sz="12" w:space="0"/>
                    <w:right w:val="single" w:color="auto" w:sz="12" w:space="0"/>
                  </w:tcBorders>
                  <w:vAlign w:val="center"/>
                </w:tcPr>
                <w:p w14:paraId="1FD2A2D0">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380</w:t>
                  </w:r>
                </w:p>
              </w:tc>
              <w:tc>
                <w:tcPr>
                  <w:tcW w:w="373" w:type="pct"/>
                  <w:tcBorders>
                    <w:top w:val="single" w:color="auto" w:sz="12" w:space="0"/>
                    <w:left w:val="single" w:color="auto" w:sz="12" w:space="0"/>
                    <w:bottom w:val="single" w:color="auto" w:sz="12" w:space="0"/>
                    <w:right w:val="single" w:color="auto" w:sz="12" w:space="0"/>
                  </w:tcBorders>
                  <w:vAlign w:val="center"/>
                </w:tcPr>
                <w:p w14:paraId="6EBCD476">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250</w:t>
                  </w:r>
                </w:p>
              </w:tc>
              <w:tc>
                <w:tcPr>
                  <w:tcW w:w="373" w:type="pct"/>
                  <w:tcBorders>
                    <w:top w:val="single" w:color="auto" w:sz="12" w:space="0"/>
                    <w:left w:val="single" w:color="auto" w:sz="12" w:space="0"/>
                    <w:bottom w:val="single" w:color="auto" w:sz="12" w:space="0"/>
                    <w:right w:val="single" w:color="auto" w:sz="12" w:space="0"/>
                  </w:tcBorders>
                  <w:vAlign w:val="center"/>
                </w:tcPr>
                <w:p w14:paraId="5D2F96F8">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190</w:t>
                  </w:r>
                </w:p>
              </w:tc>
            </w:tr>
            <w:tr w14:paraId="2862D43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678" w:type="pct"/>
                  <w:vMerge w:val="continue"/>
                  <w:tcBorders>
                    <w:top w:val="nil"/>
                    <w:left w:val="single" w:color="auto" w:sz="12" w:space="0"/>
                    <w:bottom w:val="single" w:color="auto" w:sz="12" w:space="0"/>
                    <w:right w:val="single" w:color="auto" w:sz="12" w:space="0"/>
                  </w:tcBorders>
                  <w:vAlign w:val="center"/>
                </w:tcPr>
                <w:p w14:paraId="22C55303">
                  <w:pPr>
                    <w:widowControl/>
                    <w:jc w:val="center"/>
                    <w:rPr>
                      <w:color w:val="000000" w:themeColor="text1"/>
                      <w:kern w:val="0"/>
                      <w:sz w:val="18"/>
                      <w:szCs w:val="18"/>
                      <w14:textFill>
                        <w14:solidFill>
                          <w14:schemeClr w14:val="tx1"/>
                        </w14:solidFill>
                      </w14:textFill>
                    </w:rPr>
                  </w:pPr>
                </w:p>
              </w:tc>
              <w:tc>
                <w:tcPr>
                  <w:tcW w:w="900" w:type="pct"/>
                  <w:tcBorders>
                    <w:top w:val="single" w:color="auto" w:sz="12" w:space="0"/>
                    <w:left w:val="single" w:color="auto" w:sz="12" w:space="0"/>
                    <w:bottom w:val="single" w:color="auto" w:sz="12" w:space="0"/>
                    <w:right w:val="single" w:color="auto" w:sz="12" w:space="0"/>
                  </w:tcBorders>
                  <w:vAlign w:val="center"/>
                </w:tcPr>
                <w:p w14:paraId="070E4EEB">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&gt;4</w:t>
                  </w:r>
                </w:p>
              </w:tc>
              <w:tc>
                <w:tcPr>
                  <w:tcW w:w="373" w:type="pct"/>
                  <w:tcBorders>
                    <w:top w:val="single" w:color="auto" w:sz="12" w:space="0"/>
                    <w:left w:val="single" w:color="auto" w:sz="12" w:space="0"/>
                    <w:bottom w:val="single" w:color="auto" w:sz="12" w:space="0"/>
                    <w:right w:val="single" w:color="auto" w:sz="12" w:space="0"/>
                  </w:tcBorders>
                  <w:vAlign w:val="center"/>
                </w:tcPr>
                <w:p w14:paraId="4AF64305">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530</w:t>
                  </w:r>
                </w:p>
              </w:tc>
              <w:tc>
                <w:tcPr>
                  <w:tcW w:w="442" w:type="pct"/>
                  <w:tcBorders>
                    <w:top w:val="single" w:color="auto" w:sz="12" w:space="0"/>
                    <w:left w:val="single" w:color="auto" w:sz="12" w:space="0"/>
                    <w:bottom w:val="single" w:color="auto" w:sz="12" w:space="0"/>
                    <w:right w:val="single" w:color="auto" w:sz="12" w:space="0"/>
                  </w:tcBorders>
                  <w:vAlign w:val="center"/>
                </w:tcPr>
                <w:p w14:paraId="6475F2C0">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350</w:t>
                  </w:r>
                </w:p>
              </w:tc>
              <w:tc>
                <w:tcPr>
                  <w:tcW w:w="373" w:type="pct"/>
                  <w:tcBorders>
                    <w:top w:val="single" w:color="auto" w:sz="12" w:space="0"/>
                    <w:left w:val="single" w:color="auto" w:sz="12" w:space="0"/>
                    <w:bottom w:val="single" w:color="auto" w:sz="12" w:space="0"/>
                    <w:right w:val="single" w:color="auto" w:sz="12" w:space="0"/>
                  </w:tcBorders>
                  <w:vAlign w:val="center"/>
                </w:tcPr>
                <w:p w14:paraId="1BEEAB16">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260</w:t>
                  </w:r>
                </w:p>
              </w:tc>
              <w:tc>
                <w:tcPr>
                  <w:tcW w:w="372" w:type="pct"/>
                  <w:tcBorders>
                    <w:top w:val="single" w:color="auto" w:sz="12" w:space="0"/>
                    <w:left w:val="single" w:color="auto" w:sz="12" w:space="0"/>
                    <w:bottom w:val="single" w:color="auto" w:sz="12" w:space="0"/>
                    <w:right w:val="single" w:color="auto" w:sz="12" w:space="0"/>
                  </w:tcBorders>
                  <w:vAlign w:val="center"/>
                </w:tcPr>
                <w:p w14:paraId="2E261DB8">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530</w:t>
                  </w:r>
                </w:p>
              </w:tc>
              <w:tc>
                <w:tcPr>
                  <w:tcW w:w="373" w:type="pct"/>
                  <w:tcBorders>
                    <w:top w:val="single" w:color="auto" w:sz="12" w:space="0"/>
                    <w:left w:val="single" w:color="auto" w:sz="12" w:space="0"/>
                    <w:bottom w:val="single" w:color="auto" w:sz="12" w:space="0"/>
                    <w:right w:val="single" w:color="auto" w:sz="12" w:space="0"/>
                  </w:tcBorders>
                  <w:vAlign w:val="center"/>
                </w:tcPr>
                <w:p w14:paraId="074EF490">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350</w:t>
                  </w:r>
                </w:p>
              </w:tc>
              <w:tc>
                <w:tcPr>
                  <w:tcW w:w="373" w:type="pct"/>
                  <w:tcBorders>
                    <w:top w:val="single" w:color="auto" w:sz="12" w:space="0"/>
                    <w:left w:val="single" w:color="auto" w:sz="12" w:space="0"/>
                    <w:bottom w:val="single" w:color="auto" w:sz="12" w:space="0"/>
                    <w:right w:val="single" w:color="auto" w:sz="12" w:space="0"/>
                  </w:tcBorders>
                  <w:vAlign w:val="center"/>
                </w:tcPr>
                <w:p w14:paraId="7B08EE2F">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260</w:t>
                  </w:r>
                </w:p>
              </w:tc>
              <w:tc>
                <w:tcPr>
                  <w:tcW w:w="373" w:type="pct"/>
                  <w:tcBorders>
                    <w:top w:val="single" w:color="auto" w:sz="12" w:space="0"/>
                    <w:left w:val="single" w:color="auto" w:sz="12" w:space="0"/>
                    <w:bottom w:val="single" w:color="auto" w:sz="12" w:space="0"/>
                    <w:right w:val="single" w:color="auto" w:sz="12" w:space="0"/>
                  </w:tcBorders>
                  <w:vAlign w:val="center"/>
                </w:tcPr>
                <w:p w14:paraId="20A671EB">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290</w:t>
                  </w:r>
                </w:p>
              </w:tc>
              <w:tc>
                <w:tcPr>
                  <w:tcW w:w="373" w:type="pct"/>
                  <w:tcBorders>
                    <w:top w:val="single" w:color="auto" w:sz="12" w:space="0"/>
                    <w:left w:val="single" w:color="auto" w:sz="12" w:space="0"/>
                    <w:bottom w:val="single" w:color="auto" w:sz="12" w:space="0"/>
                    <w:right w:val="single" w:color="auto" w:sz="12" w:space="0"/>
                  </w:tcBorders>
                  <w:vAlign w:val="center"/>
                </w:tcPr>
                <w:p w14:paraId="2C6D0D21">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190</w:t>
                  </w:r>
                </w:p>
              </w:tc>
              <w:tc>
                <w:tcPr>
                  <w:tcW w:w="373" w:type="pct"/>
                  <w:tcBorders>
                    <w:top w:val="single" w:color="auto" w:sz="12" w:space="0"/>
                    <w:left w:val="single" w:color="auto" w:sz="12" w:space="0"/>
                    <w:bottom w:val="single" w:color="auto" w:sz="12" w:space="0"/>
                    <w:right w:val="single" w:color="auto" w:sz="12" w:space="0"/>
                  </w:tcBorders>
                  <w:vAlign w:val="center"/>
                </w:tcPr>
                <w:p w14:paraId="6E9D6CC6">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140</w:t>
                  </w:r>
                </w:p>
              </w:tc>
            </w:tr>
            <w:tr w14:paraId="1097ED6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678" w:type="pct"/>
                  <w:vMerge w:val="restart"/>
                  <w:tcBorders>
                    <w:top w:val="nil"/>
                    <w:left w:val="single" w:color="auto" w:sz="12" w:space="0"/>
                    <w:bottom w:val="single" w:color="auto" w:sz="12" w:space="0"/>
                    <w:right w:val="single" w:color="auto" w:sz="12" w:space="0"/>
                  </w:tcBorders>
                  <w:vAlign w:val="center"/>
                </w:tcPr>
                <w:p w14:paraId="7273947F">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B</w:t>
                  </w:r>
                </w:p>
              </w:tc>
              <w:tc>
                <w:tcPr>
                  <w:tcW w:w="900" w:type="pct"/>
                  <w:tcBorders>
                    <w:top w:val="single" w:color="auto" w:sz="12" w:space="0"/>
                    <w:left w:val="single" w:color="auto" w:sz="12" w:space="0"/>
                    <w:bottom w:val="single" w:color="auto" w:sz="12" w:space="0"/>
                    <w:right w:val="single" w:color="auto" w:sz="12" w:space="0"/>
                  </w:tcBorders>
                  <w:vAlign w:val="center"/>
                </w:tcPr>
                <w:p w14:paraId="5714C286">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&lt;2</w:t>
                  </w:r>
                </w:p>
              </w:tc>
              <w:tc>
                <w:tcPr>
                  <w:tcW w:w="1187" w:type="pct"/>
                  <w:gridSpan w:val="3"/>
                  <w:tcBorders>
                    <w:top w:val="single" w:color="auto" w:sz="12" w:space="0"/>
                    <w:left w:val="single" w:color="auto" w:sz="12" w:space="0"/>
                    <w:bottom w:val="single" w:color="auto" w:sz="12" w:space="0"/>
                    <w:right w:val="single" w:color="auto" w:sz="12" w:space="0"/>
                  </w:tcBorders>
                  <w:vAlign w:val="center"/>
                </w:tcPr>
                <w:p w14:paraId="52776838">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0.01</w:t>
                  </w:r>
                </w:p>
              </w:tc>
              <w:tc>
                <w:tcPr>
                  <w:tcW w:w="1117" w:type="pct"/>
                  <w:gridSpan w:val="3"/>
                  <w:tcBorders>
                    <w:top w:val="single" w:color="auto" w:sz="12" w:space="0"/>
                    <w:left w:val="single" w:color="auto" w:sz="12" w:space="0"/>
                    <w:bottom w:val="single" w:color="auto" w:sz="12" w:space="0"/>
                    <w:right w:val="single" w:color="auto" w:sz="12" w:space="0"/>
                  </w:tcBorders>
                  <w:vAlign w:val="center"/>
                </w:tcPr>
                <w:p w14:paraId="49E60881">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0.015</w:t>
                  </w:r>
                </w:p>
              </w:tc>
              <w:tc>
                <w:tcPr>
                  <w:tcW w:w="1118" w:type="pct"/>
                  <w:gridSpan w:val="3"/>
                  <w:tcBorders>
                    <w:top w:val="single" w:color="auto" w:sz="12" w:space="0"/>
                    <w:left w:val="single" w:color="auto" w:sz="12" w:space="0"/>
                    <w:bottom w:val="single" w:color="auto" w:sz="12" w:space="0"/>
                    <w:right w:val="single" w:color="auto" w:sz="12" w:space="0"/>
                  </w:tcBorders>
                  <w:vAlign w:val="center"/>
                </w:tcPr>
                <w:p w14:paraId="18E126BD">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0.015</w:t>
                  </w:r>
                </w:p>
              </w:tc>
            </w:tr>
            <w:tr w14:paraId="478323B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678" w:type="pct"/>
                  <w:vMerge w:val="continue"/>
                  <w:tcBorders>
                    <w:top w:val="nil"/>
                    <w:left w:val="single" w:color="auto" w:sz="12" w:space="0"/>
                    <w:bottom w:val="single" w:color="auto" w:sz="12" w:space="0"/>
                    <w:right w:val="single" w:color="auto" w:sz="12" w:space="0"/>
                  </w:tcBorders>
                  <w:vAlign w:val="center"/>
                </w:tcPr>
                <w:p w14:paraId="2F7AC8CE">
                  <w:pPr>
                    <w:widowControl/>
                    <w:jc w:val="center"/>
                    <w:rPr>
                      <w:color w:val="000000" w:themeColor="text1"/>
                      <w:kern w:val="0"/>
                      <w:sz w:val="18"/>
                      <w:szCs w:val="18"/>
                      <w14:textFill>
                        <w14:solidFill>
                          <w14:schemeClr w14:val="tx1"/>
                        </w14:solidFill>
                      </w14:textFill>
                    </w:rPr>
                  </w:pPr>
                </w:p>
              </w:tc>
              <w:tc>
                <w:tcPr>
                  <w:tcW w:w="900" w:type="pct"/>
                  <w:tcBorders>
                    <w:top w:val="single" w:color="auto" w:sz="12" w:space="0"/>
                    <w:left w:val="single" w:color="auto" w:sz="12" w:space="0"/>
                    <w:bottom w:val="single" w:color="auto" w:sz="12" w:space="0"/>
                    <w:right w:val="single" w:color="auto" w:sz="12" w:space="0"/>
                  </w:tcBorders>
                  <w:vAlign w:val="center"/>
                </w:tcPr>
                <w:p w14:paraId="14765883">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&gt;2</w:t>
                  </w:r>
                </w:p>
              </w:tc>
              <w:tc>
                <w:tcPr>
                  <w:tcW w:w="1187" w:type="pct"/>
                  <w:gridSpan w:val="3"/>
                  <w:tcBorders>
                    <w:top w:val="single" w:color="auto" w:sz="12" w:space="0"/>
                    <w:left w:val="single" w:color="auto" w:sz="12" w:space="0"/>
                    <w:bottom w:val="single" w:color="auto" w:sz="12" w:space="0"/>
                    <w:right w:val="single" w:color="auto" w:sz="12" w:space="0"/>
                  </w:tcBorders>
                  <w:vAlign w:val="center"/>
                </w:tcPr>
                <w:p w14:paraId="1B2E4C9E">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0.021*</w:t>
                  </w:r>
                </w:p>
              </w:tc>
              <w:tc>
                <w:tcPr>
                  <w:tcW w:w="1117" w:type="pct"/>
                  <w:gridSpan w:val="3"/>
                  <w:tcBorders>
                    <w:top w:val="single" w:color="auto" w:sz="12" w:space="0"/>
                    <w:left w:val="single" w:color="auto" w:sz="12" w:space="0"/>
                    <w:bottom w:val="single" w:color="auto" w:sz="12" w:space="0"/>
                    <w:right w:val="single" w:color="auto" w:sz="12" w:space="0"/>
                  </w:tcBorders>
                  <w:vAlign w:val="center"/>
                </w:tcPr>
                <w:p w14:paraId="5A3E179F">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0.036</w:t>
                  </w:r>
                </w:p>
              </w:tc>
              <w:tc>
                <w:tcPr>
                  <w:tcW w:w="1118" w:type="pct"/>
                  <w:gridSpan w:val="3"/>
                  <w:tcBorders>
                    <w:top w:val="single" w:color="auto" w:sz="12" w:space="0"/>
                    <w:left w:val="single" w:color="auto" w:sz="12" w:space="0"/>
                    <w:bottom w:val="single" w:color="auto" w:sz="12" w:space="0"/>
                    <w:right w:val="single" w:color="auto" w:sz="12" w:space="0"/>
                  </w:tcBorders>
                  <w:vAlign w:val="center"/>
                </w:tcPr>
                <w:p w14:paraId="1B1D20E1">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0.036</w:t>
                  </w:r>
                </w:p>
              </w:tc>
            </w:tr>
            <w:tr w14:paraId="7FD0431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678" w:type="pct"/>
                  <w:vMerge w:val="restart"/>
                  <w:tcBorders>
                    <w:top w:val="nil"/>
                    <w:left w:val="single" w:color="auto" w:sz="12" w:space="0"/>
                    <w:bottom w:val="single" w:color="auto" w:sz="12" w:space="0"/>
                    <w:right w:val="single" w:color="auto" w:sz="12" w:space="0"/>
                  </w:tcBorders>
                  <w:vAlign w:val="center"/>
                </w:tcPr>
                <w:p w14:paraId="0CFE045E">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C</w:t>
                  </w:r>
                </w:p>
              </w:tc>
              <w:tc>
                <w:tcPr>
                  <w:tcW w:w="900" w:type="pct"/>
                  <w:tcBorders>
                    <w:top w:val="single" w:color="auto" w:sz="12" w:space="0"/>
                    <w:left w:val="single" w:color="auto" w:sz="12" w:space="0"/>
                    <w:bottom w:val="single" w:color="auto" w:sz="12" w:space="0"/>
                    <w:right w:val="single" w:color="auto" w:sz="12" w:space="0"/>
                  </w:tcBorders>
                  <w:vAlign w:val="center"/>
                </w:tcPr>
                <w:p w14:paraId="07FA384F">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&lt;2</w:t>
                  </w:r>
                </w:p>
              </w:tc>
              <w:tc>
                <w:tcPr>
                  <w:tcW w:w="1187" w:type="pct"/>
                  <w:gridSpan w:val="3"/>
                  <w:tcBorders>
                    <w:top w:val="single" w:color="auto" w:sz="12" w:space="0"/>
                    <w:left w:val="single" w:color="auto" w:sz="12" w:space="0"/>
                    <w:bottom w:val="single" w:color="auto" w:sz="12" w:space="0"/>
                    <w:right w:val="single" w:color="auto" w:sz="12" w:space="0"/>
                  </w:tcBorders>
                  <w:vAlign w:val="center"/>
                </w:tcPr>
                <w:p w14:paraId="254EDDFB">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1.85</w:t>
                  </w:r>
                </w:p>
              </w:tc>
              <w:tc>
                <w:tcPr>
                  <w:tcW w:w="1117" w:type="pct"/>
                  <w:gridSpan w:val="3"/>
                  <w:tcBorders>
                    <w:top w:val="single" w:color="auto" w:sz="12" w:space="0"/>
                    <w:left w:val="single" w:color="auto" w:sz="12" w:space="0"/>
                    <w:bottom w:val="single" w:color="auto" w:sz="12" w:space="0"/>
                    <w:right w:val="single" w:color="auto" w:sz="12" w:space="0"/>
                  </w:tcBorders>
                  <w:vAlign w:val="center"/>
                </w:tcPr>
                <w:p w14:paraId="5DA6B143">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1.79</w:t>
                  </w:r>
                </w:p>
              </w:tc>
              <w:tc>
                <w:tcPr>
                  <w:tcW w:w="1118" w:type="pct"/>
                  <w:gridSpan w:val="3"/>
                  <w:tcBorders>
                    <w:top w:val="single" w:color="auto" w:sz="12" w:space="0"/>
                    <w:left w:val="single" w:color="auto" w:sz="12" w:space="0"/>
                    <w:bottom w:val="single" w:color="auto" w:sz="12" w:space="0"/>
                    <w:right w:val="single" w:color="auto" w:sz="12" w:space="0"/>
                  </w:tcBorders>
                  <w:vAlign w:val="center"/>
                </w:tcPr>
                <w:p w14:paraId="5EEB3154">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1.79</w:t>
                  </w:r>
                </w:p>
              </w:tc>
            </w:tr>
            <w:tr w14:paraId="4C74E99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678" w:type="pct"/>
                  <w:vMerge w:val="continue"/>
                  <w:tcBorders>
                    <w:top w:val="nil"/>
                    <w:left w:val="single" w:color="auto" w:sz="12" w:space="0"/>
                    <w:bottom w:val="single" w:color="auto" w:sz="12" w:space="0"/>
                    <w:right w:val="single" w:color="auto" w:sz="12" w:space="0"/>
                  </w:tcBorders>
                  <w:vAlign w:val="center"/>
                </w:tcPr>
                <w:p w14:paraId="73ABF3C5">
                  <w:pPr>
                    <w:widowControl/>
                    <w:jc w:val="center"/>
                    <w:rPr>
                      <w:color w:val="000000" w:themeColor="text1"/>
                      <w:kern w:val="0"/>
                      <w:sz w:val="18"/>
                      <w:szCs w:val="18"/>
                      <w14:textFill>
                        <w14:solidFill>
                          <w14:schemeClr w14:val="tx1"/>
                        </w14:solidFill>
                      </w14:textFill>
                    </w:rPr>
                  </w:pPr>
                </w:p>
              </w:tc>
              <w:tc>
                <w:tcPr>
                  <w:tcW w:w="900" w:type="pct"/>
                  <w:tcBorders>
                    <w:top w:val="single" w:color="auto" w:sz="12" w:space="0"/>
                    <w:left w:val="single" w:color="auto" w:sz="12" w:space="0"/>
                    <w:bottom w:val="single" w:color="auto" w:sz="12" w:space="0"/>
                    <w:right w:val="single" w:color="auto" w:sz="12" w:space="0"/>
                  </w:tcBorders>
                  <w:vAlign w:val="center"/>
                </w:tcPr>
                <w:p w14:paraId="26B3C1FB">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&gt;2</w:t>
                  </w:r>
                </w:p>
              </w:tc>
              <w:tc>
                <w:tcPr>
                  <w:tcW w:w="1187" w:type="pct"/>
                  <w:gridSpan w:val="3"/>
                  <w:tcBorders>
                    <w:top w:val="single" w:color="auto" w:sz="12" w:space="0"/>
                    <w:left w:val="single" w:color="auto" w:sz="12" w:space="0"/>
                    <w:bottom w:val="single" w:color="auto" w:sz="12" w:space="0"/>
                    <w:right w:val="single" w:color="auto" w:sz="12" w:space="0"/>
                  </w:tcBorders>
                  <w:vAlign w:val="center"/>
                </w:tcPr>
                <w:p w14:paraId="592585EF">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1.85*</w:t>
                  </w:r>
                </w:p>
              </w:tc>
              <w:tc>
                <w:tcPr>
                  <w:tcW w:w="1117" w:type="pct"/>
                  <w:gridSpan w:val="3"/>
                  <w:tcBorders>
                    <w:top w:val="single" w:color="auto" w:sz="12" w:space="0"/>
                    <w:left w:val="single" w:color="auto" w:sz="12" w:space="0"/>
                    <w:bottom w:val="single" w:color="auto" w:sz="12" w:space="0"/>
                    <w:right w:val="single" w:color="auto" w:sz="12" w:space="0"/>
                  </w:tcBorders>
                  <w:vAlign w:val="center"/>
                </w:tcPr>
                <w:p w14:paraId="0F90142B">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1.77</w:t>
                  </w:r>
                </w:p>
              </w:tc>
              <w:tc>
                <w:tcPr>
                  <w:tcW w:w="1118" w:type="pct"/>
                  <w:gridSpan w:val="3"/>
                  <w:tcBorders>
                    <w:top w:val="single" w:color="auto" w:sz="12" w:space="0"/>
                    <w:left w:val="single" w:color="auto" w:sz="12" w:space="0"/>
                    <w:bottom w:val="single" w:color="auto" w:sz="12" w:space="0"/>
                    <w:right w:val="single" w:color="auto" w:sz="12" w:space="0"/>
                  </w:tcBorders>
                  <w:vAlign w:val="center"/>
                </w:tcPr>
                <w:p w14:paraId="25627024">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1.77</w:t>
                  </w:r>
                </w:p>
              </w:tc>
            </w:tr>
            <w:tr w14:paraId="54F96C1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678" w:type="pct"/>
                  <w:vMerge w:val="restart"/>
                  <w:tcBorders>
                    <w:top w:val="nil"/>
                    <w:left w:val="single" w:color="auto" w:sz="12" w:space="0"/>
                    <w:bottom w:val="single" w:color="auto" w:sz="12" w:space="0"/>
                    <w:right w:val="single" w:color="auto" w:sz="12" w:space="0"/>
                  </w:tcBorders>
                  <w:vAlign w:val="center"/>
                </w:tcPr>
                <w:p w14:paraId="3C32683A">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D</w:t>
                  </w:r>
                </w:p>
              </w:tc>
              <w:tc>
                <w:tcPr>
                  <w:tcW w:w="900" w:type="pct"/>
                  <w:tcBorders>
                    <w:top w:val="single" w:color="auto" w:sz="12" w:space="0"/>
                    <w:left w:val="single" w:color="auto" w:sz="12" w:space="0"/>
                    <w:bottom w:val="single" w:color="auto" w:sz="12" w:space="0"/>
                    <w:right w:val="single" w:color="auto" w:sz="12" w:space="0"/>
                  </w:tcBorders>
                  <w:vAlign w:val="center"/>
                </w:tcPr>
                <w:p w14:paraId="74D54425">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&lt;2</w:t>
                  </w:r>
                </w:p>
              </w:tc>
              <w:tc>
                <w:tcPr>
                  <w:tcW w:w="1187" w:type="pct"/>
                  <w:gridSpan w:val="3"/>
                  <w:tcBorders>
                    <w:top w:val="single" w:color="auto" w:sz="12" w:space="0"/>
                    <w:left w:val="single" w:color="auto" w:sz="12" w:space="0"/>
                    <w:bottom w:val="single" w:color="auto" w:sz="12" w:space="0"/>
                    <w:right w:val="single" w:color="auto" w:sz="12" w:space="0"/>
                  </w:tcBorders>
                  <w:vAlign w:val="center"/>
                </w:tcPr>
                <w:p w14:paraId="34A43FCB">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0.78</w:t>
                  </w:r>
                </w:p>
              </w:tc>
              <w:tc>
                <w:tcPr>
                  <w:tcW w:w="1117" w:type="pct"/>
                  <w:gridSpan w:val="3"/>
                  <w:tcBorders>
                    <w:top w:val="single" w:color="auto" w:sz="12" w:space="0"/>
                    <w:left w:val="single" w:color="auto" w:sz="12" w:space="0"/>
                    <w:bottom w:val="single" w:color="auto" w:sz="12" w:space="0"/>
                    <w:right w:val="single" w:color="auto" w:sz="12" w:space="0"/>
                  </w:tcBorders>
                  <w:vAlign w:val="center"/>
                </w:tcPr>
                <w:p w14:paraId="1C302E6F">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0.78</w:t>
                  </w:r>
                </w:p>
              </w:tc>
              <w:tc>
                <w:tcPr>
                  <w:tcW w:w="1118" w:type="pct"/>
                  <w:gridSpan w:val="3"/>
                  <w:tcBorders>
                    <w:top w:val="single" w:color="auto" w:sz="12" w:space="0"/>
                    <w:left w:val="single" w:color="auto" w:sz="12" w:space="0"/>
                    <w:bottom w:val="single" w:color="auto" w:sz="12" w:space="0"/>
                    <w:right w:val="single" w:color="auto" w:sz="12" w:space="0"/>
                  </w:tcBorders>
                  <w:vAlign w:val="center"/>
                </w:tcPr>
                <w:p w14:paraId="7F720A13">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0.57</w:t>
                  </w:r>
                </w:p>
              </w:tc>
            </w:tr>
            <w:tr w14:paraId="3A4F0C1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678" w:type="pct"/>
                  <w:vMerge w:val="continue"/>
                  <w:tcBorders>
                    <w:top w:val="nil"/>
                    <w:left w:val="single" w:color="auto" w:sz="12" w:space="0"/>
                    <w:bottom w:val="single" w:color="auto" w:sz="12" w:space="0"/>
                    <w:right w:val="single" w:color="auto" w:sz="12" w:space="0"/>
                  </w:tcBorders>
                  <w:vAlign w:val="center"/>
                </w:tcPr>
                <w:p w14:paraId="7FB5A66B">
                  <w:pPr>
                    <w:widowControl/>
                    <w:jc w:val="center"/>
                    <w:rPr>
                      <w:color w:val="000000" w:themeColor="text1"/>
                      <w:kern w:val="0"/>
                      <w:sz w:val="18"/>
                      <w:szCs w:val="18"/>
                      <w14:textFill>
                        <w14:solidFill>
                          <w14:schemeClr w14:val="tx1"/>
                        </w14:solidFill>
                      </w14:textFill>
                    </w:rPr>
                  </w:pPr>
                </w:p>
              </w:tc>
              <w:tc>
                <w:tcPr>
                  <w:tcW w:w="900" w:type="pct"/>
                  <w:tcBorders>
                    <w:top w:val="single" w:color="auto" w:sz="12" w:space="0"/>
                    <w:left w:val="single" w:color="auto" w:sz="12" w:space="0"/>
                    <w:bottom w:val="single" w:color="auto" w:sz="12" w:space="0"/>
                    <w:right w:val="single" w:color="auto" w:sz="12" w:space="0"/>
                  </w:tcBorders>
                  <w:vAlign w:val="center"/>
                </w:tcPr>
                <w:p w14:paraId="76BE49CF">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&gt;2</w:t>
                  </w:r>
                </w:p>
              </w:tc>
              <w:tc>
                <w:tcPr>
                  <w:tcW w:w="1187" w:type="pct"/>
                  <w:gridSpan w:val="3"/>
                  <w:tcBorders>
                    <w:top w:val="single" w:color="auto" w:sz="12" w:space="0"/>
                    <w:left w:val="single" w:color="auto" w:sz="12" w:space="0"/>
                    <w:bottom w:val="single" w:color="auto" w:sz="12" w:space="0"/>
                    <w:right w:val="single" w:color="auto" w:sz="12" w:space="0"/>
                  </w:tcBorders>
                  <w:vAlign w:val="center"/>
                </w:tcPr>
                <w:p w14:paraId="7D227C9C">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0.84*</w:t>
                  </w:r>
                </w:p>
              </w:tc>
              <w:tc>
                <w:tcPr>
                  <w:tcW w:w="1117" w:type="pct"/>
                  <w:gridSpan w:val="3"/>
                  <w:tcBorders>
                    <w:top w:val="single" w:color="auto" w:sz="12" w:space="0"/>
                    <w:left w:val="single" w:color="auto" w:sz="12" w:space="0"/>
                    <w:bottom w:val="single" w:color="auto" w:sz="12" w:space="0"/>
                    <w:right w:val="single" w:color="auto" w:sz="12" w:space="0"/>
                  </w:tcBorders>
                  <w:vAlign w:val="center"/>
                </w:tcPr>
                <w:p w14:paraId="2F137AF6">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0.84</w:t>
                  </w:r>
                </w:p>
              </w:tc>
              <w:tc>
                <w:tcPr>
                  <w:tcW w:w="1118" w:type="pct"/>
                  <w:gridSpan w:val="3"/>
                  <w:tcBorders>
                    <w:top w:val="single" w:color="auto" w:sz="12" w:space="0"/>
                    <w:left w:val="single" w:color="auto" w:sz="12" w:space="0"/>
                    <w:bottom w:val="single" w:color="auto" w:sz="12" w:space="0"/>
                    <w:right w:val="single" w:color="auto" w:sz="12" w:space="0"/>
                  </w:tcBorders>
                  <w:vAlign w:val="center"/>
                </w:tcPr>
                <w:p w14:paraId="196106D0">
                  <w:pPr>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0.76</w:t>
                  </w:r>
                </w:p>
              </w:tc>
            </w:tr>
            <w:tr w14:paraId="1FB8F97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5000" w:type="pct"/>
                  <w:gridSpan w:val="11"/>
                  <w:tcBorders>
                    <w:top w:val="single" w:color="auto" w:sz="12" w:space="0"/>
                    <w:left w:val="single" w:color="auto" w:sz="12" w:space="0"/>
                    <w:bottom w:val="single" w:color="auto" w:sz="12" w:space="0"/>
                    <w:right w:val="single" w:color="auto" w:sz="12" w:space="0"/>
                  </w:tcBorders>
                  <w:vAlign w:val="center"/>
                </w:tcPr>
                <w:p w14:paraId="058EABFD">
                  <w:pPr>
                    <w:spacing w:line="360" w:lineRule="auto"/>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注：*为本项目计算取值注；</w:t>
                  </w:r>
                </w:p>
                <w:p w14:paraId="4D68CB25">
                  <w:pPr>
                    <w:spacing w:line="360" w:lineRule="auto"/>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Ⅰ类:与无组织排放源共存的排放同种有害气体的排气筒的排放量,大于或等于标准规定的允许排放量的1/3者。</w:t>
                  </w:r>
                </w:p>
                <w:p w14:paraId="48463A29">
                  <w:pPr>
                    <w:spacing w:line="360" w:lineRule="auto"/>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II类:与无组织排放源共存的排放同种有害气体的排气筒的排放量,小于标准规定的允许排放量的1/3.或虽无排放同种大气污染物之排气筒共存,但无组织排放的有害物质的容许浓度指标是按急性反应指标确定者。</w:t>
                  </w:r>
                </w:p>
                <w:p w14:paraId="49320A11">
                  <w:pPr>
                    <w:spacing w:line="360" w:lineRule="auto"/>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Ⅲ类;无排放同种有害物质的排气筒与无组织排放源共存,但无组织排放的有害物质的容许浓度是按慢性反应指标确定者。</w:t>
                  </w:r>
                </w:p>
              </w:tc>
            </w:tr>
          </w:tbl>
          <w:p w14:paraId="1647AC38">
            <w:pPr>
              <w:autoSpaceDE w:val="0"/>
              <w:autoSpaceDN w:val="0"/>
              <w:adjustRightIn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本项目的卫生防护距离计算系数和计算结果详见下表</w:t>
            </w:r>
          </w:p>
          <w:p w14:paraId="56A68D3A">
            <w:pPr>
              <w:autoSpaceDE w:val="0"/>
              <w:autoSpaceDN w:val="0"/>
              <w:adjustRightInd w:val="0"/>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表4-</w:t>
            </w:r>
            <w:r>
              <w:rPr>
                <w:rFonts w:hint="eastAsia"/>
                <w:b/>
                <w:bCs/>
                <w:color w:val="000000" w:themeColor="text1"/>
                <w:sz w:val="24"/>
                <w14:textFill>
                  <w14:solidFill>
                    <w14:schemeClr w14:val="tx1"/>
                  </w14:solidFill>
                </w14:textFill>
              </w:rPr>
              <w:t xml:space="preserve">6 </w:t>
            </w:r>
            <w:r>
              <w:rPr>
                <w:b/>
                <w:bCs/>
                <w:color w:val="000000" w:themeColor="text1"/>
                <w:sz w:val="24"/>
                <w14:textFill>
                  <w14:solidFill>
                    <w14:schemeClr w14:val="tx1"/>
                  </w14:solidFill>
                </w14:textFill>
              </w:rPr>
              <w:t xml:space="preserve"> 无组织排放卫生防护距离计算参数及结果</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393"/>
              <w:gridCol w:w="1432"/>
              <w:gridCol w:w="1705"/>
              <w:gridCol w:w="1652"/>
              <w:gridCol w:w="1285"/>
              <w:gridCol w:w="1943"/>
              <w:gridCol w:w="753"/>
              <w:gridCol w:w="962"/>
              <w:gridCol w:w="822"/>
              <w:gridCol w:w="822"/>
              <w:gridCol w:w="840"/>
            </w:tblGrid>
            <w:tr w14:paraId="2E1B5DE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1507" w:type="dxa"/>
                  <w:tcBorders>
                    <w:top w:val="single" w:color="auto" w:sz="12" w:space="0"/>
                    <w:left w:val="single" w:color="auto" w:sz="12" w:space="0"/>
                    <w:bottom w:val="single" w:color="auto" w:sz="12" w:space="0"/>
                    <w:right w:val="single" w:color="auto" w:sz="12" w:space="0"/>
                  </w:tcBorders>
                  <w:vAlign w:val="center"/>
                </w:tcPr>
                <w:p w14:paraId="4E84BC57">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lang w:bidi="ar"/>
                      <w14:textFill>
                        <w14:solidFill>
                          <w14:schemeClr w14:val="tx1"/>
                        </w14:solidFill>
                      </w14:textFill>
                    </w:rPr>
                    <w:t>污染源</w:t>
                  </w:r>
                </w:p>
              </w:tc>
              <w:tc>
                <w:tcPr>
                  <w:tcW w:w="1507" w:type="dxa"/>
                  <w:tcBorders>
                    <w:top w:val="single" w:color="auto" w:sz="12" w:space="0"/>
                    <w:left w:val="nil"/>
                    <w:bottom w:val="single" w:color="auto" w:sz="12" w:space="0"/>
                    <w:right w:val="single" w:color="auto" w:sz="12" w:space="0"/>
                  </w:tcBorders>
                  <w:vAlign w:val="center"/>
                </w:tcPr>
                <w:p w14:paraId="553A4061">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lang w:bidi="ar"/>
                      <w14:textFill>
                        <w14:solidFill>
                          <w14:schemeClr w14:val="tx1"/>
                        </w14:solidFill>
                      </w14:textFill>
                    </w:rPr>
                    <w:t>面源面积（m</w:t>
                  </w:r>
                  <w:r>
                    <w:rPr>
                      <w:rFonts w:eastAsia="新宋体"/>
                      <w:bCs/>
                      <w:color w:val="000000" w:themeColor="text1"/>
                      <w:sz w:val="18"/>
                      <w:szCs w:val="18"/>
                      <w:vertAlign w:val="superscript"/>
                      <w:lang w:bidi="ar"/>
                      <w14:textFill>
                        <w14:solidFill>
                          <w14:schemeClr w14:val="tx1"/>
                        </w14:solidFill>
                      </w14:textFill>
                    </w:rPr>
                    <w:t>2</w:t>
                  </w:r>
                  <w:r>
                    <w:rPr>
                      <w:rFonts w:eastAsia="新宋体"/>
                      <w:bCs/>
                      <w:color w:val="000000" w:themeColor="text1"/>
                      <w:sz w:val="18"/>
                      <w:szCs w:val="18"/>
                      <w:lang w:bidi="ar"/>
                      <w14:textFill>
                        <w14:solidFill>
                          <w14:schemeClr w14:val="tx1"/>
                        </w14:solidFill>
                      </w14:textFill>
                    </w:rPr>
                    <w:t>）</w:t>
                  </w:r>
                </w:p>
              </w:tc>
              <w:tc>
                <w:tcPr>
                  <w:tcW w:w="1799" w:type="dxa"/>
                  <w:tcBorders>
                    <w:top w:val="single" w:color="auto" w:sz="12" w:space="0"/>
                    <w:left w:val="nil"/>
                    <w:bottom w:val="single" w:color="auto" w:sz="12" w:space="0"/>
                    <w:right w:val="single" w:color="auto" w:sz="12" w:space="0"/>
                  </w:tcBorders>
                </w:tcPr>
                <w:p w14:paraId="36C49CDC">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lang w:bidi="ar"/>
                      <w14:textFill>
                        <w14:solidFill>
                          <w14:schemeClr w14:val="tx1"/>
                        </w14:solidFill>
                      </w14:textFill>
                    </w:rPr>
                    <w:t>污染物名称</w:t>
                  </w:r>
                </w:p>
              </w:tc>
              <w:tc>
                <w:tcPr>
                  <w:tcW w:w="1739" w:type="dxa"/>
                  <w:tcBorders>
                    <w:top w:val="single" w:color="auto" w:sz="12" w:space="0"/>
                    <w:left w:val="nil"/>
                    <w:bottom w:val="single" w:color="auto" w:sz="12" w:space="0"/>
                    <w:right w:val="single" w:color="auto" w:sz="12" w:space="0"/>
                  </w:tcBorders>
                </w:tcPr>
                <w:p w14:paraId="2FC272AC">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lang w:bidi="ar"/>
                      <w14:textFill>
                        <w14:solidFill>
                          <w14:schemeClr w14:val="tx1"/>
                        </w14:solidFill>
                      </w14:textFill>
                    </w:rPr>
                    <w:t>Q</w:t>
                  </w:r>
                  <w:r>
                    <w:rPr>
                      <w:rFonts w:eastAsia="新宋体"/>
                      <w:bCs/>
                      <w:color w:val="000000" w:themeColor="text1"/>
                      <w:sz w:val="18"/>
                      <w:szCs w:val="18"/>
                      <w:vertAlign w:val="subscript"/>
                      <w:lang w:bidi="ar"/>
                      <w14:textFill>
                        <w14:solidFill>
                          <w14:schemeClr w14:val="tx1"/>
                        </w14:solidFill>
                      </w14:textFill>
                    </w:rPr>
                    <w:t>c</w:t>
                  </w:r>
                  <w:r>
                    <w:rPr>
                      <w:rFonts w:eastAsia="新宋体"/>
                      <w:bCs/>
                      <w:color w:val="000000" w:themeColor="text1"/>
                      <w:sz w:val="18"/>
                      <w:szCs w:val="18"/>
                      <w:lang w:bidi="ar"/>
                      <w14:textFill>
                        <w14:solidFill>
                          <w14:schemeClr w14:val="tx1"/>
                        </w14:solidFill>
                      </w14:textFill>
                    </w:rPr>
                    <w:t>（kg/h）</w:t>
                  </w:r>
                </w:p>
              </w:tc>
              <w:tc>
                <w:tcPr>
                  <w:tcW w:w="1350" w:type="dxa"/>
                  <w:tcBorders>
                    <w:top w:val="single" w:color="auto" w:sz="12" w:space="0"/>
                    <w:left w:val="nil"/>
                    <w:bottom w:val="single" w:color="auto" w:sz="12" w:space="0"/>
                    <w:right w:val="single" w:color="auto" w:sz="12" w:space="0"/>
                  </w:tcBorders>
                </w:tcPr>
                <w:p w14:paraId="51B606A7">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lang w:bidi="ar"/>
                      <w14:textFill>
                        <w14:solidFill>
                          <w14:schemeClr w14:val="tx1"/>
                        </w14:solidFill>
                      </w14:textFill>
                    </w:rPr>
                    <w:t>R（m）</w:t>
                  </w:r>
                </w:p>
              </w:tc>
              <w:tc>
                <w:tcPr>
                  <w:tcW w:w="2045" w:type="dxa"/>
                  <w:tcBorders>
                    <w:top w:val="single" w:color="auto" w:sz="12" w:space="0"/>
                    <w:left w:val="nil"/>
                    <w:bottom w:val="single" w:color="auto" w:sz="12" w:space="0"/>
                    <w:right w:val="single" w:color="auto" w:sz="12" w:space="0"/>
                  </w:tcBorders>
                </w:tcPr>
                <w:p w14:paraId="4F2A0A29">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lang w:bidi="ar"/>
                      <w14:textFill>
                        <w14:solidFill>
                          <w14:schemeClr w14:val="tx1"/>
                        </w14:solidFill>
                      </w14:textFill>
                    </w:rPr>
                    <w:t>C</w:t>
                  </w:r>
                  <w:r>
                    <w:rPr>
                      <w:rFonts w:eastAsia="新宋体"/>
                      <w:bCs/>
                      <w:color w:val="000000" w:themeColor="text1"/>
                      <w:sz w:val="18"/>
                      <w:szCs w:val="18"/>
                      <w:vertAlign w:val="subscript"/>
                      <w:lang w:bidi="ar"/>
                      <w14:textFill>
                        <w14:solidFill>
                          <w14:schemeClr w14:val="tx1"/>
                        </w14:solidFill>
                      </w14:textFill>
                    </w:rPr>
                    <w:t>m</w:t>
                  </w:r>
                  <w:r>
                    <w:rPr>
                      <w:rFonts w:eastAsia="新宋体"/>
                      <w:bCs/>
                      <w:color w:val="000000" w:themeColor="text1"/>
                      <w:sz w:val="18"/>
                      <w:szCs w:val="18"/>
                      <w:lang w:bidi="ar"/>
                      <w14:textFill>
                        <w14:solidFill>
                          <w14:schemeClr w14:val="tx1"/>
                        </w14:solidFill>
                      </w14:textFill>
                    </w:rPr>
                    <w:t>（mg/m</w:t>
                  </w:r>
                  <w:r>
                    <w:rPr>
                      <w:rFonts w:eastAsia="新宋体"/>
                      <w:bCs/>
                      <w:color w:val="000000" w:themeColor="text1"/>
                      <w:sz w:val="18"/>
                      <w:szCs w:val="18"/>
                      <w:vertAlign w:val="superscript"/>
                      <w:lang w:bidi="ar"/>
                      <w14:textFill>
                        <w14:solidFill>
                          <w14:schemeClr w14:val="tx1"/>
                        </w14:solidFill>
                      </w14:textFill>
                    </w:rPr>
                    <w:t>3</w:t>
                  </w:r>
                  <w:r>
                    <w:rPr>
                      <w:rFonts w:eastAsia="新宋体"/>
                      <w:bCs/>
                      <w:color w:val="000000" w:themeColor="text1"/>
                      <w:sz w:val="18"/>
                      <w:szCs w:val="18"/>
                      <w:lang w:bidi="ar"/>
                      <w14:textFill>
                        <w14:solidFill>
                          <w14:schemeClr w14:val="tx1"/>
                        </w14:solidFill>
                      </w14:textFill>
                    </w:rPr>
                    <w:t>）</w:t>
                  </w:r>
                </w:p>
              </w:tc>
              <w:tc>
                <w:tcPr>
                  <w:tcW w:w="784" w:type="dxa"/>
                  <w:tcBorders>
                    <w:top w:val="single" w:color="auto" w:sz="12" w:space="0"/>
                    <w:left w:val="nil"/>
                    <w:bottom w:val="single" w:color="auto" w:sz="12" w:space="0"/>
                    <w:right w:val="single" w:color="auto" w:sz="12" w:space="0"/>
                  </w:tcBorders>
                </w:tcPr>
                <w:p w14:paraId="1AD4AA67">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lang w:bidi="ar"/>
                      <w14:textFill>
                        <w14:solidFill>
                          <w14:schemeClr w14:val="tx1"/>
                        </w14:solidFill>
                      </w14:textFill>
                    </w:rPr>
                    <w:t>A</w:t>
                  </w:r>
                </w:p>
              </w:tc>
              <w:tc>
                <w:tcPr>
                  <w:tcW w:w="1001" w:type="dxa"/>
                  <w:tcBorders>
                    <w:top w:val="single" w:color="auto" w:sz="12" w:space="0"/>
                    <w:left w:val="nil"/>
                    <w:bottom w:val="single" w:color="auto" w:sz="12" w:space="0"/>
                    <w:right w:val="single" w:color="auto" w:sz="12" w:space="0"/>
                  </w:tcBorders>
                </w:tcPr>
                <w:p w14:paraId="6B99ED49">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lang w:bidi="ar"/>
                      <w14:textFill>
                        <w14:solidFill>
                          <w14:schemeClr w14:val="tx1"/>
                        </w14:solidFill>
                      </w14:textFill>
                    </w:rPr>
                    <w:t>B</w:t>
                  </w:r>
                </w:p>
              </w:tc>
              <w:tc>
                <w:tcPr>
                  <w:tcW w:w="855" w:type="dxa"/>
                  <w:tcBorders>
                    <w:top w:val="single" w:color="auto" w:sz="12" w:space="0"/>
                    <w:left w:val="nil"/>
                    <w:bottom w:val="single" w:color="auto" w:sz="12" w:space="0"/>
                    <w:right w:val="single" w:color="auto" w:sz="12" w:space="0"/>
                  </w:tcBorders>
                </w:tcPr>
                <w:p w14:paraId="0B30E862">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lang w:bidi="ar"/>
                      <w14:textFill>
                        <w14:solidFill>
                          <w14:schemeClr w14:val="tx1"/>
                        </w14:solidFill>
                      </w14:textFill>
                    </w:rPr>
                    <w:t>C</w:t>
                  </w:r>
                </w:p>
              </w:tc>
              <w:tc>
                <w:tcPr>
                  <w:tcW w:w="855" w:type="dxa"/>
                  <w:tcBorders>
                    <w:top w:val="single" w:color="auto" w:sz="12" w:space="0"/>
                    <w:left w:val="nil"/>
                    <w:bottom w:val="single" w:color="auto" w:sz="12" w:space="0"/>
                    <w:right w:val="single" w:color="auto" w:sz="12" w:space="0"/>
                  </w:tcBorders>
                </w:tcPr>
                <w:p w14:paraId="6E4FA994">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lang w:bidi="ar"/>
                      <w14:textFill>
                        <w14:solidFill>
                          <w14:schemeClr w14:val="tx1"/>
                        </w14:solidFill>
                      </w14:textFill>
                    </w:rPr>
                    <w:t>D</w:t>
                  </w:r>
                </w:p>
              </w:tc>
              <w:tc>
                <w:tcPr>
                  <w:tcW w:w="855" w:type="dxa"/>
                  <w:tcBorders>
                    <w:top w:val="single" w:color="auto" w:sz="12" w:space="0"/>
                    <w:left w:val="nil"/>
                    <w:bottom w:val="single" w:color="auto" w:sz="12" w:space="0"/>
                    <w:right w:val="single" w:color="auto" w:sz="12" w:space="0"/>
                  </w:tcBorders>
                </w:tcPr>
                <w:p w14:paraId="01297287">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lang w:bidi="ar"/>
                      <w14:textFill>
                        <w14:solidFill>
                          <w14:schemeClr w14:val="tx1"/>
                        </w14:solidFill>
                      </w14:textFill>
                    </w:rPr>
                    <w:t>L/m</w:t>
                  </w:r>
                </w:p>
              </w:tc>
            </w:tr>
            <w:tr w14:paraId="209A2CD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1507" w:type="dxa"/>
                  <w:tcBorders>
                    <w:top w:val="single" w:color="auto" w:sz="12" w:space="0"/>
                    <w:left w:val="single" w:color="auto" w:sz="12" w:space="0"/>
                    <w:bottom w:val="single" w:color="auto" w:sz="12" w:space="0"/>
                    <w:right w:val="single" w:color="auto" w:sz="12" w:space="0"/>
                  </w:tcBorders>
                  <w:vAlign w:val="center"/>
                </w:tcPr>
                <w:p w14:paraId="6AEEAEAD">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hint="eastAsia" w:eastAsia="新宋体"/>
                      <w:bCs/>
                      <w:color w:val="000000" w:themeColor="text1"/>
                      <w:sz w:val="18"/>
                      <w:szCs w:val="18"/>
                      <w14:textFill>
                        <w14:solidFill>
                          <w14:schemeClr w14:val="tx1"/>
                        </w14:solidFill>
                      </w14:textFill>
                    </w:rPr>
                    <w:t>生产单元</w:t>
                  </w:r>
                </w:p>
              </w:tc>
              <w:tc>
                <w:tcPr>
                  <w:tcW w:w="1507" w:type="dxa"/>
                  <w:tcBorders>
                    <w:top w:val="single" w:color="auto" w:sz="12" w:space="0"/>
                    <w:left w:val="nil"/>
                    <w:bottom w:val="single" w:color="auto" w:sz="12" w:space="0"/>
                    <w:right w:val="single" w:color="auto" w:sz="12" w:space="0"/>
                  </w:tcBorders>
                  <w:vAlign w:val="center"/>
                </w:tcPr>
                <w:p w14:paraId="61B011ED">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hint="eastAsia" w:eastAsia="新宋体"/>
                      <w:bCs/>
                      <w:color w:val="000000" w:themeColor="text1"/>
                      <w:sz w:val="18"/>
                      <w:szCs w:val="18"/>
                      <w:lang w:bidi="ar"/>
                      <w14:textFill>
                        <w14:solidFill>
                          <w14:schemeClr w14:val="tx1"/>
                        </w14:solidFill>
                      </w14:textFill>
                    </w:rPr>
                    <w:t>10000</w:t>
                  </w:r>
                </w:p>
              </w:tc>
              <w:tc>
                <w:tcPr>
                  <w:tcW w:w="1799" w:type="dxa"/>
                  <w:tcBorders>
                    <w:top w:val="single" w:color="auto" w:sz="12" w:space="0"/>
                    <w:left w:val="nil"/>
                    <w:bottom w:val="single" w:color="auto" w:sz="12" w:space="0"/>
                    <w:right w:val="single" w:color="auto" w:sz="12" w:space="0"/>
                  </w:tcBorders>
                </w:tcPr>
                <w:p w14:paraId="3AACA90F">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lang w:bidi="ar"/>
                      <w14:textFill>
                        <w14:solidFill>
                          <w14:schemeClr w14:val="tx1"/>
                        </w14:solidFill>
                      </w14:textFill>
                    </w:rPr>
                    <w:t>颗粒物</w:t>
                  </w:r>
                  <w:r>
                    <w:rPr>
                      <w:rFonts w:hint="eastAsia" w:eastAsia="新宋体"/>
                      <w:bCs/>
                      <w:color w:val="000000" w:themeColor="text1"/>
                      <w:sz w:val="18"/>
                      <w:szCs w:val="18"/>
                      <w:lang w:bidi="ar"/>
                      <w14:textFill>
                        <w14:solidFill>
                          <w14:schemeClr w14:val="tx1"/>
                        </w14:solidFill>
                      </w14:textFill>
                    </w:rPr>
                    <w:t>（TSP）</w:t>
                  </w:r>
                </w:p>
              </w:tc>
              <w:tc>
                <w:tcPr>
                  <w:tcW w:w="1739" w:type="dxa"/>
                  <w:tcBorders>
                    <w:top w:val="single" w:color="auto" w:sz="12" w:space="0"/>
                    <w:left w:val="nil"/>
                    <w:bottom w:val="single" w:color="auto" w:sz="12" w:space="0"/>
                    <w:right w:val="single" w:color="auto" w:sz="12" w:space="0"/>
                  </w:tcBorders>
                </w:tcPr>
                <w:p w14:paraId="0CDE76E0">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0.539</w:t>
                  </w:r>
                </w:p>
              </w:tc>
              <w:tc>
                <w:tcPr>
                  <w:tcW w:w="1350" w:type="dxa"/>
                  <w:tcBorders>
                    <w:top w:val="single" w:color="auto" w:sz="12" w:space="0"/>
                    <w:left w:val="nil"/>
                    <w:bottom w:val="single" w:color="auto" w:sz="12" w:space="0"/>
                    <w:right w:val="single" w:color="auto" w:sz="12" w:space="0"/>
                  </w:tcBorders>
                </w:tcPr>
                <w:p w14:paraId="4D831B5B">
                  <w:pPr>
                    <w:autoSpaceDE w:val="0"/>
                    <w:autoSpaceDN w:val="0"/>
                    <w:adjustRightInd w:val="0"/>
                    <w:snapToGrid w:val="0"/>
                    <w:spacing w:after="100" w:afterAutospacing="1"/>
                    <w:jc w:val="center"/>
                    <w:rPr>
                      <w:rFonts w:eastAsia="新宋体"/>
                      <w:bCs/>
                      <w:color w:val="000000" w:themeColor="text1"/>
                      <w:sz w:val="18"/>
                      <w:szCs w:val="18"/>
                      <w:lang w:bidi="ar"/>
                      <w14:textFill>
                        <w14:solidFill>
                          <w14:schemeClr w14:val="tx1"/>
                        </w14:solidFill>
                      </w14:textFill>
                    </w:rPr>
                  </w:pPr>
                  <w:r>
                    <w:rPr>
                      <w:rFonts w:hint="eastAsia" w:eastAsia="新宋体"/>
                      <w:bCs/>
                      <w:color w:val="000000" w:themeColor="text1"/>
                      <w:sz w:val="18"/>
                      <w:szCs w:val="18"/>
                      <w:lang w:bidi="ar"/>
                      <w14:textFill>
                        <w14:solidFill>
                          <w14:schemeClr w14:val="tx1"/>
                        </w14:solidFill>
                      </w14:textFill>
                    </w:rPr>
                    <w:t>56.418</w:t>
                  </w:r>
                </w:p>
              </w:tc>
              <w:tc>
                <w:tcPr>
                  <w:tcW w:w="2045" w:type="dxa"/>
                  <w:tcBorders>
                    <w:top w:val="single" w:color="auto" w:sz="12" w:space="0"/>
                    <w:left w:val="nil"/>
                    <w:bottom w:val="single" w:color="auto" w:sz="12" w:space="0"/>
                    <w:right w:val="single" w:color="auto" w:sz="12" w:space="0"/>
                  </w:tcBorders>
                </w:tcPr>
                <w:p w14:paraId="39BD63CD">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lang w:bidi="ar"/>
                      <w14:textFill>
                        <w14:solidFill>
                          <w14:schemeClr w14:val="tx1"/>
                        </w14:solidFill>
                      </w14:textFill>
                    </w:rPr>
                    <w:t>0.9</w:t>
                  </w:r>
                </w:p>
              </w:tc>
              <w:tc>
                <w:tcPr>
                  <w:tcW w:w="784" w:type="dxa"/>
                  <w:tcBorders>
                    <w:top w:val="single" w:color="auto" w:sz="12" w:space="0"/>
                    <w:left w:val="nil"/>
                    <w:bottom w:val="single" w:color="auto" w:sz="12" w:space="0"/>
                    <w:right w:val="single" w:color="auto" w:sz="12" w:space="0"/>
                  </w:tcBorders>
                </w:tcPr>
                <w:p w14:paraId="31AA7EF9">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hint="eastAsia" w:eastAsia="新宋体"/>
                      <w:bCs/>
                      <w:color w:val="000000" w:themeColor="text1"/>
                      <w:sz w:val="18"/>
                      <w:szCs w:val="18"/>
                      <w:lang w:bidi="ar"/>
                      <w14:textFill>
                        <w14:solidFill>
                          <w14:schemeClr w14:val="tx1"/>
                        </w14:solidFill>
                      </w14:textFill>
                    </w:rPr>
                    <w:t>350</w:t>
                  </w:r>
                </w:p>
              </w:tc>
              <w:tc>
                <w:tcPr>
                  <w:tcW w:w="1001" w:type="dxa"/>
                  <w:tcBorders>
                    <w:top w:val="single" w:color="auto" w:sz="12" w:space="0"/>
                    <w:left w:val="nil"/>
                    <w:bottom w:val="single" w:color="auto" w:sz="12" w:space="0"/>
                    <w:right w:val="single" w:color="auto" w:sz="12" w:space="0"/>
                  </w:tcBorders>
                </w:tcPr>
                <w:p w14:paraId="74D5E594">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lang w:bidi="ar"/>
                      <w14:textFill>
                        <w14:solidFill>
                          <w14:schemeClr w14:val="tx1"/>
                        </w14:solidFill>
                      </w14:textFill>
                    </w:rPr>
                    <w:t>0.021</w:t>
                  </w:r>
                </w:p>
              </w:tc>
              <w:tc>
                <w:tcPr>
                  <w:tcW w:w="855" w:type="dxa"/>
                  <w:tcBorders>
                    <w:top w:val="single" w:color="auto" w:sz="12" w:space="0"/>
                    <w:left w:val="nil"/>
                    <w:bottom w:val="single" w:color="auto" w:sz="12" w:space="0"/>
                    <w:right w:val="single" w:color="auto" w:sz="12" w:space="0"/>
                  </w:tcBorders>
                </w:tcPr>
                <w:p w14:paraId="4CD557C6">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lang w:bidi="ar"/>
                      <w14:textFill>
                        <w14:solidFill>
                          <w14:schemeClr w14:val="tx1"/>
                        </w14:solidFill>
                      </w14:textFill>
                    </w:rPr>
                    <w:t>1.85</w:t>
                  </w:r>
                </w:p>
              </w:tc>
              <w:tc>
                <w:tcPr>
                  <w:tcW w:w="855" w:type="dxa"/>
                  <w:tcBorders>
                    <w:top w:val="single" w:color="auto" w:sz="12" w:space="0"/>
                    <w:left w:val="nil"/>
                    <w:bottom w:val="single" w:color="auto" w:sz="12" w:space="0"/>
                    <w:right w:val="single" w:color="auto" w:sz="12" w:space="0"/>
                  </w:tcBorders>
                </w:tcPr>
                <w:p w14:paraId="2F952E42">
                  <w:pPr>
                    <w:autoSpaceDE w:val="0"/>
                    <w:autoSpaceDN w:val="0"/>
                    <w:adjustRightInd w:val="0"/>
                    <w:snapToGrid w:val="0"/>
                    <w:spacing w:after="100" w:afterAutospacing="1"/>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lang w:bidi="ar"/>
                      <w14:textFill>
                        <w14:solidFill>
                          <w14:schemeClr w14:val="tx1"/>
                        </w14:solidFill>
                      </w14:textFill>
                    </w:rPr>
                    <w:t>0.84</w:t>
                  </w:r>
                </w:p>
              </w:tc>
              <w:tc>
                <w:tcPr>
                  <w:tcW w:w="855" w:type="dxa"/>
                  <w:tcBorders>
                    <w:top w:val="single" w:color="auto" w:sz="12" w:space="0"/>
                    <w:left w:val="nil"/>
                    <w:bottom w:val="single" w:color="auto" w:sz="12" w:space="0"/>
                    <w:right w:val="single" w:color="auto" w:sz="12" w:space="0"/>
                  </w:tcBorders>
                </w:tcPr>
                <w:p w14:paraId="091C5FF7">
                  <w:pPr>
                    <w:autoSpaceDE w:val="0"/>
                    <w:autoSpaceDN w:val="0"/>
                    <w:adjustRightInd w:val="0"/>
                    <w:snapToGrid w:val="0"/>
                    <w:spacing w:after="100" w:afterAutospacing="1"/>
                    <w:jc w:val="center"/>
                    <w:rPr>
                      <w:rFonts w:hint="eastAsia" w:eastAsia="新宋体"/>
                      <w:bCs/>
                      <w:color w:val="000000" w:themeColor="text1"/>
                      <w:sz w:val="18"/>
                      <w:szCs w:val="18"/>
                      <w:lang w:val="en-US" w:eastAsia="zh-CN"/>
                      <w14:textFill>
                        <w14:solidFill>
                          <w14:schemeClr w14:val="tx1"/>
                        </w14:solidFill>
                      </w14:textFill>
                    </w:rPr>
                  </w:pPr>
                  <w:r>
                    <w:rPr>
                      <w:rFonts w:hint="eastAsia" w:eastAsia="新宋体"/>
                      <w:bCs/>
                      <w:color w:val="000000" w:themeColor="text1"/>
                      <w:sz w:val="18"/>
                      <w:szCs w:val="18"/>
                      <w:lang w:bidi="ar"/>
                      <w14:textFill>
                        <w14:solidFill>
                          <w14:schemeClr w14:val="tx1"/>
                        </w14:solidFill>
                      </w14:textFill>
                    </w:rPr>
                    <w:t>10.87</w:t>
                  </w:r>
                  <w:r>
                    <w:rPr>
                      <w:rFonts w:hint="eastAsia" w:eastAsia="新宋体"/>
                      <w:bCs/>
                      <w:color w:val="000000" w:themeColor="text1"/>
                      <w:sz w:val="18"/>
                      <w:szCs w:val="18"/>
                      <w:lang w:val="en-US" w:eastAsia="zh-CN" w:bidi="ar"/>
                      <w14:textFill>
                        <w14:solidFill>
                          <w14:schemeClr w14:val="tx1"/>
                        </w14:solidFill>
                      </w14:textFill>
                    </w:rPr>
                    <w:t>3</w:t>
                  </w:r>
                </w:p>
              </w:tc>
            </w:tr>
          </w:tbl>
          <w:p w14:paraId="55B82BF2">
            <w:pPr>
              <w:spacing w:line="360" w:lineRule="auto"/>
              <w:ind w:firstLine="480" w:firstLineChars="200"/>
              <w:jc w:val="left"/>
              <w:rPr>
                <w:color w:val="000000" w:themeColor="text1"/>
                <w:sz w:val="24"/>
                <w14:textFill>
                  <w14:solidFill>
                    <w14:schemeClr w14:val="tx1"/>
                  </w14:solidFill>
                </w14:textFill>
              </w:rPr>
            </w:pPr>
            <w:r>
              <w:rPr>
                <w:color w:val="000000" w:themeColor="text1"/>
                <w:sz w:val="24"/>
                <w:szCs w:val="40"/>
                <w14:textFill>
                  <w14:solidFill>
                    <w14:schemeClr w14:val="tx1"/>
                  </w14:solidFill>
                </w14:textFill>
              </w:rPr>
              <w:t>综</w:t>
            </w:r>
            <w:r>
              <w:rPr>
                <w:color w:val="000000" w:themeColor="text1"/>
                <w:sz w:val="24"/>
                <w14:textFill>
                  <w14:solidFill>
                    <w14:schemeClr w14:val="tx1"/>
                  </w14:solidFill>
                </w14:textFill>
              </w:rPr>
              <w:t>合上述分析，本项目</w:t>
            </w:r>
            <w:r>
              <w:rPr>
                <w:rFonts w:hint="eastAsia"/>
                <w:color w:val="000000" w:themeColor="text1"/>
                <w:sz w:val="24"/>
                <w14:textFill>
                  <w14:solidFill>
                    <w14:schemeClr w14:val="tx1"/>
                  </w14:solidFill>
                </w14:textFill>
              </w:rPr>
              <w:t>卫生防护距离计算初值L为10.87</w:t>
            </w:r>
            <w:r>
              <w:rPr>
                <w:rFonts w:hint="eastAsia"/>
                <w:color w:val="000000" w:themeColor="text1"/>
                <w:sz w:val="24"/>
                <w:lang w:val="en-US" w:eastAsia="zh-CN"/>
                <w14:textFill>
                  <w14:solidFill>
                    <w14:schemeClr w14:val="tx1"/>
                  </w14:solidFill>
                </w14:textFill>
              </w:rPr>
              <w:t>3</w:t>
            </w:r>
            <w:r>
              <w:rPr>
                <w:rFonts w:hint="eastAsia"/>
                <w:color w:val="000000" w:themeColor="text1"/>
                <w:sz w:val="24"/>
                <w14:textFill>
                  <w14:solidFill>
                    <w14:schemeClr w14:val="tx1"/>
                  </w14:solidFill>
                </w14:textFill>
              </w:rPr>
              <w:t>m，因此</w:t>
            </w:r>
            <w:r>
              <w:rPr>
                <w:color w:val="000000" w:themeColor="text1"/>
                <w:sz w:val="24"/>
                <w14:textFill>
                  <w14:solidFill>
                    <w14:schemeClr w14:val="tx1"/>
                  </w14:solidFill>
                </w14:textFill>
              </w:rPr>
              <w:t>需</w:t>
            </w:r>
            <w:r>
              <w:rPr>
                <w:rFonts w:hint="eastAsia"/>
                <w:color w:val="000000" w:themeColor="text1"/>
                <w:sz w:val="24"/>
                <w14:textFill>
                  <w14:solidFill>
                    <w14:schemeClr w14:val="tx1"/>
                  </w14:solidFill>
                </w14:textFill>
              </w:rPr>
              <w:t>以生产单元为边界</w:t>
            </w:r>
            <w:r>
              <w:rPr>
                <w:color w:val="000000" w:themeColor="text1"/>
                <w:sz w:val="24"/>
                <w14:textFill>
                  <w14:solidFill>
                    <w14:schemeClr w14:val="tx1"/>
                  </w14:solidFill>
                </w14:textFill>
              </w:rPr>
              <w:t>设置</w:t>
            </w:r>
            <w:r>
              <w:rPr>
                <w:rFonts w:hint="eastAsia"/>
                <w:color w:val="000000" w:themeColor="text1"/>
                <w:sz w:val="24"/>
                <w14:textFill>
                  <w14:solidFill>
                    <w14:schemeClr w14:val="tx1"/>
                  </w14:solidFill>
                </w14:textFill>
              </w:rPr>
              <w:t>50</w:t>
            </w:r>
            <w:r>
              <w:rPr>
                <w:color w:val="000000" w:themeColor="text1"/>
                <w:sz w:val="24"/>
                <w14:textFill>
                  <w14:solidFill>
                    <w14:schemeClr w14:val="tx1"/>
                  </w14:solidFill>
                </w14:textFill>
              </w:rPr>
              <w:t>米卫生防护距离。经现场勘查</w:t>
            </w:r>
            <w:r>
              <w:rPr>
                <w:rFonts w:hint="eastAsia"/>
                <w:color w:val="000000" w:themeColor="text1"/>
                <w:sz w:val="24"/>
                <w14:textFill>
                  <w14:solidFill>
                    <w14:schemeClr w14:val="tx1"/>
                  </w14:solidFill>
                </w14:textFill>
              </w:rPr>
              <w:t>，</w:t>
            </w:r>
            <w:r>
              <w:rPr>
                <w:color w:val="000000" w:themeColor="text1"/>
                <w:spacing w:val="-2"/>
                <w:sz w:val="24"/>
                <w14:textFill>
                  <w14:solidFill>
                    <w14:schemeClr w14:val="tx1"/>
                  </w14:solidFill>
                </w14:textFill>
              </w:rPr>
              <w:t>距离最近的居民区为</w:t>
            </w:r>
            <w:r>
              <w:rPr>
                <w:rFonts w:hint="eastAsia"/>
                <w:color w:val="000000" w:themeColor="text1"/>
                <w:spacing w:val="-2"/>
                <w:sz w:val="24"/>
                <w14:textFill>
                  <w14:solidFill>
                    <w14:schemeClr w14:val="tx1"/>
                  </w14:solidFill>
                </w14:textFill>
              </w:rPr>
              <w:t>北侧的张家边，</w:t>
            </w:r>
            <w:r>
              <w:rPr>
                <w:color w:val="000000" w:themeColor="text1"/>
                <w:spacing w:val="-2"/>
                <w:sz w:val="24"/>
                <w14:textFill>
                  <w14:solidFill>
                    <w14:schemeClr w14:val="tx1"/>
                  </w14:solidFill>
                </w14:textFill>
              </w:rPr>
              <w:t>距离</w:t>
            </w:r>
            <w:r>
              <w:rPr>
                <w:rFonts w:hint="eastAsia"/>
                <w:color w:val="000000" w:themeColor="text1"/>
                <w:sz w:val="24"/>
                <w14:textFill>
                  <w14:solidFill>
                    <w14:schemeClr w14:val="tx1"/>
                  </w14:solidFill>
                </w14:textFill>
              </w:rPr>
              <w:t>生产单元边界为</w:t>
            </w:r>
            <w:r>
              <w:rPr>
                <w:rFonts w:hint="eastAsia"/>
                <w:color w:val="000000" w:themeColor="text1"/>
                <w:spacing w:val="-2"/>
                <w:sz w:val="24"/>
                <w14:textFill>
                  <w14:solidFill>
                    <w14:schemeClr w14:val="tx1"/>
                  </w14:solidFill>
                </w14:textFill>
              </w:rPr>
              <w:t>18</w:t>
            </w:r>
            <w:r>
              <w:rPr>
                <w:color w:val="000000" w:themeColor="text1"/>
                <w:spacing w:val="-2"/>
                <w:sz w:val="24"/>
                <w14:textFill>
                  <w14:solidFill>
                    <w14:schemeClr w14:val="tx1"/>
                  </w14:solidFill>
                </w14:textFill>
              </w:rPr>
              <w:t>0m，不在项目</w:t>
            </w:r>
            <w:r>
              <w:rPr>
                <w:rFonts w:hint="eastAsia"/>
                <w:color w:val="000000" w:themeColor="text1"/>
                <w:spacing w:val="-2"/>
                <w:sz w:val="24"/>
                <w14:textFill>
                  <w14:solidFill>
                    <w14:schemeClr w14:val="tx1"/>
                  </w14:solidFill>
                </w14:textFill>
              </w:rPr>
              <w:t>50</w:t>
            </w:r>
            <w:r>
              <w:rPr>
                <w:color w:val="000000" w:themeColor="text1"/>
                <w:spacing w:val="-2"/>
                <w:sz w:val="24"/>
                <w14:textFill>
                  <w14:solidFill>
                    <w14:schemeClr w14:val="tx1"/>
                  </w14:solidFill>
                </w14:textFill>
              </w:rPr>
              <w:t>m卫生防护距离内。</w:t>
            </w:r>
            <w:r>
              <w:rPr>
                <w:color w:val="000000" w:themeColor="text1"/>
                <w:sz w:val="24"/>
                <w14:textFill>
                  <w14:solidFill>
                    <w14:schemeClr w14:val="tx1"/>
                  </w14:solidFill>
                </w14:textFill>
              </w:rPr>
              <w:t>本项目</w:t>
            </w:r>
            <w:r>
              <w:rPr>
                <w:color w:val="000000" w:themeColor="text1"/>
                <w:sz w:val="24"/>
                <w:lang w:val="zh-CN"/>
                <w14:textFill>
                  <w14:solidFill>
                    <w14:schemeClr w14:val="tx1"/>
                  </w14:solidFill>
                </w14:textFill>
              </w:rPr>
              <w:t>卫生防护距离</w:t>
            </w:r>
            <w:r>
              <w:rPr>
                <w:color w:val="000000" w:themeColor="text1"/>
                <w:sz w:val="24"/>
                <w14:textFill>
                  <w14:solidFill>
                    <w14:schemeClr w14:val="tx1"/>
                  </w14:solidFill>
                </w14:textFill>
              </w:rPr>
              <w:t>内不涉及环境敏感点及环境质量要求较高的学校、医院、敬老院等特殊敏感建筑物，符合卫生防护距离的要求。在做好废气污染防治措施后，项目废气对周围环境及敏感点影响较小。</w:t>
            </w:r>
          </w:p>
          <w:bookmarkEnd w:id="52"/>
          <w:p w14:paraId="157AC0F4">
            <w:pPr>
              <w:spacing w:line="360" w:lineRule="auto"/>
              <w:ind w:firstLine="482" w:firstLineChars="200"/>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3</w:t>
            </w:r>
            <w:r>
              <w:rPr>
                <w:b/>
                <w:bCs/>
                <w:color w:val="000000" w:themeColor="text1"/>
                <w:sz w:val="24"/>
                <w14:textFill>
                  <w14:solidFill>
                    <w14:schemeClr w14:val="tx1"/>
                  </w14:solidFill>
                </w14:textFill>
              </w:rPr>
              <w:t>、环保措施可行性</w:t>
            </w:r>
          </w:p>
          <w:p w14:paraId="2149028C">
            <w:pPr>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（1）正常工况下</w:t>
            </w:r>
          </w:p>
          <w:p w14:paraId="45CFD643">
            <w:pPr>
              <w:tabs>
                <w:tab w:val="center" w:pos="4813"/>
              </w:tabs>
              <w:spacing w:line="360" w:lineRule="auto"/>
              <w:ind w:firstLine="480" w:firstLineChars="200"/>
              <w:jc w:val="left"/>
              <w:rPr>
                <w:rFonts w:hint="eastAsia"/>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项目无组织粉尘主要产生于破碎筛分、投料、物料输送、原料及半成品堆场、车辆运输、车间地面落尘等环节。项目生产车间、原料及半成品仓库均采用封闭棚库形式，破碎筛分设备、投料口、物料输送皮带、料仓等产尘点均采取全封闭 / 围挡封装措施，从源头减少粉尘外逸；输送皮带沿线设置围挡，有效控制输送过程粉尘无组织扩散。</w:t>
            </w:r>
          </w:p>
          <w:p w14:paraId="10706A45">
            <w:pPr>
              <w:tabs>
                <w:tab w:val="center" w:pos="4813"/>
              </w:tabs>
              <w:spacing w:line="360" w:lineRule="auto"/>
              <w:ind w:firstLine="480" w:firstLineChars="200"/>
              <w:jc w:val="left"/>
              <w:rPr>
                <w:rFonts w:hint="eastAsia"/>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项目全程采用湿法抑尘作业：在破碎筛分区、投料区、原料及半成品堆放区均设置雾化喷淋装置，通过定时洒水增湿降低物料起尘量；原料及半成品堆场采用防雨布 / 编织布全覆盖，并定期对物料表面洒水增湿，进一步抑制堆场扬尘；装卸作业时尽量降低物料落差，优先选择无风或微风天气进行操作，减少起尘扩散。</w:t>
            </w:r>
          </w:p>
          <w:p w14:paraId="30C8C61B">
            <w:pPr>
              <w:tabs>
                <w:tab w:val="center" w:pos="4813"/>
              </w:tabs>
              <w:spacing w:line="360" w:lineRule="auto"/>
              <w:ind w:firstLine="480" w:firstLineChars="200"/>
              <w:jc w:val="left"/>
              <w:rPr>
                <w:rFonts w:hint="eastAsia"/>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车间地面散落粉尘主要为输送等工序经围挡收集后少量落尘，企业制定日常清扫制度，对地面泼洒物料及时清理、收集，避免二次扬尘产生。厂区道路定期洒水清扫，运输车辆密闭覆盖、限速行驶，减少道路动力起尘。</w:t>
            </w:r>
          </w:p>
          <w:p w14:paraId="08F3674A">
            <w:pPr>
              <w:tabs>
                <w:tab w:val="center" w:pos="4813"/>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本项目无组织粉尘控制措施符合《排污许可证申请与核发技术规范 总则》（HJ 942-2018）中推荐的可行污染防治技术，经封闭围挡、湿法喷淋、覆盖抑尘、及时清扫等综合防控措施后，无组织颗粒物排放可满足《水泥工业大气污染物排放标准》相关要求，无组织粉尘防控措施可行、有效。</w:t>
            </w:r>
          </w:p>
          <w:p w14:paraId="7CCE3EB9">
            <w:pPr>
              <w:tabs>
                <w:tab w:val="center" w:pos="4813"/>
              </w:tabs>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水泥筒仓粉尘经仓顶脉冲布袋除尘器净化后由仓顶排放；参考《排污许可证申请与核发技术规范 水泥工业》(HJ847-2017)附录B“水泥工业废气污染防治可行技术”中产生颗粒物的可行性技术均为袋式除尘器。本项目水泥筒仓采取脉冲布袋除尘器，处理效率为99.7%，因此本项目废气处理设施均为可行性技术</w:t>
            </w:r>
            <w:r>
              <w:rPr>
                <w:rFonts w:hint="eastAsia" w:eastAsia="新宋体"/>
                <w:color w:val="000000" w:themeColor="text1"/>
                <w:kern w:val="18"/>
                <w:sz w:val="24"/>
                <w14:textFill>
                  <w14:solidFill>
                    <w14:schemeClr w14:val="tx1"/>
                  </w14:solidFill>
                </w14:textFill>
              </w:rPr>
              <w:t>。</w:t>
            </w:r>
          </w:p>
          <w:p w14:paraId="0F492BEE">
            <w:pPr>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（2）非正常工况下</w:t>
            </w:r>
          </w:p>
          <w:p w14:paraId="05271285">
            <w:pPr>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本项目主要产污为颗粒物，排放方式为无组织排放，因此本项目不存在因开停机、设备维修等情况产生的非正常排放。</w:t>
            </w:r>
          </w:p>
          <w:p w14:paraId="46FE2F9D">
            <w:pPr>
              <w:spacing w:line="360" w:lineRule="auto"/>
              <w:ind w:firstLine="482" w:firstLineChars="200"/>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4</w:t>
            </w:r>
            <w:r>
              <w:rPr>
                <w:b/>
                <w:bCs/>
                <w:color w:val="000000" w:themeColor="text1"/>
                <w:sz w:val="24"/>
                <w14:textFill>
                  <w14:solidFill>
                    <w14:schemeClr w14:val="tx1"/>
                  </w14:solidFill>
                </w14:textFill>
              </w:rPr>
              <w:t>、环境影响分析</w:t>
            </w:r>
          </w:p>
          <w:p w14:paraId="207575D3">
            <w:pPr>
              <w:spacing w:line="360" w:lineRule="auto"/>
              <w:ind w:firstLine="480" w:firstLineChars="200"/>
              <w:jc w:val="left"/>
              <w:rPr>
                <w:bCs/>
                <w:color w:val="000000" w:themeColor="text1"/>
                <w:kern w:val="18"/>
                <w:sz w:val="24"/>
                <w:szCs w:val="21"/>
                <w14:textFill>
                  <w14:solidFill>
                    <w14:schemeClr w14:val="tx1"/>
                  </w14:solidFill>
                </w14:textFill>
              </w:rPr>
            </w:pPr>
            <w:r>
              <w:rPr>
                <w:rFonts w:hint="eastAsia"/>
                <w:bCs/>
                <w:color w:val="000000" w:themeColor="text1"/>
                <w:kern w:val="0"/>
                <w:sz w:val="24"/>
                <w:szCs w:val="21"/>
                <w14:textFill>
                  <w14:solidFill>
                    <w14:schemeClr w14:val="tx1"/>
                  </w14:solidFill>
                </w14:textFill>
              </w:rPr>
              <w:t>（1）</w:t>
            </w:r>
            <w:r>
              <w:rPr>
                <w:rFonts w:hint="eastAsia" w:eastAsia="新宋体"/>
                <w:b/>
                <w:bCs/>
                <w:color w:val="000000" w:themeColor="text1"/>
                <w:kern w:val="18"/>
                <w:sz w:val="24"/>
                <w:szCs w:val="21"/>
                <w14:textFill>
                  <w14:solidFill>
                    <w14:schemeClr w14:val="tx1"/>
                  </w14:solidFill>
                </w14:textFill>
              </w:rPr>
              <w:t>源强参数</w:t>
            </w:r>
          </w:p>
          <w:p w14:paraId="5535E6AF">
            <w:pPr>
              <w:spacing w:line="360" w:lineRule="auto"/>
              <w:ind w:firstLine="480" w:firstLineChars="200"/>
              <w:jc w:val="left"/>
              <w:rPr>
                <w:bCs/>
                <w:color w:val="000000" w:themeColor="text1"/>
                <w:kern w:val="18"/>
                <w:sz w:val="24"/>
                <w:szCs w:val="21"/>
                <w14:textFill>
                  <w14:solidFill>
                    <w14:schemeClr w14:val="tx1"/>
                  </w14:solidFill>
                </w14:textFill>
              </w:rPr>
            </w:pPr>
            <w:r>
              <w:rPr>
                <w:rFonts w:hint="eastAsia"/>
                <w:bCs/>
                <w:color w:val="000000" w:themeColor="text1"/>
                <w:kern w:val="18"/>
                <w:sz w:val="24"/>
                <w:szCs w:val="21"/>
                <w14:textFill>
                  <w14:solidFill>
                    <w14:schemeClr w14:val="tx1"/>
                  </w14:solidFill>
                </w14:textFill>
              </w:rPr>
              <w:t>为了进一步了解项目颗粒物，对周边环境的影响程度，本次评价采取</w:t>
            </w:r>
            <w:r>
              <w:rPr>
                <w:bCs/>
                <w:color w:val="000000" w:themeColor="text1"/>
                <w:kern w:val="18"/>
                <w:sz w:val="24"/>
                <w:szCs w:val="21"/>
                <w14:textFill>
                  <w14:solidFill>
                    <w14:schemeClr w14:val="tx1"/>
                  </w14:solidFill>
                </w14:textFill>
              </w:rPr>
              <w:t>AERSCREEN</w:t>
            </w:r>
            <w:r>
              <w:rPr>
                <w:rFonts w:hint="eastAsia"/>
                <w:bCs/>
                <w:color w:val="000000" w:themeColor="text1"/>
                <w:kern w:val="18"/>
                <w:sz w:val="24"/>
                <w:szCs w:val="21"/>
                <w14:textFill>
                  <w14:solidFill>
                    <w14:schemeClr w14:val="tx1"/>
                  </w14:solidFill>
                </w14:textFill>
              </w:rPr>
              <w:t>模式针对点面源（生产厂房）在不同距离上对PM</w:t>
            </w:r>
            <w:r>
              <w:rPr>
                <w:rFonts w:hint="eastAsia"/>
                <w:bCs/>
                <w:color w:val="000000" w:themeColor="text1"/>
                <w:kern w:val="18"/>
                <w:sz w:val="24"/>
                <w:szCs w:val="21"/>
                <w:vertAlign w:val="subscript"/>
                <w14:textFill>
                  <w14:solidFill>
                    <w14:schemeClr w14:val="tx1"/>
                  </w14:solidFill>
                </w14:textFill>
              </w:rPr>
              <w:t>10</w:t>
            </w:r>
            <w:r>
              <w:rPr>
                <w:rFonts w:hint="eastAsia"/>
                <w:bCs/>
                <w:color w:val="000000" w:themeColor="text1"/>
                <w:kern w:val="18"/>
                <w:sz w:val="24"/>
                <w:szCs w:val="21"/>
                <w14:textFill>
                  <w14:solidFill>
                    <w14:schemeClr w14:val="tx1"/>
                  </w14:solidFill>
                </w14:textFill>
              </w:rPr>
              <w:t>和PM</w:t>
            </w:r>
            <w:r>
              <w:rPr>
                <w:rFonts w:hint="eastAsia"/>
                <w:bCs/>
                <w:color w:val="000000" w:themeColor="text1"/>
                <w:kern w:val="18"/>
                <w:sz w:val="24"/>
                <w:szCs w:val="21"/>
                <w:vertAlign w:val="subscript"/>
                <w14:textFill>
                  <w14:solidFill>
                    <w14:schemeClr w14:val="tx1"/>
                  </w14:solidFill>
                </w14:textFill>
              </w:rPr>
              <w:t>2.5</w:t>
            </w:r>
            <w:r>
              <w:rPr>
                <w:rFonts w:hint="eastAsia"/>
                <w:bCs/>
                <w:color w:val="000000" w:themeColor="text1"/>
                <w:kern w:val="18"/>
                <w:sz w:val="24"/>
                <w:szCs w:val="21"/>
                <w14:textFill>
                  <w14:solidFill>
                    <w14:schemeClr w14:val="tx1"/>
                  </w14:solidFill>
                </w14:textFill>
              </w:rPr>
              <w:t>进行分析预测，计算出落地浓度及占标率。项目颗粒物均为无组织排放，以TSP计算，因此本次评价参考经验参数，对PM</w:t>
            </w:r>
            <w:r>
              <w:rPr>
                <w:rFonts w:hint="eastAsia"/>
                <w:bCs/>
                <w:color w:val="000000" w:themeColor="text1"/>
                <w:kern w:val="18"/>
                <w:sz w:val="24"/>
                <w:szCs w:val="21"/>
                <w:vertAlign w:val="subscript"/>
                <w14:textFill>
                  <w14:solidFill>
                    <w14:schemeClr w14:val="tx1"/>
                  </w14:solidFill>
                </w14:textFill>
              </w:rPr>
              <w:t>10</w:t>
            </w:r>
            <w:r>
              <w:rPr>
                <w:rFonts w:hint="eastAsia"/>
                <w:bCs/>
                <w:color w:val="000000" w:themeColor="text1"/>
                <w:kern w:val="18"/>
                <w:sz w:val="24"/>
                <w:szCs w:val="21"/>
                <w14:textFill>
                  <w14:solidFill>
                    <w14:schemeClr w14:val="tx1"/>
                  </w14:solidFill>
                </w14:textFill>
              </w:rPr>
              <w:t>按TSP30%计，即PM</w:t>
            </w:r>
            <w:r>
              <w:rPr>
                <w:rFonts w:hint="eastAsia"/>
                <w:bCs/>
                <w:color w:val="000000" w:themeColor="text1"/>
                <w:kern w:val="18"/>
                <w:sz w:val="24"/>
                <w:szCs w:val="21"/>
                <w:vertAlign w:val="subscript"/>
                <w14:textFill>
                  <w14:solidFill>
                    <w14:schemeClr w14:val="tx1"/>
                  </w14:solidFill>
                </w14:textFill>
              </w:rPr>
              <w:t>10</w:t>
            </w:r>
            <w:r>
              <w:rPr>
                <w:rFonts w:hint="eastAsia"/>
                <w:bCs/>
                <w:color w:val="000000" w:themeColor="text1"/>
                <w:kern w:val="18"/>
                <w:sz w:val="24"/>
                <w:szCs w:val="21"/>
                <w14:textFill>
                  <w14:solidFill>
                    <w14:schemeClr w14:val="tx1"/>
                  </w14:solidFill>
                </w14:textFill>
              </w:rPr>
              <w:t>排放速率为0.162kg/h；PM</w:t>
            </w:r>
            <w:r>
              <w:rPr>
                <w:rFonts w:hint="eastAsia"/>
                <w:bCs/>
                <w:color w:val="000000" w:themeColor="text1"/>
                <w:kern w:val="18"/>
                <w:sz w:val="24"/>
                <w:szCs w:val="21"/>
                <w:vertAlign w:val="subscript"/>
                <w14:textFill>
                  <w14:solidFill>
                    <w14:schemeClr w14:val="tx1"/>
                  </w14:solidFill>
                </w14:textFill>
              </w:rPr>
              <w:t>2.5</w:t>
            </w:r>
            <w:r>
              <w:rPr>
                <w:rFonts w:hint="eastAsia"/>
                <w:bCs/>
                <w:color w:val="000000" w:themeColor="text1"/>
                <w:kern w:val="18"/>
                <w:sz w:val="24"/>
                <w:szCs w:val="21"/>
                <w14:textFill>
                  <w14:solidFill>
                    <w14:schemeClr w14:val="tx1"/>
                  </w14:solidFill>
                </w14:textFill>
              </w:rPr>
              <w:t>按PM</w:t>
            </w:r>
            <w:r>
              <w:rPr>
                <w:rFonts w:hint="eastAsia"/>
                <w:bCs/>
                <w:color w:val="000000" w:themeColor="text1"/>
                <w:kern w:val="18"/>
                <w:sz w:val="24"/>
                <w:szCs w:val="21"/>
                <w:vertAlign w:val="subscript"/>
                <w14:textFill>
                  <w14:solidFill>
                    <w14:schemeClr w14:val="tx1"/>
                  </w14:solidFill>
                </w14:textFill>
              </w:rPr>
              <w:t>10</w:t>
            </w:r>
            <w:r>
              <w:rPr>
                <w:rFonts w:hint="eastAsia"/>
                <w:bCs/>
                <w:color w:val="000000" w:themeColor="text1"/>
                <w:kern w:val="18"/>
                <w:sz w:val="24"/>
                <w:szCs w:val="21"/>
                <w14:textFill>
                  <w14:solidFill>
                    <w14:schemeClr w14:val="tx1"/>
                  </w14:solidFill>
                </w14:textFill>
              </w:rPr>
              <w:t>排放速率50%计，为0.081 kg/h。</w:t>
            </w:r>
          </w:p>
          <w:p w14:paraId="0FDFA8E9">
            <w:pPr>
              <w:spacing w:line="360" w:lineRule="auto"/>
              <w:ind w:firstLine="480" w:firstLineChars="200"/>
              <w:rPr>
                <w:bCs/>
                <w:color w:val="000000" w:themeColor="text1"/>
                <w:kern w:val="0"/>
                <w:sz w:val="24"/>
                <w:szCs w:val="21"/>
                <w14:textFill>
                  <w14:solidFill>
                    <w14:schemeClr w14:val="tx1"/>
                  </w14:solidFill>
                </w14:textFill>
              </w:rPr>
            </w:pPr>
            <w:r>
              <w:rPr>
                <w:bCs/>
                <w:color w:val="000000" w:themeColor="text1"/>
                <w:kern w:val="0"/>
                <w:sz w:val="24"/>
                <w:szCs w:val="21"/>
                <w14:textFill>
                  <w14:solidFill>
                    <w14:schemeClr w14:val="tx1"/>
                  </w14:solidFill>
                </w14:textFill>
              </w:rPr>
              <w:t>根据</w:t>
            </w:r>
            <w:r>
              <w:rPr>
                <w:rFonts w:hint="eastAsia"/>
                <w:bCs/>
                <w:color w:val="000000" w:themeColor="text1"/>
                <w:kern w:val="0"/>
                <w:sz w:val="24"/>
                <w:szCs w:val="21"/>
                <w14:textFill>
                  <w14:solidFill>
                    <w14:schemeClr w14:val="tx1"/>
                  </w14:solidFill>
                </w14:textFill>
              </w:rPr>
              <w:t>前文</w:t>
            </w:r>
            <w:r>
              <w:rPr>
                <w:bCs/>
                <w:color w:val="000000" w:themeColor="text1"/>
                <w:kern w:val="0"/>
                <w:sz w:val="24"/>
                <w:szCs w:val="21"/>
                <w14:textFill>
                  <w14:solidFill>
                    <w14:schemeClr w14:val="tx1"/>
                  </w14:solidFill>
                </w14:textFill>
              </w:rPr>
              <w:t>分析，项目无组织排放源的参数见下表。</w:t>
            </w:r>
          </w:p>
          <w:p w14:paraId="125FA440">
            <w:pPr>
              <w:jc w:val="center"/>
              <w:rPr>
                <w:rFonts w:eastAsia="新宋体"/>
                <w:b/>
                <w:color w:val="000000" w:themeColor="text1"/>
                <w:kern w:val="18"/>
                <w:sz w:val="24"/>
                <w:szCs w:val="21"/>
                <w14:textFill>
                  <w14:solidFill>
                    <w14:schemeClr w14:val="tx1"/>
                  </w14:solidFill>
                </w14:textFill>
              </w:rPr>
            </w:pPr>
            <w:r>
              <w:rPr>
                <w:rFonts w:eastAsia="新宋体"/>
                <w:b/>
                <w:bCs/>
                <w:color w:val="000000" w:themeColor="text1"/>
                <w:kern w:val="18"/>
                <w:sz w:val="24"/>
                <w:szCs w:val="21"/>
                <w14:textFill>
                  <w14:solidFill>
                    <w14:schemeClr w14:val="tx1"/>
                  </w14:solidFill>
                </w14:textFill>
              </w:rPr>
              <w:t>表</w:t>
            </w:r>
            <w:r>
              <w:rPr>
                <w:rFonts w:hint="eastAsia" w:eastAsia="新宋体"/>
                <w:b/>
                <w:bCs/>
                <w:color w:val="000000" w:themeColor="text1"/>
                <w:kern w:val="18"/>
                <w:sz w:val="24"/>
                <w:szCs w:val="21"/>
                <w14:textFill>
                  <w14:solidFill>
                    <w14:schemeClr w14:val="tx1"/>
                  </w14:solidFill>
                </w14:textFill>
              </w:rPr>
              <w:t>4-7    无组织</w:t>
            </w:r>
            <w:r>
              <w:rPr>
                <w:rFonts w:eastAsia="新宋体"/>
                <w:b/>
                <w:bCs/>
                <w:color w:val="000000" w:themeColor="text1"/>
                <w:kern w:val="18"/>
                <w:sz w:val="24"/>
                <w:szCs w:val="21"/>
                <w14:textFill>
                  <w14:solidFill>
                    <w14:schemeClr w14:val="tx1"/>
                  </w14:solidFill>
                </w14:textFill>
              </w:rPr>
              <w:t>废气排放源参数一览表</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574"/>
              <w:gridCol w:w="1084"/>
              <w:gridCol w:w="1583"/>
              <w:gridCol w:w="1289"/>
              <w:gridCol w:w="1289"/>
              <w:gridCol w:w="1520"/>
              <w:gridCol w:w="1142"/>
              <w:gridCol w:w="1251"/>
              <w:gridCol w:w="2041"/>
              <w:gridCol w:w="1836"/>
            </w:tblGrid>
            <w:tr w14:paraId="0654823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4" w:hRule="atLeast"/>
                <w:jc w:val="center"/>
              </w:trPr>
              <w:tc>
                <w:tcPr>
                  <w:tcW w:w="211" w:type="pct"/>
                  <w:vMerge w:val="restart"/>
                  <w:shd w:val="clear" w:color="000000" w:fill="FFFFFF"/>
                  <w:vAlign w:val="center"/>
                </w:tcPr>
                <w:p w14:paraId="7A2CE82A">
                  <w:pPr>
                    <w:snapToGrid w:val="0"/>
                    <w:spacing w:line="240" w:lineRule="exact"/>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编号</w:t>
                  </w:r>
                </w:p>
              </w:tc>
              <w:tc>
                <w:tcPr>
                  <w:tcW w:w="398" w:type="pct"/>
                  <w:vMerge w:val="restart"/>
                  <w:shd w:val="clear" w:color="000000" w:fill="FFFFFF"/>
                  <w:vAlign w:val="center"/>
                </w:tcPr>
                <w:p w14:paraId="27D386F3">
                  <w:pPr>
                    <w:snapToGrid w:val="0"/>
                    <w:spacing w:line="240" w:lineRule="exact"/>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名称</w:t>
                  </w:r>
                </w:p>
              </w:tc>
              <w:tc>
                <w:tcPr>
                  <w:tcW w:w="581" w:type="pct"/>
                  <w:vMerge w:val="restart"/>
                  <w:shd w:val="clear" w:color="000000" w:fill="FFFFFF"/>
                  <w:vAlign w:val="center"/>
                </w:tcPr>
                <w:p w14:paraId="78ECDD22">
                  <w:pPr>
                    <w:snapToGrid w:val="0"/>
                    <w:spacing w:line="240" w:lineRule="exact"/>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面源海拔高度/m</w:t>
                  </w:r>
                </w:p>
              </w:tc>
              <w:tc>
                <w:tcPr>
                  <w:tcW w:w="473" w:type="pct"/>
                  <w:vMerge w:val="restart"/>
                  <w:shd w:val="clear" w:color="000000" w:fill="FFFFFF"/>
                  <w:vAlign w:val="center"/>
                </w:tcPr>
                <w:p w14:paraId="31EC5EC8">
                  <w:pPr>
                    <w:snapToGrid w:val="0"/>
                    <w:spacing w:line="240" w:lineRule="exact"/>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面源长度/m</w:t>
                  </w:r>
                </w:p>
              </w:tc>
              <w:tc>
                <w:tcPr>
                  <w:tcW w:w="473" w:type="pct"/>
                  <w:vMerge w:val="restart"/>
                  <w:shd w:val="clear" w:color="000000" w:fill="FFFFFF"/>
                  <w:vAlign w:val="center"/>
                </w:tcPr>
                <w:p w14:paraId="53FCFB31">
                  <w:pPr>
                    <w:snapToGrid w:val="0"/>
                    <w:spacing w:line="240" w:lineRule="exact"/>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面源宽度/m</w:t>
                  </w:r>
                </w:p>
              </w:tc>
              <w:tc>
                <w:tcPr>
                  <w:tcW w:w="558" w:type="pct"/>
                  <w:vMerge w:val="restart"/>
                  <w:shd w:val="clear" w:color="000000" w:fill="FFFFFF"/>
                  <w:vAlign w:val="center"/>
                </w:tcPr>
                <w:p w14:paraId="2B3D6D28">
                  <w:pPr>
                    <w:snapToGrid w:val="0"/>
                    <w:spacing w:line="240" w:lineRule="exact"/>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与正北向夹角/°</w:t>
                  </w:r>
                </w:p>
              </w:tc>
              <w:tc>
                <w:tcPr>
                  <w:tcW w:w="419" w:type="pct"/>
                  <w:vMerge w:val="restart"/>
                  <w:shd w:val="clear" w:color="000000" w:fill="FFFFFF"/>
                  <w:vAlign w:val="center"/>
                </w:tcPr>
                <w:p w14:paraId="6E914FA6">
                  <w:pPr>
                    <w:snapToGrid w:val="0"/>
                    <w:spacing w:line="240" w:lineRule="exact"/>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面源有效排</w:t>
                  </w:r>
                </w:p>
                <w:p w14:paraId="57A99561">
                  <w:pPr>
                    <w:snapToGrid w:val="0"/>
                    <w:spacing w:line="240" w:lineRule="exact"/>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放高度/m</w:t>
                  </w:r>
                </w:p>
              </w:tc>
              <w:tc>
                <w:tcPr>
                  <w:tcW w:w="459" w:type="pct"/>
                  <w:vMerge w:val="restart"/>
                  <w:shd w:val="clear" w:color="000000" w:fill="FFFFFF"/>
                  <w:vAlign w:val="center"/>
                </w:tcPr>
                <w:p w14:paraId="1FD490AB">
                  <w:pPr>
                    <w:snapToGrid w:val="0"/>
                    <w:spacing w:line="240" w:lineRule="exact"/>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年排放小时数/h</w:t>
                  </w:r>
                </w:p>
              </w:tc>
              <w:tc>
                <w:tcPr>
                  <w:tcW w:w="1423" w:type="pct"/>
                  <w:gridSpan w:val="2"/>
                  <w:shd w:val="clear" w:color="000000" w:fill="FFFFFF"/>
                  <w:vAlign w:val="center"/>
                </w:tcPr>
                <w:p w14:paraId="38BEAF36">
                  <w:pPr>
                    <w:snapToGrid w:val="0"/>
                    <w:spacing w:line="240" w:lineRule="exact"/>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污染物排放速率/(kg/h)</w:t>
                  </w:r>
                </w:p>
              </w:tc>
            </w:tr>
            <w:tr w14:paraId="54FF358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211" w:type="pct"/>
                  <w:vMerge w:val="continue"/>
                  <w:vAlign w:val="center"/>
                </w:tcPr>
                <w:p w14:paraId="7314120D">
                  <w:pPr>
                    <w:snapToGrid w:val="0"/>
                    <w:spacing w:line="240" w:lineRule="exact"/>
                    <w:jc w:val="center"/>
                    <w:rPr>
                      <w:rFonts w:eastAsia="新宋体"/>
                      <w:color w:val="000000" w:themeColor="text1"/>
                      <w:sz w:val="18"/>
                      <w:szCs w:val="18"/>
                      <w14:textFill>
                        <w14:solidFill>
                          <w14:schemeClr w14:val="tx1"/>
                        </w14:solidFill>
                      </w14:textFill>
                    </w:rPr>
                  </w:pPr>
                </w:p>
              </w:tc>
              <w:tc>
                <w:tcPr>
                  <w:tcW w:w="398" w:type="pct"/>
                  <w:vMerge w:val="continue"/>
                  <w:vAlign w:val="center"/>
                </w:tcPr>
                <w:p w14:paraId="64058504">
                  <w:pPr>
                    <w:snapToGrid w:val="0"/>
                    <w:spacing w:line="240" w:lineRule="exact"/>
                    <w:jc w:val="center"/>
                    <w:rPr>
                      <w:rFonts w:eastAsia="新宋体"/>
                      <w:color w:val="000000" w:themeColor="text1"/>
                      <w:sz w:val="18"/>
                      <w:szCs w:val="18"/>
                      <w14:textFill>
                        <w14:solidFill>
                          <w14:schemeClr w14:val="tx1"/>
                        </w14:solidFill>
                      </w14:textFill>
                    </w:rPr>
                  </w:pPr>
                </w:p>
              </w:tc>
              <w:tc>
                <w:tcPr>
                  <w:tcW w:w="581" w:type="pct"/>
                  <w:vMerge w:val="continue"/>
                  <w:vAlign w:val="center"/>
                </w:tcPr>
                <w:p w14:paraId="42CCD3E1">
                  <w:pPr>
                    <w:snapToGrid w:val="0"/>
                    <w:spacing w:line="240" w:lineRule="exact"/>
                    <w:jc w:val="center"/>
                    <w:rPr>
                      <w:rFonts w:eastAsia="新宋体"/>
                      <w:color w:val="000000" w:themeColor="text1"/>
                      <w:sz w:val="18"/>
                      <w:szCs w:val="18"/>
                      <w14:textFill>
                        <w14:solidFill>
                          <w14:schemeClr w14:val="tx1"/>
                        </w14:solidFill>
                      </w14:textFill>
                    </w:rPr>
                  </w:pPr>
                </w:p>
              </w:tc>
              <w:tc>
                <w:tcPr>
                  <w:tcW w:w="473" w:type="pct"/>
                  <w:vMerge w:val="continue"/>
                  <w:vAlign w:val="center"/>
                </w:tcPr>
                <w:p w14:paraId="46E92805">
                  <w:pPr>
                    <w:snapToGrid w:val="0"/>
                    <w:spacing w:line="240" w:lineRule="exact"/>
                    <w:jc w:val="center"/>
                    <w:rPr>
                      <w:rFonts w:eastAsia="新宋体"/>
                      <w:color w:val="000000" w:themeColor="text1"/>
                      <w:sz w:val="18"/>
                      <w:szCs w:val="18"/>
                      <w14:textFill>
                        <w14:solidFill>
                          <w14:schemeClr w14:val="tx1"/>
                        </w14:solidFill>
                      </w14:textFill>
                    </w:rPr>
                  </w:pPr>
                </w:p>
              </w:tc>
              <w:tc>
                <w:tcPr>
                  <w:tcW w:w="473" w:type="pct"/>
                  <w:vMerge w:val="continue"/>
                  <w:vAlign w:val="center"/>
                </w:tcPr>
                <w:p w14:paraId="79B11404">
                  <w:pPr>
                    <w:snapToGrid w:val="0"/>
                    <w:spacing w:line="240" w:lineRule="exact"/>
                    <w:jc w:val="center"/>
                    <w:rPr>
                      <w:rFonts w:eastAsia="新宋体"/>
                      <w:color w:val="000000" w:themeColor="text1"/>
                      <w:sz w:val="18"/>
                      <w:szCs w:val="18"/>
                      <w14:textFill>
                        <w14:solidFill>
                          <w14:schemeClr w14:val="tx1"/>
                        </w14:solidFill>
                      </w14:textFill>
                    </w:rPr>
                  </w:pPr>
                </w:p>
              </w:tc>
              <w:tc>
                <w:tcPr>
                  <w:tcW w:w="558" w:type="pct"/>
                  <w:vMerge w:val="continue"/>
                  <w:vAlign w:val="center"/>
                </w:tcPr>
                <w:p w14:paraId="1959D33E">
                  <w:pPr>
                    <w:snapToGrid w:val="0"/>
                    <w:spacing w:line="240" w:lineRule="exact"/>
                    <w:jc w:val="center"/>
                    <w:rPr>
                      <w:rFonts w:eastAsia="新宋体"/>
                      <w:color w:val="000000" w:themeColor="text1"/>
                      <w:sz w:val="18"/>
                      <w:szCs w:val="18"/>
                      <w14:textFill>
                        <w14:solidFill>
                          <w14:schemeClr w14:val="tx1"/>
                        </w14:solidFill>
                      </w14:textFill>
                    </w:rPr>
                  </w:pPr>
                </w:p>
              </w:tc>
              <w:tc>
                <w:tcPr>
                  <w:tcW w:w="419" w:type="pct"/>
                  <w:vMerge w:val="continue"/>
                  <w:vAlign w:val="center"/>
                </w:tcPr>
                <w:p w14:paraId="2609B9AE">
                  <w:pPr>
                    <w:snapToGrid w:val="0"/>
                    <w:spacing w:line="240" w:lineRule="exact"/>
                    <w:jc w:val="center"/>
                    <w:rPr>
                      <w:rFonts w:eastAsia="新宋体"/>
                      <w:color w:val="000000" w:themeColor="text1"/>
                      <w:sz w:val="18"/>
                      <w:szCs w:val="18"/>
                      <w14:textFill>
                        <w14:solidFill>
                          <w14:schemeClr w14:val="tx1"/>
                        </w14:solidFill>
                      </w14:textFill>
                    </w:rPr>
                  </w:pPr>
                </w:p>
              </w:tc>
              <w:tc>
                <w:tcPr>
                  <w:tcW w:w="459" w:type="pct"/>
                  <w:vMerge w:val="continue"/>
                  <w:vAlign w:val="center"/>
                </w:tcPr>
                <w:p w14:paraId="5E251EFA">
                  <w:pPr>
                    <w:snapToGrid w:val="0"/>
                    <w:spacing w:line="240" w:lineRule="exact"/>
                    <w:jc w:val="center"/>
                    <w:rPr>
                      <w:rFonts w:eastAsia="新宋体"/>
                      <w:color w:val="000000" w:themeColor="text1"/>
                      <w:sz w:val="18"/>
                      <w:szCs w:val="18"/>
                      <w14:textFill>
                        <w14:solidFill>
                          <w14:schemeClr w14:val="tx1"/>
                        </w14:solidFill>
                      </w14:textFill>
                    </w:rPr>
                  </w:pPr>
                </w:p>
              </w:tc>
              <w:tc>
                <w:tcPr>
                  <w:tcW w:w="749" w:type="pct"/>
                  <w:tcBorders>
                    <w:right w:val="single" w:color="auto" w:sz="4" w:space="0"/>
                  </w:tcBorders>
                  <w:shd w:val="clear" w:color="000000" w:fill="FFFFFF"/>
                  <w:vAlign w:val="center"/>
                </w:tcPr>
                <w:p w14:paraId="512243B2">
                  <w:pPr>
                    <w:snapToGrid w:val="0"/>
                    <w:spacing w:line="240" w:lineRule="exact"/>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PM</w:t>
                  </w:r>
                  <w:r>
                    <w:rPr>
                      <w:rFonts w:eastAsia="新宋体"/>
                      <w:color w:val="000000" w:themeColor="text1"/>
                      <w:sz w:val="18"/>
                      <w:szCs w:val="18"/>
                      <w:vertAlign w:val="subscript"/>
                      <w14:textFill>
                        <w14:solidFill>
                          <w14:schemeClr w14:val="tx1"/>
                        </w14:solidFill>
                      </w14:textFill>
                    </w:rPr>
                    <w:t>10</w:t>
                  </w:r>
                </w:p>
              </w:tc>
              <w:tc>
                <w:tcPr>
                  <w:tcW w:w="673" w:type="pct"/>
                  <w:tcBorders>
                    <w:left w:val="single" w:color="auto" w:sz="4" w:space="0"/>
                  </w:tcBorders>
                  <w:shd w:val="clear" w:color="000000" w:fill="FFFFFF"/>
                  <w:vAlign w:val="center"/>
                </w:tcPr>
                <w:p w14:paraId="2A8BEC91">
                  <w:pPr>
                    <w:snapToGrid w:val="0"/>
                    <w:spacing w:line="240" w:lineRule="exact"/>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PM</w:t>
                  </w:r>
                  <w:r>
                    <w:rPr>
                      <w:rFonts w:eastAsia="新宋体"/>
                      <w:color w:val="000000" w:themeColor="text1"/>
                      <w:sz w:val="18"/>
                      <w:szCs w:val="18"/>
                      <w:vertAlign w:val="subscript"/>
                      <w14:textFill>
                        <w14:solidFill>
                          <w14:schemeClr w14:val="tx1"/>
                        </w14:solidFill>
                      </w14:textFill>
                    </w:rPr>
                    <w:t>2.5</w:t>
                  </w:r>
                </w:p>
              </w:tc>
            </w:tr>
            <w:tr w14:paraId="49277F9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211" w:type="pct"/>
                  <w:vAlign w:val="center"/>
                </w:tcPr>
                <w:p w14:paraId="5DB5D82E">
                  <w:pPr>
                    <w:snapToGrid w:val="0"/>
                    <w:spacing w:line="240" w:lineRule="exact"/>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w:t>
                  </w:r>
                </w:p>
              </w:tc>
              <w:tc>
                <w:tcPr>
                  <w:tcW w:w="398" w:type="pct"/>
                  <w:vAlign w:val="center"/>
                </w:tcPr>
                <w:p w14:paraId="24334FE1">
                  <w:pPr>
                    <w:snapToGrid w:val="0"/>
                    <w:spacing w:line="240" w:lineRule="exact"/>
                    <w:jc w:val="center"/>
                    <w:rPr>
                      <w:rFonts w:eastAsia="新宋体"/>
                      <w:color w:val="000000" w:themeColor="text1"/>
                      <w:sz w:val="18"/>
                      <w:szCs w:val="18"/>
                      <w:lang w:bidi="ar"/>
                      <w14:textFill>
                        <w14:solidFill>
                          <w14:schemeClr w14:val="tx1"/>
                        </w14:solidFill>
                      </w14:textFill>
                    </w:rPr>
                  </w:pPr>
                  <w:r>
                    <w:rPr>
                      <w:rFonts w:hint="eastAsia" w:eastAsia="新宋体"/>
                      <w:color w:val="000000" w:themeColor="text1"/>
                      <w:sz w:val="18"/>
                      <w:szCs w:val="18"/>
                      <w14:textFill>
                        <w14:solidFill>
                          <w14:schemeClr w14:val="tx1"/>
                        </w14:solidFill>
                      </w14:textFill>
                    </w:rPr>
                    <w:t>工艺废气</w:t>
                  </w:r>
                </w:p>
              </w:tc>
              <w:tc>
                <w:tcPr>
                  <w:tcW w:w="581" w:type="pct"/>
                  <w:vAlign w:val="center"/>
                </w:tcPr>
                <w:p w14:paraId="5F8C252E">
                  <w:pPr>
                    <w:snapToGrid w:val="0"/>
                    <w:spacing w:line="240" w:lineRule="exact"/>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w:t>
                  </w:r>
                </w:p>
              </w:tc>
              <w:tc>
                <w:tcPr>
                  <w:tcW w:w="473" w:type="pct"/>
                  <w:vAlign w:val="center"/>
                </w:tcPr>
                <w:p w14:paraId="1E7B49A1">
                  <w:pPr>
                    <w:snapToGrid w:val="0"/>
                    <w:spacing w:line="240" w:lineRule="exact"/>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100</w:t>
                  </w:r>
                </w:p>
              </w:tc>
              <w:tc>
                <w:tcPr>
                  <w:tcW w:w="473" w:type="pct"/>
                  <w:vAlign w:val="center"/>
                </w:tcPr>
                <w:p w14:paraId="7AC458E3">
                  <w:pPr>
                    <w:snapToGrid w:val="0"/>
                    <w:spacing w:line="240" w:lineRule="exact"/>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100</w:t>
                  </w:r>
                </w:p>
              </w:tc>
              <w:tc>
                <w:tcPr>
                  <w:tcW w:w="558" w:type="pct"/>
                  <w:vAlign w:val="center"/>
                </w:tcPr>
                <w:p w14:paraId="5992ED88">
                  <w:pPr>
                    <w:snapToGrid w:val="0"/>
                    <w:spacing w:line="240" w:lineRule="exact"/>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5</w:t>
                  </w:r>
                </w:p>
              </w:tc>
              <w:tc>
                <w:tcPr>
                  <w:tcW w:w="419" w:type="pct"/>
                  <w:vAlign w:val="center"/>
                </w:tcPr>
                <w:p w14:paraId="74AF57FD">
                  <w:pPr>
                    <w:snapToGrid w:val="0"/>
                    <w:spacing w:line="240" w:lineRule="exact"/>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8</w:t>
                  </w:r>
                </w:p>
              </w:tc>
              <w:tc>
                <w:tcPr>
                  <w:tcW w:w="459" w:type="pct"/>
                  <w:vAlign w:val="center"/>
                </w:tcPr>
                <w:p w14:paraId="05CF8019">
                  <w:pPr>
                    <w:snapToGrid w:val="0"/>
                    <w:spacing w:line="240" w:lineRule="exact"/>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7200</w:t>
                  </w:r>
                </w:p>
              </w:tc>
              <w:tc>
                <w:tcPr>
                  <w:tcW w:w="749" w:type="pct"/>
                  <w:tcBorders>
                    <w:right w:val="single" w:color="auto" w:sz="4" w:space="0"/>
                  </w:tcBorders>
                  <w:shd w:val="clear" w:color="000000" w:fill="FFFFFF"/>
                  <w:vAlign w:val="center"/>
                </w:tcPr>
                <w:p w14:paraId="0471E3E0">
                  <w:pPr>
                    <w:snapToGrid w:val="0"/>
                    <w:spacing w:line="240" w:lineRule="exact"/>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0.162</w:t>
                  </w:r>
                </w:p>
              </w:tc>
              <w:tc>
                <w:tcPr>
                  <w:tcW w:w="673" w:type="pct"/>
                  <w:tcBorders>
                    <w:left w:val="single" w:color="auto" w:sz="4" w:space="0"/>
                  </w:tcBorders>
                  <w:shd w:val="clear" w:color="000000" w:fill="FFFFFF"/>
                  <w:vAlign w:val="center"/>
                </w:tcPr>
                <w:p w14:paraId="203FC2F9">
                  <w:pPr>
                    <w:snapToGrid w:val="0"/>
                    <w:spacing w:line="240" w:lineRule="exact"/>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0.081</w:t>
                  </w:r>
                </w:p>
              </w:tc>
            </w:tr>
          </w:tbl>
          <w:p w14:paraId="0B5648A8">
            <w:pPr>
              <w:spacing w:line="360" w:lineRule="auto"/>
              <w:ind w:firstLine="482" w:firstLineChars="200"/>
              <w:rPr>
                <w:b/>
                <w:color w:val="000000" w:themeColor="text1"/>
                <w:kern w:val="0"/>
                <w:sz w:val="24"/>
                <w:szCs w:val="21"/>
                <w14:textFill>
                  <w14:solidFill>
                    <w14:schemeClr w14:val="tx1"/>
                  </w14:solidFill>
                </w14:textFill>
              </w:rPr>
            </w:pPr>
            <w:r>
              <w:rPr>
                <w:rFonts w:hint="eastAsia"/>
                <w:b/>
                <w:bCs/>
                <w:color w:val="000000" w:themeColor="text1"/>
                <w:kern w:val="0"/>
                <w:sz w:val="24"/>
                <w:szCs w:val="21"/>
                <w14:textFill>
                  <w14:solidFill>
                    <w14:schemeClr w14:val="tx1"/>
                  </w14:solidFill>
                </w14:textFill>
              </w:rPr>
              <w:t>（2）估算模型</w:t>
            </w:r>
          </w:p>
          <w:p w14:paraId="082DFA20">
            <w:pPr>
              <w:spacing w:line="360" w:lineRule="auto"/>
              <w:ind w:firstLine="480" w:firstLineChars="200"/>
              <w:rPr>
                <w:bCs/>
                <w:color w:val="000000" w:themeColor="text1"/>
                <w:kern w:val="0"/>
                <w:sz w:val="24"/>
                <w:szCs w:val="21"/>
                <w14:textFill>
                  <w14:solidFill>
                    <w14:schemeClr w14:val="tx1"/>
                  </w14:solidFill>
                </w14:textFill>
              </w:rPr>
            </w:pPr>
            <w:r>
              <w:rPr>
                <w:bCs/>
                <w:color w:val="000000" w:themeColor="text1"/>
                <w:kern w:val="0"/>
                <w:sz w:val="24"/>
                <w:szCs w:val="21"/>
                <w14:textFill>
                  <w14:solidFill>
                    <w14:schemeClr w14:val="tx1"/>
                  </w14:solidFill>
                </w14:textFill>
              </w:rPr>
              <w:t>本次</w:t>
            </w:r>
            <w:r>
              <w:rPr>
                <w:rFonts w:hint="eastAsia"/>
                <w:bCs/>
                <w:color w:val="000000" w:themeColor="text1"/>
                <w:kern w:val="0"/>
                <w:sz w:val="24"/>
                <w:szCs w:val="21"/>
                <w14:textFill>
                  <w14:solidFill>
                    <w14:schemeClr w14:val="tx1"/>
                  </w14:solidFill>
                </w14:textFill>
              </w:rPr>
              <w:t>估算</w:t>
            </w:r>
            <w:r>
              <w:rPr>
                <w:bCs/>
                <w:color w:val="000000" w:themeColor="text1"/>
                <w:kern w:val="0"/>
                <w:sz w:val="24"/>
                <w:szCs w:val="21"/>
                <w14:textFill>
                  <w14:solidFill>
                    <w14:schemeClr w14:val="tx1"/>
                  </w14:solidFill>
                </w14:textFill>
              </w:rPr>
              <w:t>采用</w:t>
            </w:r>
            <w:r>
              <w:rPr>
                <w:rFonts w:hint="eastAsia"/>
                <w:bCs/>
                <w:color w:val="000000" w:themeColor="text1"/>
                <w:kern w:val="0"/>
                <w:sz w:val="24"/>
                <w:szCs w:val="21"/>
                <w14:textFill>
                  <w14:solidFill>
                    <w14:schemeClr w14:val="tx1"/>
                  </w14:solidFill>
                </w14:textFill>
              </w:rPr>
              <w:t>大气</w:t>
            </w:r>
            <w:r>
              <w:rPr>
                <w:bCs/>
                <w:color w:val="000000" w:themeColor="text1"/>
                <w:kern w:val="0"/>
                <w:sz w:val="24"/>
                <w:szCs w:val="21"/>
                <w14:textFill>
                  <w14:solidFill>
                    <w14:schemeClr w14:val="tx1"/>
                  </w14:solidFill>
                </w14:textFill>
              </w:rPr>
              <w:t>导则</w:t>
            </w:r>
            <w:r>
              <w:rPr>
                <w:rFonts w:hint="eastAsia"/>
                <w:bCs/>
                <w:color w:val="000000" w:themeColor="text1"/>
                <w:kern w:val="0"/>
                <w:sz w:val="24"/>
                <w:szCs w:val="21"/>
                <w14:textFill>
                  <w14:solidFill>
                    <w14:schemeClr w14:val="tx1"/>
                  </w14:solidFill>
                </w14:textFill>
              </w:rPr>
              <w:t>（2018年版）</w:t>
            </w:r>
            <w:r>
              <w:rPr>
                <w:bCs/>
                <w:color w:val="000000" w:themeColor="text1"/>
                <w:kern w:val="0"/>
                <w:sz w:val="24"/>
                <w:szCs w:val="21"/>
                <w14:textFill>
                  <w14:solidFill>
                    <w14:schemeClr w14:val="tx1"/>
                  </w14:solidFill>
                </w14:textFill>
              </w:rPr>
              <w:t>规定的AERSCREEN模型进行计算，估算模型参数见表</w:t>
            </w:r>
            <w:r>
              <w:rPr>
                <w:rFonts w:hint="eastAsia"/>
                <w:bCs/>
                <w:color w:val="000000" w:themeColor="text1"/>
                <w:kern w:val="0"/>
                <w:sz w:val="24"/>
                <w:szCs w:val="21"/>
                <w14:textFill>
                  <w14:solidFill>
                    <w14:schemeClr w14:val="tx1"/>
                  </w14:solidFill>
                </w14:textFill>
              </w:rPr>
              <w:t>4-8</w:t>
            </w:r>
            <w:r>
              <w:rPr>
                <w:bCs/>
                <w:color w:val="000000" w:themeColor="text1"/>
                <w:kern w:val="0"/>
                <w:sz w:val="24"/>
                <w:szCs w:val="21"/>
                <w14:textFill>
                  <w14:solidFill>
                    <w14:schemeClr w14:val="tx1"/>
                  </w14:solidFill>
                </w14:textFill>
              </w:rPr>
              <w:t>。</w:t>
            </w:r>
          </w:p>
          <w:p w14:paraId="66E14DBA">
            <w:pPr>
              <w:jc w:val="center"/>
              <w:rPr>
                <w:rFonts w:eastAsia="新宋体"/>
                <w:b/>
                <w:color w:val="000000" w:themeColor="text1"/>
                <w:kern w:val="18"/>
                <w:sz w:val="24"/>
                <w:szCs w:val="21"/>
                <w14:textFill>
                  <w14:solidFill>
                    <w14:schemeClr w14:val="tx1"/>
                  </w14:solidFill>
                </w14:textFill>
              </w:rPr>
            </w:pPr>
            <w:r>
              <w:rPr>
                <w:rFonts w:eastAsia="新宋体"/>
                <w:b/>
                <w:bCs/>
                <w:color w:val="000000" w:themeColor="text1"/>
                <w:kern w:val="18"/>
                <w:sz w:val="24"/>
                <w:szCs w:val="21"/>
                <w14:textFill>
                  <w14:solidFill>
                    <w14:schemeClr w14:val="tx1"/>
                  </w14:solidFill>
                </w14:textFill>
              </w:rPr>
              <w:t>表</w:t>
            </w:r>
            <w:r>
              <w:rPr>
                <w:rFonts w:hint="eastAsia" w:eastAsia="新宋体"/>
                <w:b/>
                <w:bCs/>
                <w:color w:val="000000" w:themeColor="text1"/>
                <w:kern w:val="18"/>
                <w:sz w:val="24"/>
                <w:szCs w:val="21"/>
                <w14:textFill>
                  <w14:solidFill>
                    <w14:schemeClr w14:val="tx1"/>
                  </w14:solidFill>
                </w14:textFill>
              </w:rPr>
              <w:t>4-8</w:t>
            </w:r>
            <w:r>
              <w:rPr>
                <w:rFonts w:eastAsia="新宋体"/>
                <w:b/>
                <w:bCs/>
                <w:color w:val="000000" w:themeColor="text1"/>
                <w:kern w:val="18"/>
                <w:sz w:val="24"/>
                <w:szCs w:val="21"/>
                <w14:textFill>
                  <w14:solidFill>
                    <w14:schemeClr w14:val="tx1"/>
                  </w14:solidFill>
                </w14:textFill>
              </w:rPr>
              <w:t xml:space="preserve">   估算模型参数表</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2988"/>
              <w:gridCol w:w="3996"/>
              <w:gridCol w:w="6625"/>
            </w:tblGrid>
            <w:tr w14:paraId="5BF407F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2566" w:type="pct"/>
                  <w:gridSpan w:val="2"/>
                  <w:shd w:val="clear" w:color="000000" w:fill="FFFFFF"/>
                  <w:vAlign w:val="center"/>
                </w:tcPr>
                <w:p w14:paraId="6C6FC9EF">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参数</w:t>
                  </w:r>
                </w:p>
              </w:tc>
              <w:tc>
                <w:tcPr>
                  <w:tcW w:w="2434" w:type="pct"/>
                  <w:shd w:val="clear" w:color="000000" w:fill="FFFFFF"/>
                  <w:vAlign w:val="center"/>
                </w:tcPr>
                <w:p w14:paraId="17A2CF36">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取值</w:t>
                  </w:r>
                </w:p>
              </w:tc>
            </w:tr>
            <w:tr w14:paraId="57B174F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1098" w:type="pct"/>
                  <w:vMerge w:val="restart"/>
                  <w:shd w:val="clear" w:color="000000" w:fill="FFFFFF"/>
                  <w:vAlign w:val="center"/>
                </w:tcPr>
                <w:p w14:paraId="3BE31F52">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城市/农村选项</w:t>
                  </w:r>
                </w:p>
              </w:tc>
              <w:tc>
                <w:tcPr>
                  <w:tcW w:w="1468" w:type="pct"/>
                  <w:shd w:val="clear" w:color="000000" w:fill="FFFFFF"/>
                  <w:vAlign w:val="center"/>
                </w:tcPr>
                <w:p w14:paraId="13355F4A">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城市/农村</w:t>
                  </w:r>
                </w:p>
              </w:tc>
              <w:tc>
                <w:tcPr>
                  <w:tcW w:w="2434" w:type="pct"/>
                  <w:shd w:val="clear" w:color="000000" w:fill="FFFFFF"/>
                  <w:vAlign w:val="center"/>
                </w:tcPr>
                <w:p w14:paraId="01954CD7">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城市</w:t>
                  </w:r>
                </w:p>
              </w:tc>
            </w:tr>
            <w:tr w14:paraId="5735982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1098" w:type="pct"/>
                  <w:vMerge w:val="continue"/>
                  <w:vAlign w:val="center"/>
                </w:tcPr>
                <w:p w14:paraId="4DE250E0">
                  <w:pPr>
                    <w:snapToGrid w:val="0"/>
                    <w:spacing w:line="240" w:lineRule="exact"/>
                    <w:jc w:val="center"/>
                    <w:rPr>
                      <w:rFonts w:eastAsia="新宋体"/>
                      <w:bCs/>
                      <w:color w:val="000000" w:themeColor="text1"/>
                      <w:kern w:val="0"/>
                      <w:sz w:val="18"/>
                      <w:szCs w:val="18"/>
                      <w14:textFill>
                        <w14:solidFill>
                          <w14:schemeClr w14:val="tx1"/>
                        </w14:solidFill>
                      </w14:textFill>
                    </w:rPr>
                  </w:pPr>
                </w:p>
              </w:tc>
              <w:tc>
                <w:tcPr>
                  <w:tcW w:w="1468" w:type="pct"/>
                  <w:shd w:val="clear" w:color="000000" w:fill="FFFFFF"/>
                  <w:vAlign w:val="center"/>
                </w:tcPr>
                <w:p w14:paraId="7E457870">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人口数（城市选项时）</w:t>
                  </w:r>
                </w:p>
              </w:tc>
              <w:tc>
                <w:tcPr>
                  <w:tcW w:w="2434" w:type="pct"/>
                  <w:shd w:val="clear" w:color="000000" w:fill="FFFFFF"/>
                  <w:vAlign w:val="center"/>
                </w:tcPr>
                <w:p w14:paraId="4A2A6370">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75.38</w:t>
                  </w:r>
                  <w:r>
                    <w:rPr>
                      <w:rFonts w:eastAsia="新宋体"/>
                      <w:bCs/>
                      <w:color w:val="000000" w:themeColor="text1"/>
                      <w:kern w:val="0"/>
                      <w:sz w:val="18"/>
                      <w:szCs w:val="18"/>
                      <w14:textFill>
                        <w14:solidFill>
                          <w14:schemeClr w14:val="tx1"/>
                        </w14:solidFill>
                      </w14:textFill>
                    </w:rPr>
                    <w:t>万（</w:t>
                  </w:r>
                  <w:r>
                    <w:rPr>
                      <w:rFonts w:hint="eastAsia" w:eastAsia="新宋体"/>
                      <w:bCs/>
                      <w:color w:val="000000" w:themeColor="text1"/>
                      <w:kern w:val="0"/>
                      <w:sz w:val="18"/>
                      <w:szCs w:val="18"/>
                      <w14:textFill>
                        <w14:solidFill>
                          <w14:schemeClr w14:val="tx1"/>
                        </w14:solidFill>
                      </w14:textFill>
                    </w:rPr>
                    <w:t>乐平市</w:t>
                  </w:r>
                  <w:r>
                    <w:rPr>
                      <w:rFonts w:eastAsia="新宋体"/>
                      <w:bCs/>
                      <w:color w:val="000000" w:themeColor="text1"/>
                      <w:kern w:val="0"/>
                      <w:sz w:val="18"/>
                      <w:szCs w:val="18"/>
                      <w14:textFill>
                        <w14:solidFill>
                          <w14:schemeClr w14:val="tx1"/>
                        </w14:solidFill>
                      </w14:textFill>
                    </w:rPr>
                    <w:t>）</w:t>
                  </w:r>
                </w:p>
              </w:tc>
            </w:tr>
            <w:tr w14:paraId="0D120F9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2566" w:type="pct"/>
                  <w:gridSpan w:val="2"/>
                  <w:shd w:val="clear" w:color="000000" w:fill="FFFFFF"/>
                  <w:vAlign w:val="center"/>
                </w:tcPr>
                <w:p w14:paraId="3E1BE40B">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最高环境温度/℃</w:t>
                  </w:r>
                </w:p>
              </w:tc>
              <w:tc>
                <w:tcPr>
                  <w:tcW w:w="2434" w:type="pct"/>
                  <w:shd w:val="clear" w:color="000000" w:fill="FFFFFF"/>
                  <w:vAlign w:val="center"/>
                </w:tcPr>
                <w:p w14:paraId="4F0850D6">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39.2</w:t>
                  </w:r>
                </w:p>
              </w:tc>
            </w:tr>
            <w:tr w14:paraId="6C7A33A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2566" w:type="pct"/>
                  <w:gridSpan w:val="2"/>
                  <w:shd w:val="clear" w:color="000000" w:fill="FFFFFF"/>
                  <w:vAlign w:val="center"/>
                </w:tcPr>
                <w:p w14:paraId="08ECD246">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最低环境温度/℃</w:t>
                  </w:r>
                </w:p>
              </w:tc>
              <w:tc>
                <w:tcPr>
                  <w:tcW w:w="2434" w:type="pct"/>
                  <w:shd w:val="clear" w:color="000000" w:fill="FFFFFF"/>
                  <w:vAlign w:val="center"/>
                </w:tcPr>
                <w:p w14:paraId="004B86AC">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w:t>
                  </w:r>
                  <w:r>
                    <w:rPr>
                      <w:rFonts w:hint="eastAsia" w:eastAsia="新宋体"/>
                      <w:bCs/>
                      <w:color w:val="000000" w:themeColor="text1"/>
                      <w:kern w:val="0"/>
                      <w:sz w:val="18"/>
                      <w:szCs w:val="18"/>
                      <w14:textFill>
                        <w14:solidFill>
                          <w14:schemeClr w14:val="tx1"/>
                        </w14:solidFill>
                      </w14:textFill>
                    </w:rPr>
                    <w:t>2.6</w:t>
                  </w:r>
                </w:p>
              </w:tc>
            </w:tr>
            <w:tr w14:paraId="6032FA3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2566" w:type="pct"/>
                  <w:gridSpan w:val="2"/>
                  <w:shd w:val="clear" w:color="000000" w:fill="FFFFFF"/>
                  <w:vAlign w:val="center"/>
                </w:tcPr>
                <w:p w14:paraId="271C45DE">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土地利用类型</w:t>
                  </w:r>
                </w:p>
              </w:tc>
              <w:tc>
                <w:tcPr>
                  <w:tcW w:w="2434" w:type="pct"/>
                  <w:shd w:val="clear" w:color="000000" w:fill="FFFFFF"/>
                  <w:vAlign w:val="center"/>
                </w:tcPr>
                <w:p w14:paraId="02B1205B">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城市</w:t>
                  </w:r>
                </w:p>
              </w:tc>
            </w:tr>
            <w:tr w14:paraId="4BBFE68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2566" w:type="pct"/>
                  <w:gridSpan w:val="2"/>
                  <w:shd w:val="clear" w:color="000000" w:fill="FFFFFF"/>
                  <w:vAlign w:val="center"/>
                </w:tcPr>
                <w:p w14:paraId="1EB5911C">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区域湿度条件</w:t>
                  </w:r>
                </w:p>
              </w:tc>
              <w:tc>
                <w:tcPr>
                  <w:tcW w:w="2434" w:type="pct"/>
                  <w:shd w:val="clear" w:color="000000" w:fill="FFFFFF"/>
                  <w:vAlign w:val="center"/>
                </w:tcPr>
                <w:p w14:paraId="368C9F16">
                  <w:pPr>
                    <w:snapToGrid w:val="0"/>
                    <w:spacing w:line="240" w:lineRule="exact"/>
                    <w:jc w:val="center"/>
                    <w:rPr>
                      <w:rFonts w:eastAsia="新宋体"/>
                      <w:bCs/>
                      <w:color w:val="000000" w:themeColor="text1"/>
                      <w:kern w:val="0"/>
                      <w:sz w:val="18"/>
                      <w:szCs w:val="18"/>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"https://baike.baidu.com/item/%E4%BA%9A%E7%83%AD%E5%B8%A6%E6%B9%BF%E6%B6%A6%E5%AD%A3%E9%A3%8E%E6%B0%94%E5%80%99" \t "_blank" </w:instrText>
                  </w:r>
                  <w:r>
                    <w:rPr>
                      <w:color w:val="000000" w:themeColor="text1"/>
                      <w14:textFill>
                        <w14:solidFill>
                          <w14:schemeClr w14:val="tx1"/>
                        </w14:solidFill>
                      </w14:textFill>
                    </w:rPr>
                    <w:fldChar w:fldCharType="separate"/>
                  </w:r>
                  <w:r>
                    <w:rPr>
                      <w:rFonts w:eastAsia="新宋体"/>
                      <w:bCs/>
                      <w:color w:val="000000" w:themeColor="text1"/>
                      <w:kern w:val="0"/>
                      <w:sz w:val="18"/>
                      <w:szCs w:val="18"/>
                      <w14:textFill>
                        <w14:solidFill>
                          <w14:schemeClr w14:val="tx1"/>
                        </w14:solidFill>
                      </w14:textFill>
                    </w:rPr>
                    <w:t>潮湿气候</w:t>
                  </w:r>
                  <w:r>
                    <w:rPr>
                      <w:rFonts w:eastAsia="新宋体"/>
                      <w:bCs/>
                      <w:color w:val="000000" w:themeColor="text1"/>
                      <w:kern w:val="0"/>
                      <w:sz w:val="18"/>
                      <w:szCs w:val="18"/>
                      <w14:textFill>
                        <w14:solidFill>
                          <w14:schemeClr w14:val="tx1"/>
                        </w14:solidFill>
                      </w14:textFill>
                    </w:rPr>
                    <w:fldChar w:fldCharType="end"/>
                  </w:r>
                </w:p>
              </w:tc>
            </w:tr>
            <w:tr w14:paraId="3C24797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2566" w:type="pct"/>
                  <w:gridSpan w:val="2"/>
                  <w:shd w:val="clear" w:color="000000" w:fill="FFFFFF"/>
                  <w:vAlign w:val="center"/>
                </w:tcPr>
                <w:p w14:paraId="1BFAE910">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地形数据分辨率</w:t>
                  </w:r>
                </w:p>
              </w:tc>
              <w:tc>
                <w:tcPr>
                  <w:tcW w:w="2434" w:type="pct"/>
                  <w:shd w:val="clear" w:color="000000" w:fill="FFFFFF"/>
                  <w:vAlign w:val="center"/>
                </w:tcPr>
                <w:p w14:paraId="03CBCA81">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报告表不考虑地形</w:t>
                  </w:r>
                </w:p>
              </w:tc>
            </w:tr>
            <w:tr w14:paraId="3A22116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1098" w:type="pct"/>
                  <w:vMerge w:val="restart"/>
                  <w:shd w:val="clear" w:color="000000" w:fill="FFFFFF"/>
                  <w:vAlign w:val="center"/>
                </w:tcPr>
                <w:p w14:paraId="5E550327">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是否考虑海岸线熏烟</w:t>
                  </w:r>
                </w:p>
              </w:tc>
              <w:tc>
                <w:tcPr>
                  <w:tcW w:w="1468" w:type="pct"/>
                  <w:shd w:val="clear" w:color="000000" w:fill="FFFFFF"/>
                  <w:vAlign w:val="center"/>
                </w:tcPr>
                <w:p w14:paraId="7E66D418">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是/否</w:t>
                  </w:r>
                </w:p>
              </w:tc>
              <w:tc>
                <w:tcPr>
                  <w:tcW w:w="2434" w:type="pct"/>
                  <w:shd w:val="clear" w:color="000000" w:fill="FFFFFF"/>
                  <w:vAlign w:val="center"/>
                </w:tcPr>
                <w:p w14:paraId="49E39042">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否</w:t>
                  </w:r>
                </w:p>
              </w:tc>
            </w:tr>
            <w:tr w14:paraId="42790F0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1098" w:type="pct"/>
                  <w:vMerge w:val="restart"/>
                  <w:shd w:val="clear" w:color="000000" w:fill="FFFFFF"/>
                  <w:vAlign w:val="center"/>
                </w:tcPr>
                <w:p w14:paraId="4802D664">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是否考虑海岸线熏烟</w:t>
                  </w:r>
                </w:p>
              </w:tc>
              <w:tc>
                <w:tcPr>
                  <w:tcW w:w="1468" w:type="pct"/>
                  <w:shd w:val="clear" w:color="000000" w:fill="FFFFFF"/>
                  <w:vAlign w:val="center"/>
                </w:tcPr>
                <w:p w14:paraId="2FE78DBA">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是/否</w:t>
                  </w:r>
                </w:p>
              </w:tc>
              <w:tc>
                <w:tcPr>
                  <w:tcW w:w="2434" w:type="pct"/>
                  <w:shd w:val="clear" w:color="000000" w:fill="FFFFFF"/>
                  <w:vAlign w:val="center"/>
                </w:tcPr>
                <w:p w14:paraId="6134D26A">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否</w:t>
                  </w:r>
                </w:p>
              </w:tc>
            </w:tr>
            <w:tr w14:paraId="6731E32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1098" w:type="pct"/>
                  <w:vMerge w:val="continue"/>
                  <w:vAlign w:val="center"/>
                </w:tcPr>
                <w:p w14:paraId="3942C701">
                  <w:pPr>
                    <w:snapToGrid w:val="0"/>
                    <w:spacing w:line="240" w:lineRule="exact"/>
                    <w:jc w:val="center"/>
                    <w:rPr>
                      <w:rFonts w:eastAsia="新宋体"/>
                      <w:bCs/>
                      <w:color w:val="000000" w:themeColor="text1"/>
                      <w:kern w:val="0"/>
                      <w:sz w:val="18"/>
                      <w:szCs w:val="18"/>
                      <w14:textFill>
                        <w14:solidFill>
                          <w14:schemeClr w14:val="tx1"/>
                        </w14:solidFill>
                      </w14:textFill>
                    </w:rPr>
                  </w:pPr>
                </w:p>
              </w:tc>
              <w:tc>
                <w:tcPr>
                  <w:tcW w:w="1468" w:type="pct"/>
                  <w:shd w:val="clear" w:color="000000" w:fill="FFFFFF"/>
                  <w:vAlign w:val="center"/>
                </w:tcPr>
                <w:p w14:paraId="51D93912">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海岸线距离/m</w:t>
                  </w:r>
                </w:p>
              </w:tc>
              <w:tc>
                <w:tcPr>
                  <w:tcW w:w="2434" w:type="pct"/>
                  <w:shd w:val="clear" w:color="000000" w:fill="FFFFFF"/>
                  <w:vAlign w:val="center"/>
                </w:tcPr>
                <w:p w14:paraId="156F3ADD">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w:t>
                  </w:r>
                </w:p>
              </w:tc>
            </w:tr>
            <w:tr w14:paraId="5F8EDAE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1098" w:type="pct"/>
                  <w:vMerge w:val="continue"/>
                  <w:vAlign w:val="center"/>
                </w:tcPr>
                <w:p w14:paraId="7FE4828B">
                  <w:pPr>
                    <w:snapToGrid w:val="0"/>
                    <w:spacing w:line="240" w:lineRule="exact"/>
                    <w:jc w:val="center"/>
                    <w:rPr>
                      <w:rFonts w:eastAsia="新宋体"/>
                      <w:bCs/>
                      <w:color w:val="000000" w:themeColor="text1"/>
                      <w:kern w:val="0"/>
                      <w:sz w:val="18"/>
                      <w:szCs w:val="18"/>
                      <w14:textFill>
                        <w14:solidFill>
                          <w14:schemeClr w14:val="tx1"/>
                        </w14:solidFill>
                      </w14:textFill>
                    </w:rPr>
                  </w:pPr>
                </w:p>
              </w:tc>
              <w:tc>
                <w:tcPr>
                  <w:tcW w:w="1468" w:type="pct"/>
                  <w:shd w:val="clear" w:color="000000" w:fill="FFFFFF"/>
                  <w:vAlign w:val="center"/>
                </w:tcPr>
                <w:p w14:paraId="7C7108DA">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海岸线方向/°</w:t>
                  </w:r>
                </w:p>
              </w:tc>
              <w:tc>
                <w:tcPr>
                  <w:tcW w:w="2434" w:type="pct"/>
                  <w:shd w:val="clear" w:color="000000" w:fill="FFFFFF"/>
                  <w:vAlign w:val="center"/>
                </w:tcPr>
                <w:p w14:paraId="176D84DD">
                  <w:pPr>
                    <w:snapToGrid w:val="0"/>
                    <w:spacing w:line="240" w:lineRule="exact"/>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w:t>
                  </w:r>
                </w:p>
              </w:tc>
            </w:tr>
          </w:tbl>
          <w:p w14:paraId="0670370C">
            <w:pPr>
              <w:spacing w:line="360" w:lineRule="auto"/>
              <w:ind w:firstLine="480" w:firstLineChars="200"/>
              <w:rPr>
                <w:rFonts w:eastAsia="新宋体"/>
                <w:bCs/>
                <w:color w:val="000000" w:themeColor="text1"/>
                <w:kern w:val="18"/>
                <w:sz w:val="24"/>
                <w:szCs w:val="21"/>
                <w14:textFill>
                  <w14:solidFill>
                    <w14:schemeClr w14:val="tx1"/>
                  </w14:solidFill>
                </w14:textFill>
              </w:rPr>
            </w:pPr>
            <w:r>
              <w:rPr>
                <w:rFonts w:eastAsia="新宋体"/>
                <w:bCs/>
                <w:color w:val="000000" w:themeColor="text1"/>
                <w:kern w:val="18"/>
                <w:sz w:val="24"/>
                <w:szCs w:val="21"/>
                <w14:textFill>
                  <w14:solidFill>
                    <w14:schemeClr w14:val="tx1"/>
                  </w14:solidFill>
                </w14:textFill>
              </w:rPr>
              <w:t>经计算，项目</w:t>
            </w:r>
            <w:r>
              <w:rPr>
                <w:rFonts w:hint="eastAsia" w:eastAsia="新宋体"/>
                <w:bCs/>
                <w:color w:val="000000" w:themeColor="text1"/>
                <w:kern w:val="18"/>
                <w:sz w:val="24"/>
                <w:szCs w:val="21"/>
                <w14:textFill>
                  <w14:solidFill>
                    <w14:schemeClr w14:val="tx1"/>
                  </w14:solidFill>
                </w14:textFill>
              </w:rPr>
              <w:t>无组织废气</w:t>
            </w:r>
            <w:r>
              <w:rPr>
                <w:rFonts w:eastAsia="新宋体"/>
                <w:bCs/>
                <w:color w:val="000000" w:themeColor="text1"/>
                <w:kern w:val="18"/>
                <w:sz w:val="24"/>
                <w:szCs w:val="21"/>
                <w14:textFill>
                  <w14:solidFill>
                    <w14:schemeClr w14:val="tx1"/>
                  </w14:solidFill>
                </w14:textFill>
              </w:rPr>
              <w:t>环境影响预测结果见表</w:t>
            </w:r>
            <w:r>
              <w:rPr>
                <w:rFonts w:hint="eastAsia" w:eastAsia="新宋体"/>
                <w:bCs/>
                <w:color w:val="000000" w:themeColor="text1"/>
                <w:kern w:val="18"/>
                <w:sz w:val="24"/>
                <w:szCs w:val="21"/>
                <w14:textFill>
                  <w14:solidFill>
                    <w14:schemeClr w14:val="tx1"/>
                  </w14:solidFill>
                </w14:textFill>
              </w:rPr>
              <w:t>4-9</w:t>
            </w:r>
            <w:r>
              <w:rPr>
                <w:rFonts w:eastAsia="新宋体"/>
                <w:bCs/>
                <w:color w:val="000000" w:themeColor="text1"/>
                <w:kern w:val="18"/>
                <w:sz w:val="24"/>
                <w:szCs w:val="21"/>
                <w14:textFill>
                  <w14:solidFill>
                    <w14:schemeClr w14:val="tx1"/>
                  </w14:solidFill>
                </w14:textFill>
              </w:rPr>
              <w:t>。</w:t>
            </w:r>
          </w:p>
          <w:p w14:paraId="19FC6F26">
            <w:pPr>
              <w:jc w:val="center"/>
              <w:rPr>
                <w:rFonts w:eastAsia="新宋体"/>
                <w:b/>
                <w:color w:val="000000" w:themeColor="text1"/>
                <w:kern w:val="18"/>
                <w:sz w:val="24"/>
                <w:szCs w:val="21"/>
                <w14:textFill>
                  <w14:solidFill>
                    <w14:schemeClr w14:val="tx1"/>
                  </w14:solidFill>
                </w14:textFill>
              </w:rPr>
            </w:pPr>
            <w:r>
              <w:rPr>
                <w:rFonts w:eastAsia="新宋体"/>
                <w:b/>
                <w:bCs/>
                <w:color w:val="000000" w:themeColor="text1"/>
                <w:kern w:val="18"/>
                <w:sz w:val="24"/>
                <w:szCs w:val="21"/>
                <w14:textFill>
                  <w14:solidFill>
                    <w14:schemeClr w14:val="tx1"/>
                  </w14:solidFill>
                </w14:textFill>
              </w:rPr>
              <w:t>表</w:t>
            </w:r>
            <w:r>
              <w:rPr>
                <w:rFonts w:hint="eastAsia" w:eastAsia="新宋体"/>
                <w:b/>
                <w:bCs/>
                <w:color w:val="000000" w:themeColor="text1"/>
                <w:kern w:val="18"/>
                <w:sz w:val="24"/>
                <w:szCs w:val="21"/>
                <w14:textFill>
                  <w14:solidFill>
                    <w14:schemeClr w14:val="tx1"/>
                  </w14:solidFill>
                </w14:textFill>
              </w:rPr>
              <w:t>4-9</w:t>
            </w:r>
            <w:r>
              <w:rPr>
                <w:rFonts w:eastAsia="新宋体"/>
                <w:b/>
                <w:bCs/>
                <w:color w:val="000000" w:themeColor="text1"/>
                <w:kern w:val="18"/>
                <w:sz w:val="24"/>
                <w:szCs w:val="21"/>
                <w14:textFill>
                  <w14:solidFill>
                    <w14:schemeClr w14:val="tx1"/>
                  </w14:solidFill>
                </w14:textFill>
              </w:rPr>
              <w:t xml:space="preserve">   估算模式计算结果</w:t>
            </w:r>
            <w:r>
              <w:rPr>
                <w:rFonts w:hint="eastAsia" w:eastAsia="新宋体"/>
                <w:b/>
                <w:bCs/>
                <w:color w:val="000000" w:themeColor="text1"/>
                <w:kern w:val="18"/>
                <w:sz w:val="24"/>
                <w:szCs w:val="21"/>
                <w14:textFill>
                  <w14:solidFill>
                    <w14:schemeClr w14:val="tx1"/>
                  </w14:solidFill>
                </w14:textFill>
              </w:rPr>
              <w:t>（无组织废气）</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5797"/>
              <w:gridCol w:w="2558"/>
              <w:gridCol w:w="1532"/>
              <w:gridCol w:w="1876"/>
              <w:gridCol w:w="1846"/>
            </w:tblGrid>
            <w:tr w14:paraId="389D73D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30" w:type="pct"/>
                  <w:vMerge w:val="restart"/>
                  <w:vAlign w:val="center"/>
                </w:tcPr>
                <w:p w14:paraId="0440C998">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下风向距离/m</w:t>
                  </w:r>
                </w:p>
              </w:tc>
              <w:tc>
                <w:tcPr>
                  <w:tcW w:w="1503" w:type="pct"/>
                  <w:gridSpan w:val="2"/>
                  <w:vAlign w:val="center"/>
                </w:tcPr>
                <w:p w14:paraId="448275F4">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PM10</w:t>
                  </w:r>
                </w:p>
              </w:tc>
              <w:tc>
                <w:tcPr>
                  <w:tcW w:w="1367" w:type="pct"/>
                  <w:gridSpan w:val="2"/>
                  <w:vAlign w:val="center"/>
                </w:tcPr>
                <w:p w14:paraId="5BF3F226">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PM2.5</w:t>
                  </w:r>
                </w:p>
              </w:tc>
            </w:tr>
            <w:tr w14:paraId="339091A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30" w:type="pct"/>
                  <w:vMerge w:val="continue"/>
                  <w:vAlign w:val="center"/>
                </w:tcPr>
                <w:p w14:paraId="0B720FB8">
                  <w:pPr>
                    <w:jc w:val="center"/>
                    <w:rPr>
                      <w:rFonts w:eastAsia="新宋体"/>
                      <w:bCs/>
                      <w:color w:val="000000" w:themeColor="text1"/>
                      <w:kern w:val="0"/>
                      <w:sz w:val="18"/>
                      <w:szCs w:val="18"/>
                      <w14:textFill>
                        <w14:solidFill>
                          <w14:schemeClr w14:val="tx1"/>
                        </w14:solidFill>
                      </w14:textFill>
                    </w:rPr>
                  </w:pPr>
                </w:p>
              </w:tc>
              <w:tc>
                <w:tcPr>
                  <w:tcW w:w="940" w:type="pct"/>
                  <w:vAlign w:val="center"/>
                </w:tcPr>
                <w:p w14:paraId="31D1CF0D">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预测浓度/</w:t>
                  </w:r>
                  <w:r>
                    <w:rPr>
                      <w:rFonts w:hint="eastAsia" w:eastAsia="新宋体"/>
                      <w:bCs/>
                      <w:color w:val="000000" w:themeColor="text1"/>
                      <w:kern w:val="0"/>
                      <w:sz w:val="18"/>
                      <w:szCs w:val="18"/>
                      <w14:textFill>
                        <w14:solidFill>
                          <w14:schemeClr w14:val="tx1"/>
                        </w14:solidFill>
                      </w14:textFill>
                    </w:rPr>
                    <w:t>m</w:t>
                  </w:r>
                  <w:r>
                    <w:rPr>
                      <w:rFonts w:eastAsia="新宋体"/>
                      <w:bCs/>
                      <w:color w:val="000000" w:themeColor="text1"/>
                      <w:kern w:val="0"/>
                      <w:sz w:val="18"/>
                      <w:szCs w:val="18"/>
                      <w14:textFill>
                        <w14:solidFill>
                          <w14:schemeClr w14:val="tx1"/>
                        </w14:solidFill>
                      </w14:textFill>
                    </w:rPr>
                    <w:t>g/m</w:t>
                  </w:r>
                  <w:r>
                    <w:rPr>
                      <w:rFonts w:eastAsia="新宋体"/>
                      <w:bCs/>
                      <w:color w:val="000000" w:themeColor="text1"/>
                      <w:kern w:val="0"/>
                      <w:sz w:val="18"/>
                      <w:szCs w:val="18"/>
                      <w:vertAlign w:val="superscript"/>
                      <w14:textFill>
                        <w14:solidFill>
                          <w14:schemeClr w14:val="tx1"/>
                        </w14:solidFill>
                      </w14:textFill>
                    </w:rPr>
                    <w:t>3</w:t>
                  </w:r>
                </w:p>
              </w:tc>
              <w:tc>
                <w:tcPr>
                  <w:tcW w:w="563" w:type="pct"/>
                  <w:vAlign w:val="center"/>
                </w:tcPr>
                <w:p w14:paraId="5900EAF5">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占标率/%</w:t>
                  </w:r>
                </w:p>
              </w:tc>
              <w:tc>
                <w:tcPr>
                  <w:tcW w:w="689" w:type="pct"/>
                  <w:vAlign w:val="center"/>
                </w:tcPr>
                <w:p w14:paraId="13428C8D">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预测浓度/</w:t>
                  </w:r>
                  <w:r>
                    <w:rPr>
                      <w:rFonts w:hint="eastAsia" w:eastAsia="新宋体"/>
                      <w:bCs/>
                      <w:color w:val="000000" w:themeColor="text1"/>
                      <w:kern w:val="0"/>
                      <w:sz w:val="18"/>
                      <w:szCs w:val="18"/>
                      <w14:textFill>
                        <w14:solidFill>
                          <w14:schemeClr w14:val="tx1"/>
                        </w14:solidFill>
                      </w14:textFill>
                    </w:rPr>
                    <w:t>m</w:t>
                  </w:r>
                  <w:r>
                    <w:rPr>
                      <w:rFonts w:eastAsia="新宋体"/>
                      <w:bCs/>
                      <w:color w:val="000000" w:themeColor="text1"/>
                      <w:kern w:val="0"/>
                      <w:sz w:val="18"/>
                      <w:szCs w:val="18"/>
                      <w14:textFill>
                        <w14:solidFill>
                          <w14:schemeClr w14:val="tx1"/>
                        </w14:solidFill>
                      </w14:textFill>
                    </w:rPr>
                    <w:t>g/m</w:t>
                  </w:r>
                  <w:r>
                    <w:rPr>
                      <w:rFonts w:eastAsia="新宋体"/>
                      <w:bCs/>
                      <w:color w:val="000000" w:themeColor="text1"/>
                      <w:kern w:val="0"/>
                      <w:sz w:val="18"/>
                      <w:szCs w:val="18"/>
                      <w:vertAlign w:val="superscript"/>
                      <w14:textFill>
                        <w14:solidFill>
                          <w14:schemeClr w14:val="tx1"/>
                        </w14:solidFill>
                      </w14:textFill>
                    </w:rPr>
                    <w:t>3</w:t>
                  </w:r>
                </w:p>
              </w:tc>
              <w:tc>
                <w:tcPr>
                  <w:tcW w:w="678" w:type="pct"/>
                  <w:vAlign w:val="center"/>
                </w:tcPr>
                <w:p w14:paraId="7B16C500">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占标率/%</w:t>
                  </w:r>
                </w:p>
              </w:tc>
            </w:tr>
            <w:tr w14:paraId="2418A40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30" w:type="pct"/>
                  <w:vAlign w:val="center"/>
                </w:tcPr>
                <w:p w14:paraId="4C3088DC">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10</w:t>
                  </w:r>
                </w:p>
              </w:tc>
              <w:tc>
                <w:tcPr>
                  <w:tcW w:w="940" w:type="pct"/>
                  <w:vAlign w:val="center"/>
                </w:tcPr>
                <w:p w14:paraId="7CFF4DEA">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0.012</w:t>
                  </w:r>
                </w:p>
              </w:tc>
              <w:tc>
                <w:tcPr>
                  <w:tcW w:w="563" w:type="pct"/>
                  <w:vAlign w:val="center"/>
                </w:tcPr>
                <w:p w14:paraId="695CFCB9">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2.74</w:t>
                  </w:r>
                </w:p>
              </w:tc>
              <w:tc>
                <w:tcPr>
                  <w:tcW w:w="689" w:type="pct"/>
                  <w:noWrap/>
                  <w:vAlign w:val="center"/>
                </w:tcPr>
                <w:p w14:paraId="2F5822A5">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0.006</w:t>
                  </w:r>
                </w:p>
              </w:tc>
              <w:tc>
                <w:tcPr>
                  <w:tcW w:w="678" w:type="pct"/>
                  <w:noWrap/>
                  <w:vAlign w:val="center"/>
                </w:tcPr>
                <w:p w14:paraId="6335DAD2">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2.74</w:t>
                  </w:r>
                </w:p>
              </w:tc>
            </w:tr>
            <w:tr w14:paraId="60F8BD6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30" w:type="pct"/>
                  <w:vAlign w:val="center"/>
                </w:tcPr>
                <w:p w14:paraId="605A4091">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50</w:t>
                  </w:r>
                </w:p>
              </w:tc>
              <w:tc>
                <w:tcPr>
                  <w:tcW w:w="940" w:type="pct"/>
                  <w:vAlign w:val="center"/>
                </w:tcPr>
                <w:p w14:paraId="016BDD36">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0.020</w:t>
                  </w:r>
                </w:p>
              </w:tc>
              <w:tc>
                <w:tcPr>
                  <w:tcW w:w="563" w:type="pct"/>
                  <w:vAlign w:val="center"/>
                </w:tcPr>
                <w:p w14:paraId="22120EA0">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4.34</w:t>
                  </w:r>
                </w:p>
              </w:tc>
              <w:tc>
                <w:tcPr>
                  <w:tcW w:w="689" w:type="pct"/>
                  <w:noWrap/>
                  <w:vAlign w:val="center"/>
                </w:tcPr>
                <w:p w14:paraId="29C7D7D6">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0.010</w:t>
                  </w:r>
                </w:p>
              </w:tc>
              <w:tc>
                <w:tcPr>
                  <w:tcW w:w="678" w:type="pct"/>
                  <w:noWrap/>
                  <w:vAlign w:val="center"/>
                </w:tcPr>
                <w:p w14:paraId="72AFE533">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4.34</w:t>
                  </w:r>
                </w:p>
              </w:tc>
            </w:tr>
            <w:tr w14:paraId="48BAA9B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30" w:type="pct"/>
                  <w:vAlign w:val="center"/>
                </w:tcPr>
                <w:p w14:paraId="418772AF">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100</w:t>
                  </w:r>
                </w:p>
              </w:tc>
              <w:tc>
                <w:tcPr>
                  <w:tcW w:w="940" w:type="pct"/>
                  <w:vAlign w:val="center"/>
                </w:tcPr>
                <w:p w14:paraId="044781FD">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0.027</w:t>
                  </w:r>
                </w:p>
              </w:tc>
              <w:tc>
                <w:tcPr>
                  <w:tcW w:w="563" w:type="pct"/>
                  <w:vAlign w:val="center"/>
                </w:tcPr>
                <w:p w14:paraId="4652754A">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6.02</w:t>
                  </w:r>
                </w:p>
              </w:tc>
              <w:tc>
                <w:tcPr>
                  <w:tcW w:w="689" w:type="pct"/>
                  <w:noWrap/>
                  <w:vAlign w:val="center"/>
                </w:tcPr>
                <w:p w14:paraId="646A826E">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0.013</w:t>
                  </w:r>
                </w:p>
              </w:tc>
              <w:tc>
                <w:tcPr>
                  <w:tcW w:w="678" w:type="pct"/>
                  <w:noWrap/>
                  <w:vAlign w:val="center"/>
                </w:tcPr>
                <w:p w14:paraId="651A9B0A">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6.02</w:t>
                  </w:r>
                </w:p>
              </w:tc>
            </w:tr>
            <w:tr w14:paraId="0E2D8EB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30" w:type="pct"/>
                  <w:vAlign w:val="center"/>
                </w:tcPr>
                <w:p w14:paraId="3C0ED96E">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500</w:t>
                  </w:r>
                </w:p>
              </w:tc>
              <w:tc>
                <w:tcPr>
                  <w:tcW w:w="940" w:type="pct"/>
                  <w:vAlign w:val="center"/>
                </w:tcPr>
                <w:p w14:paraId="20B83105">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0.008</w:t>
                  </w:r>
                </w:p>
              </w:tc>
              <w:tc>
                <w:tcPr>
                  <w:tcW w:w="563" w:type="pct"/>
                  <w:vAlign w:val="center"/>
                </w:tcPr>
                <w:p w14:paraId="553D6169">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1.76</w:t>
                  </w:r>
                </w:p>
              </w:tc>
              <w:tc>
                <w:tcPr>
                  <w:tcW w:w="689" w:type="pct"/>
                  <w:noWrap/>
                  <w:vAlign w:val="center"/>
                </w:tcPr>
                <w:p w14:paraId="2ECED5C2">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0.004</w:t>
                  </w:r>
                </w:p>
              </w:tc>
              <w:tc>
                <w:tcPr>
                  <w:tcW w:w="678" w:type="pct"/>
                  <w:noWrap/>
                  <w:vAlign w:val="center"/>
                </w:tcPr>
                <w:p w14:paraId="4FEB3A6F">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1.76</w:t>
                  </w:r>
                </w:p>
              </w:tc>
            </w:tr>
            <w:tr w14:paraId="44E5F78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30" w:type="pct"/>
                  <w:vAlign w:val="center"/>
                </w:tcPr>
                <w:p w14:paraId="04C7D207">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1000</w:t>
                  </w:r>
                </w:p>
              </w:tc>
              <w:tc>
                <w:tcPr>
                  <w:tcW w:w="940" w:type="pct"/>
                  <w:vAlign w:val="center"/>
                </w:tcPr>
                <w:p w14:paraId="00D11317">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0.003</w:t>
                  </w:r>
                </w:p>
              </w:tc>
              <w:tc>
                <w:tcPr>
                  <w:tcW w:w="563" w:type="pct"/>
                  <w:vAlign w:val="center"/>
                </w:tcPr>
                <w:p w14:paraId="6FD603D6">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0.64</w:t>
                  </w:r>
                </w:p>
              </w:tc>
              <w:tc>
                <w:tcPr>
                  <w:tcW w:w="689" w:type="pct"/>
                  <w:noWrap/>
                  <w:vAlign w:val="center"/>
                </w:tcPr>
                <w:p w14:paraId="005E2893">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0.001</w:t>
                  </w:r>
                </w:p>
              </w:tc>
              <w:tc>
                <w:tcPr>
                  <w:tcW w:w="678" w:type="pct"/>
                  <w:noWrap/>
                  <w:vAlign w:val="center"/>
                </w:tcPr>
                <w:p w14:paraId="374749C6">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0.64</w:t>
                  </w:r>
                </w:p>
              </w:tc>
            </w:tr>
            <w:tr w14:paraId="0E86D5D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30" w:type="pct"/>
                  <w:vAlign w:val="center"/>
                </w:tcPr>
                <w:p w14:paraId="455548DC">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1500</w:t>
                  </w:r>
                </w:p>
              </w:tc>
              <w:tc>
                <w:tcPr>
                  <w:tcW w:w="940" w:type="pct"/>
                  <w:vAlign w:val="center"/>
                </w:tcPr>
                <w:p w14:paraId="73D90BD1">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0.002</w:t>
                  </w:r>
                </w:p>
              </w:tc>
              <w:tc>
                <w:tcPr>
                  <w:tcW w:w="563" w:type="pct"/>
                  <w:vAlign w:val="center"/>
                </w:tcPr>
                <w:p w14:paraId="68A74058">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0.36</w:t>
                  </w:r>
                </w:p>
              </w:tc>
              <w:tc>
                <w:tcPr>
                  <w:tcW w:w="689" w:type="pct"/>
                  <w:noWrap/>
                  <w:vAlign w:val="center"/>
                </w:tcPr>
                <w:p w14:paraId="735C4DB4">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0.001</w:t>
                  </w:r>
                </w:p>
              </w:tc>
              <w:tc>
                <w:tcPr>
                  <w:tcW w:w="678" w:type="pct"/>
                  <w:noWrap/>
                  <w:vAlign w:val="center"/>
                </w:tcPr>
                <w:p w14:paraId="371DD526">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0.36</w:t>
                  </w:r>
                </w:p>
              </w:tc>
            </w:tr>
            <w:tr w14:paraId="7C5B056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30" w:type="pct"/>
                  <w:vAlign w:val="center"/>
                </w:tcPr>
                <w:p w14:paraId="65C76EED">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2000</w:t>
                  </w:r>
                </w:p>
              </w:tc>
              <w:tc>
                <w:tcPr>
                  <w:tcW w:w="940" w:type="pct"/>
                  <w:vAlign w:val="center"/>
                </w:tcPr>
                <w:p w14:paraId="2EF76CAA">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0.001</w:t>
                  </w:r>
                </w:p>
              </w:tc>
              <w:tc>
                <w:tcPr>
                  <w:tcW w:w="563" w:type="pct"/>
                  <w:vAlign w:val="center"/>
                </w:tcPr>
                <w:p w14:paraId="6510852E">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0.24</w:t>
                  </w:r>
                </w:p>
              </w:tc>
              <w:tc>
                <w:tcPr>
                  <w:tcW w:w="689" w:type="pct"/>
                  <w:noWrap/>
                  <w:vAlign w:val="center"/>
                </w:tcPr>
                <w:p w14:paraId="45D2243B">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0.001</w:t>
                  </w:r>
                </w:p>
              </w:tc>
              <w:tc>
                <w:tcPr>
                  <w:tcW w:w="678" w:type="pct"/>
                  <w:noWrap/>
                  <w:vAlign w:val="center"/>
                </w:tcPr>
                <w:p w14:paraId="29C4C234">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0.24</w:t>
                  </w:r>
                </w:p>
              </w:tc>
            </w:tr>
            <w:tr w14:paraId="5372444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30" w:type="pct"/>
                  <w:vAlign w:val="center"/>
                </w:tcPr>
                <w:p w14:paraId="4AEB2951">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张家边</w:t>
                  </w:r>
                  <w:r>
                    <w:rPr>
                      <w:rFonts w:eastAsia="新宋体"/>
                      <w:bCs/>
                      <w:color w:val="000000" w:themeColor="text1"/>
                      <w:kern w:val="0"/>
                      <w:sz w:val="18"/>
                      <w:szCs w:val="18"/>
                      <w14:textFill>
                        <w14:solidFill>
                          <w14:schemeClr w14:val="tx1"/>
                        </w14:solidFill>
                      </w14:textFill>
                    </w:rPr>
                    <w:t>（</w:t>
                  </w:r>
                  <w:r>
                    <w:rPr>
                      <w:rFonts w:hint="eastAsia" w:eastAsia="新宋体"/>
                      <w:bCs/>
                      <w:color w:val="000000" w:themeColor="text1"/>
                      <w:kern w:val="0"/>
                      <w:sz w:val="18"/>
                      <w:szCs w:val="18"/>
                      <w14:textFill>
                        <w14:solidFill>
                          <w14:schemeClr w14:val="tx1"/>
                        </w14:solidFill>
                      </w14:textFill>
                    </w:rPr>
                    <w:t>80</w:t>
                  </w:r>
                  <w:r>
                    <w:rPr>
                      <w:rFonts w:eastAsia="新宋体"/>
                      <w:bCs/>
                      <w:color w:val="000000" w:themeColor="text1"/>
                      <w:kern w:val="0"/>
                      <w:sz w:val="18"/>
                      <w:szCs w:val="18"/>
                      <w14:textFill>
                        <w14:solidFill>
                          <w14:schemeClr w14:val="tx1"/>
                        </w14:solidFill>
                      </w14:textFill>
                    </w:rPr>
                    <w:t>m）</w:t>
                  </w:r>
                </w:p>
              </w:tc>
              <w:tc>
                <w:tcPr>
                  <w:tcW w:w="940" w:type="pct"/>
                  <w:vAlign w:val="center"/>
                </w:tcPr>
                <w:p w14:paraId="3A9CEDA8">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0.025</w:t>
                  </w:r>
                </w:p>
              </w:tc>
              <w:tc>
                <w:tcPr>
                  <w:tcW w:w="563" w:type="pct"/>
                  <w:vAlign w:val="center"/>
                </w:tcPr>
                <w:p w14:paraId="315608B8">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5.48</w:t>
                  </w:r>
                </w:p>
              </w:tc>
              <w:tc>
                <w:tcPr>
                  <w:tcW w:w="689" w:type="pct"/>
                  <w:noWrap/>
                  <w:vAlign w:val="center"/>
                </w:tcPr>
                <w:p w14:paraId="4C9947A5">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0.012</w:t>
                  </w:r>
                </w:p>
              </w:tc>
              <w:tc>
                <w:tcPr>
                  <w:tcW w:w="678" w:type="pct"/>
                  <w:noWrap/>
                  <w:vAlign w:val="center"/>
                </w:tcPr>
                <w:p w14:paraId="2F5E65C0">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5.48</w:t>
                  </w:r>
                </w:p>
              </w:tc>
            </w:tr>
            <w:tr w14:paraId="0C9F7DA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30" w:type="pct"/>
                  <w:vAlign w:val="center"/>
                </w:tcPr>
                <w:p w14:paraId="61B317BC">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下风向最大质量浓度及占标率</w:t>
                  </w:r>
                </w:p>
              </w:tc>
              <w:tc>
                <w:tcPr>
                  <w:tcW w:w="940" w:type="pct"/>
                  <w:vAlign w:val="center"/>
                </w:tcPr>
                <w:p w14:paraId="2EA2785D">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0.030</w:t>
                  </w:r>
                </w:p>
              </w:tc>
              <w:tc>
                <w:tcPr>
                  <w:tcW w:w="563" w:type="pct"/>
                  <w:vAlign w:val="center"/>
                </w:tcPr>
                <w:p w14:paraId="29F0654C">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6.73</w:t>
                  </w:r>
                </w:p>
              </w:tc>
              <w:tc>
                <w:tcPr>
                  <w:tcW w:w="689" w:type="pct"/>
                  <w:noWrap/>
                  <w:vAlign w:val="center"/>
                </w:tcPr>
                <w:p w14:paraId="066AE277">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0.015</w:t>
                  </w:r>
                </w:p>
              </w:tc>
              <w:tc>
                <w:tcPr>
                  <w:tcW w:w="678" w:type="pct"/>
                  <w:noWrap/>
                  <w:vAlign w:val="center"/>
                </w:tcPr>
                <w:p w14:paraId="4D7E9824">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6.73</w:t>
                  </w:r>
                </w:p>
              </w:tc>
            </w:tr>
            <w:tr w14:paraId="46C8A8C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30" w:type="pct"/>
                  <w:vAlign w:val="center"/>
                </w:tcPr>
                <w:p w14:paraId="5DA49B67">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最大落地浓度距离/m</w:t>
                  </w:r>
                </w:p>
              </w:tc>
              <w:tc>
                <w:tcPr>
                  <w:tcW w:w="1503" w:type="pct"/>
                  <w:gridSpan w:val="2"/>
                  <w:vAlign w:val="center"/>
                </w:tcPr>
                <w:p w14:paraId="0EEAA48C">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129</w:t>
                  </w:r>
                </w:p>
              </w:tc>
              <w:tc>
                <w:tcPr>
                  <w:tcW w:w="1367" w:type="pct"/>
                  <w:gridSpan w:val="2"/>
                  <w:vAlign w:val="center"/>
                </w:tcPr>
                <w:p w14:paraId="5AB75870">
                  <w:pPr>
                    <w:jc w:val="center"/>
                    <w:rPr>
                      <w:rFonts w:eastAsia="新宋体"/>
                      <w:bCs/>
                      <w:color w:val="000000" w:themeColor="text1"/>
                      <w:kern w:val="0"/>
                      <w:sz w:val="18"/>
                      <w:szCs w:val="18"/>
                      <w14:textFill>
                        <w14:solidFill>
                          <w14:schemeClr w14:val="tx1"/>
                        </w14:solidFill>
                      </w14:textFill>
                    </w:rPr>
                  </w:pPr>
                  <w:r>
                    <w:rPr>
                      <w:rFonts w:hint="eastAsia" w:eastAsia="新宋体"/>
                      <w:bCs/>
                      <w:color w:val="000000" w:themeColor="text1"/>
                      <w:kern w:val="0"/>
                      <w:sz w:val="18"/>
                      <w:szCs w:val="18"/>
                      <w14:textFill>
                        <w14:solidFill>
                          <w14:schemeClr w14:val="tx1"/>
                        </w14:solidFill>
                      </w14:textFill>
                    </w:rPr>
                    <w:t>129</w:t>
                  </w:r>
                </w:p>
              </w:tc>
            </w:tr>
            <w:tr w14:paraId="4806A00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2130" w:type="pct"/>
                  <w:vAlign w:val="center"/>
                </w:tcPr>
                <w:p w14:paraId="1AFF2625">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D10%最远距离/m</w:t>
                  </w:r>
                </w:p>
              </w:tc>
              <w:tc>
                <w:tcPr>
                  <w:tcW w:w="1503" w:type="pct"/>
                  <w:gridSpan w:val="2"/>
                  <w:vAlign w:val="center"/>
                </w:tcPr>
                <w:p w14:paraId="49672318">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不存在</w:t>
                  </w:r>
                </w:p>
              </w:tc>
              <w:tc>
                <w:tcPr>
                  <w:tcW w:w="1367" w:type="pct"/>
                  <w:gridSpan w:val="2"/>
                  <w:vAlign w:val="center"/>
                </w:tcPr>
                <w:p w14:paraId="14BA3EC4">
                  <w:pPr>
                    <w:jc w:val="center"/>
                    <w:rPr>
                      <w:rFonts w:eastAsia="新宋体"/>
                      <w:bCs/>
                      <w:color w:val="000000" w:themeColor="text1"/>
                      <w:kern w:val="0"/>
                      <w:sz w:val="18"/>
                      <w:szCs w:val="18"/>
                      <w14:textFill>
                        <w14:solidFill>
                          <w14:schemeClr w14:val="tx1"/>
                        </w14:solidFill>
                      </w14:textFill>
                    </w:rPr>
                  </w:pPr>
                  <w:r>
                    <w:rPr>
                      <w:rFonts w:eastAsia="新宋体"/>
                      <w:bCs/>
                      <w:color w:val="000000" w:themeColor="text1"/>
                      <w:kern w:val="0"/>
                      <w:sz w:val="18"/>
                      <w:szCs w:val="18"/>
                      <w14:textFill>
                        <w14:solidFill>
                          <w14:schemeClr w14:val="tx1"/>
                        </w14:solidFill>
                      </w14:textFill>
                    </w:rPr>
                    <w:t>不存在</w:t>
                  </w:r>
                </w:p>
              </w:tc>
            </w:tr>
          </w:tbl>
          <w:p w14:paraId="4135D036">
            <w:pPr>
              <w:tabs>
                <w:tab w:val="center" w:pos="4813"/>
              </w:tabs>
              <w:spacing w:line="360" w:lineRule="auto"/>
              <w:ind w:firstLine="480" w:firstLineChars="200"/>
              <w:jc w:val="left"/>
              <w:rPr>
                <w:color w:val="000000" w:themeColor="text1"/>
                <w:sz w:val="24"/>
                <w14:textFill>
                  <w14:solidFill>
                    <w14:schemeClr w14:val="tx1"/>
                  </w14:solidFill>
                </w14:textFill>
              </w:rPr>
            </w:pPr>
            <w:r>
              <w:rPr>
                <w:rFonts w:eastAsia="新宋体"/>
                <w:bCs/>
                <w:color w:val="000000" w:themeColor="text1"/>
                <w:kern w:val="18"/>
                <w:sz w:val="24"/>
                <w:szCs w:val="21"/>
                <w14:textFill>
                  <w14:solidFill>
                    <w14:schemeClr w14:val="tx1"/>
                  </w14:solidFill>
                </w14:textFill>
              </w:rPr>
              <w:t>由上表预测结果可知，估算模式</w:t>
            </w:r>
            <w:r>
              <w:rPr>
                <w:rFonts w:hint="eastAsia" w:eastAsia="新宋体"/>
                <w:bCs/>
                <w:color w:val="000000" w:themeColor="text1"/>
                <w:kern w:val="18"/>
                <w:sz w:val="24"/>
                <w:szCs w:val="21"/>
                <w14:textFill>
                  <w14:solidFill>
                    <w14:schemeClr w14:val="tx1"/>
                  </w14:solidFill>
                </w14:textFill>
              </w:rPr>
              <w:t>下</w:t>
            </w:r>
            <w:r>
              <w:rPr>
                <w:rFonts w:eastAsia="新宋体"/>
                <w:bCs/>
                <w:color w:val="000000" w:themeColor="text1"/>
                <w:kern w:val="18"/>
                <w:sz w:val="24"/>
                <w:szCs w:val="21"/>
                <w14:textFill>
                  <w14:solidFill>
                    <w14:schemeClr w14:val="tx1"/>
                  </w14:solidFill>
                </w14:textFill>
              </w:rPr>
              <w:t>项目</w:t>
            </w:r>
            <w:r>
              <w:rPr>
                <w:rFonts w:hint="eastAsia" w:eastAsia="新宋体"/>
                <w:bCs/>
                <w:color w:val="000000" w:themeColor="text1"/>
                <w:kern w:val="18"/>
                <w:sz w:val="24"/>
                <w:szCs w:val="21"/>
                <w14:textFill>
                  <w14:solidFill>
                    <w14:schemeClr w14:val="tx1"/>
                  </w14:solidFill>
                </w14:textFill>
              </w:rPr>
              <w:t>废气的</w:t>
            </w:r>
            <w:r>
              <w:rPr>
                <w:rFonts w:eastAsia="新宋体"/>
                <w:bCs/>
                <w:color w:val="000000" w:themeColor="text1"/>
                <w:kern w:val="18"/>
                <w:sz w:val="24"/>
                <w:szCs w:val="21"/>
                <w14:textFill>
                  <w14:solidFill>
                    <w14:schemeClr w14:val="tx1"/>
                  </w14:solidFill>
                </w14:textFill>
              </w:rPr>
              <w:t>Pmax=</w:t>
            </w:r>
            <w:r>
              <w:rPr>
                <w:rFonts w:hint="eastAsia" w:eastAsia="新宋体"/>
                <w:bCs/>
                <w:color w:val="000000" w:themeColor="text1"/>
                <w:kern w:val="18"/>
                <w:sz w:val="24"/>
                <w:szCs w:val="21"/>
                <w14:textFill>
                  <w14:solidFill>
                    <w14:schemeClr w14:val="tx1"/>
                  </w14:solidFill>
                </w14:textFill>
              </w:rPr>
              <w:t>6.73</w:t>
            </w:r>
            <w:r>
              <w:rPr>
                <w:rFonts w:eastAsia="新宋体"/>
                <w:bCs/>
                <w:color w:val="000000" w:themeColor="text1"/>
                <w:kern w:val="18"/>
                <w:sz w:val="24"/>
                <w:szCs w:val="21"/>
                <w14:textFill>
                  <w14:solidFill>
                    <w14:schemeClr w14:val="tx1"/>
                  </w14:solidFill>
                </w14:textFill>
              </w:rPr>
              <w:t>%</w:t>
            </w:r>
            <w:r>
              <w:rPr>
                <w:rFonts w:hint="eastAsia" w:eastAsia="新宋体"/>
                <w:bCs/>
                <w:color w:val="000000" w:themeColor="text1"/>
                <w:kern w:val="18"/>
                <w:sz w:val="24"/>
                <w:szCs w:val="21"/>
                <w14:textFill>
                  <w14:solidFill>
                    <w14:schemeClr w14:val="tx1"/>
                  </w14:solidFill>
                </w14:textFill>
              </w:rPr>
              <w:t>。</w:t>
            </w:r>
            <w:r>
              <w:rPr>
                <w:rFonts w:eastAsia="新宋体"/>
                <w:bCs/>
                <w:color w:val="000000" w:themeColor="text1"/>
                <w:kern w:val="18"/>
                <w:sz w:val="24"/>
                <w:szCs w:val="21"/>
                <w14:textFill>
                  <w14:solidFill>
                    <w14:schemeClr w14:val="tx1"/>
                  </w14:solidFill>
                </w14:textFill>
              </w:rPr>
              <w:t>本次评价</w:t>
            </w:r>
            <w:r>
              <w:rPr>
                <w:rFonts w:hint="eastAsia" w:eastAsia="新宋体"/>
                <w:bCs/>
                <w:color w:val="000000" w:themeColor="text1"/>
                <w:kern w:val="18"/>
                <w:sz w:val="24"/>
                <w:szCs w:val="21"/>
                <w14:textFill>
                  <w14:solidFill>
                    <w14:schemeClr w14:val="tx1"/>
                  </w14:solidFill>
                </w14:textFill>
              </w:rPr>
              <w:t>认为建设单位保证设备操作正常，废气处理设施正常运行的前提下，项目废气</w:t>
            </w:r>
            <w:r>
              <w:rPr>
                <w:rFonts w:hint="eastAsia"/>
                <w:bCs/>
                <w:color w:val="000000" w:themeColor="text1"/>
                <w:kern w:val="0"/>
                <w:sz w:val="24"/>
                <w:szCs w:val="21"/>
                <w14:textFill>
                  <w14:solidFill>
                    <w14:schemeClr w14:val="tx1"/>
                  </w14:solidFill>
                </w14:textFill>
              </w:rPr>
              <w:t>可达标排放，</w:t>
            </w:r>
            <w:r>
              <w:rPr>
                <w:rFonts w:hint="eastAsia" w:eastAsia="新宋体"/>
                <w:bCs/>
                <w:color w:val="000000" w:themeColor="text1"/>
                <w:kern w:val="18"/>
                <w:sz w:val="24"/>
                <w:szCs w:val="21"/>
                <w14:textFill>
                  <w14:solidFill>
                    <w14:schemeClr w14:val="tx1"/>
                  </w14:solidFill>
                </w14:textFill>
              </w:rPr>
              <w:t>对于周边环境</w:t>
            </w:r>
            <w:r>
              <w:rPr>
                <w:rFonts w:eastAsia="新宋体"/>
                <w:bCs/>
                <w:color w:val="000000" w:themeColor="text1"/>
                <w:kern w:val="18"/>
                <w:sz w:val="24"/>
                <w:szCs w:val="21"/>
                <w14:textFill>
                  <w14:solidFill>
                    <w14:schemeClr w14:val="tx1"/>
                  </w14:solidFill>
                </w14:textFill>
              </w:rPr>
              <w:t>影响</w:t>
            </w:r>
            <w:r>
              <w:rPr>
                <w:rFonts w:hint="eastAsia" w:eastAsia="新宋体"/>
                <w:bCs/>
                <w:color w:val="000000" w:themeColor="text1"/>
                <w:kern w:val="18"/>
                <w:sz w:val="24"/>
                <w:szCs w:val="21"/>
                <w14:textFill>
                  <w14:solidFill>
                    <w14:schemeClr w14:val="tx1"/>
                  </w14:solidFill>
                </w14:textFill>
              </w:rPr>
              <w:t>不明显。</w:t>
            </w:r>
          </w:p>
          <w:p w14:paraId="48816CC7">
            <w:pPr>
              <w:tabs>
                <w:tab w:val="center" w:pos="4813"/>
              </w:tabs>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本项目无组织粉尘治理措施要求如下：</w:t>
            </w:r>
          </w:p>
          <w:p w14:paraId="2836DADF">
            <w:pPr>
              <w:tabs>
                <w:tab w:val="center" w:pos="4813"/>
              </w:tabs>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汽车运输：原料、产品运输车辆应进行严密遮盖，不得超载、沿途撒漏，运输车辆入厂前应对车辆进行清洗，定期派专人进行路面清扫、洒水等措施。</w:t>
            </w:r>
          </w:p>
          <w:p w14:paraId="5B7768EA">
            <w:pPr>
              <w:tabs>
                <w:tab w:val="center" w:pos="4813"/>
              </w:tabs>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原料和</w:t>
            </w:r>
            <w:r>
              <w:rPr>
                <w:rFonts w:hint="eastAsia"/>
                <w:color w:val="000000" w:themeColor="text1"/>
                <w:sz w:val="24"/>
                <w14:textFill>
                  <w14:solidFill>
                    <w14:schemeClr w14:val="tx1"/>
                  </w14:solidFill>
                </w14:textFill>
              </w:rPr>
              <w:t>半</w:t>
            </w:r>
            <w:r>
              <w:rPr>
                <w:color w:val="000000" w:themeColor="text1"/>
                <w:sz w:val="24"/>
                <w14:textFill>
                  <w14:solidFill>
                    <w14:schemeClr w14:val="tx1"/>
                  </w14:solidFill>
                </w14:textFill>
              </w:rPr>
              <w:t>成品装卸：</w:t>
            </w:r>
            <w:bookmarkStart w:id="54" w:name="OLE_LINK21"/>
            <w:r>
              <w:rPr>
                <w:color w:val="000000" w:themeColor="text1"/>
                <w:sz w:val="24"/>
                <w14:textFill>
                  <w14:solidFill>
                    <w14:schemeClr w14:val="tx1"/>
                  </w14:solidFill>
                </w14:textFill>
              </w:rPr>
              <w:t>原料、</w:t>
            </w:r>
            <w:r>
              <w:rPr>
                <w:rFonts w:hint="eastAsia"/>
                <w:color w:val="000000" w:themeColor="text1"/>
                <w:sz w:val="24"/>
                <w14:textFill>
                  <w14:solidFill>
                    <w14:schemeClr w14:val="tx1"/>
                  </w14:solidFill>
                </w14:textFill>
              </w:rPr>
              <w:t>半</w:t>
            </w:r>
            <w:r>
              <w:rPr>
                <w:color w:val="000000" w:themeColor="text1"/>
                <w:sz w:val="24"/>
                <w14:textFill>
                  <w14:solidFill>
                    <w14:schemeClr w14:val="tx1"/>
                  </w14:solidFill>
                </w14:textFill>
              </w:rPr>
              <w:t>成品</w:t>
            </w:r>
            <w:r>
              <w:rPr>
                <w:rFonts w:hint="eastAsia"/>
                <w:color w:val="000000" w:themeColor="text1"/>
                <w:sz w:val="24"/>
                <w14:textFill>
                  <w14:solidFill>
                    <w14:schemeClr w14:val="tx1"/>
                  </w14:solidFill>
                </w14:textFill>
              </w:rPr>
              <w:t>堆场</w:t>
            </w:r>
            <w:bookmarkEnd w:id="54"/>
            <w:r>
              <w:rPr>
                <w:color w:val="000000" w:themeColor="text1"/>
                <w:sz w:val="24"/>
                <w14:textFill>
                  <w14:solidFill>
                    <w14:schemeClr w14:val="tx1"/>
                  </w14:solidFill>
                </w14:textFill>
              </w:rPr>
              <w:t>等扬尘场所，应采取喷雾、洒水、封闭等防范措施，尽可能减少无组织粉尘的产生。</w:t>
            </w:r>
          </w:p>
          <w:p w14:paraId="0F00B2ED">
            <w:pPr>
              <w:tabs>
                <w:tab w:val="center" w:pos="4813"/>
              </w:tabs>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原料、</w:t>
            </w:r>
            <w:r>
              <w:rPr>
                <w:rFonts w:hint="eastAsia"/>
                <w:color w:val="000000" w:themeColor="text1"/>
                <w:sz w:val="24"/>
                <w14:textFill>
                  <w14:solidFill>
                    <w14:schemeClr w14:val="tx1"/>
                  </w14:solidFill>
                </w14:textFill>
              </w:rPr>
              <w:t>半</w:t>
            </w:r>
            <w:r>
              <w:rPr>
                <w:color w:val="000000" w:themeColor="text1"/>
                <w:sz w:val="24"/>
                <w14:textFill>
                  <w14:solidFill>
                    <w14:schemeClr w14:val="tx1"/>
                  </w14:solidFill>
                </w14:textFill>
              </w:rPr>
              <w:t>成品</w:t>
            </w:r>
            <w:r>
              <w:rPr>
                <w:rFonts w:hint="eastAsia"/>
                <w:color w:val="000000" w:themeColor="text1"/>
                <w:sz w:val="24"/>
                <w14:textFill>
                  <w14:solidFill>
                    <w14:schemeClr w14:val="tx1"/>
                  </w14:solidFill>
                </w14:textFill>
              </w:rPr>
              <w:t>堆场</w:t>
            </w:r>
            <w:r>
              <w:rPr>
                <w:color w:val="000000" w:themeColor="text1"/>
                <w:sz w:val="24"/>
                <w14:textFill>
                  <w14:solidFill>
                    <w14:schemeClr w14:val="tx1"/>
                  </w14:solidFill>
                </w14:textFill>
              </w:rPr>
              <w:t>：原料和</w:t>
            </w:r>
            <w:r>
              <w:rPr>
                <w:rFonts w:hint="eastAsia"/>
                <w:color w:val="000000" w:themeColor="text1"/>
                <w:sz w:val="24"/>
                <w14:textFill>
                  <w14:solidFill>
                    <w14:schemeClr w14:val="tx1"/>
                  </w14:solidFill>
                </w14:textFill>
              </w:rPr>
              <w:t>半</w:t>
            </w:r>
            <w:r>
              <w:rPr>
                <w:color w:val="000000" w:themeColor="text1"/>
                <w:sz w:val="24"/>
                <w14:textFill>
                  <w14:solidFill>
                    <w14:schemeClr w14:val="tx1"/>
                  </w14:solidFill>
                </w14:textFill>
              </w:rPr>
              <w:t>成品堆场的场地宜满足物料进行装（卸）车、倒堆储存及转运要求，并应具有满足装卸和储存要求的装（卸）车位及储存场地；原料和</w:t>
            </w:r>
            <w:r>
              <w:rPr>
                <w:rFonts w:hint="eastAsia"/>
                <w:color w:val="000000" w:themeColor="text1"/>
                <w:sz w:val="24"/>
                <w14:textFill>
                  <w14:solidFill>
                    <w14:schemeClr w14:val="tx1"/>
                  </w14:solidFill>
                </w14:textFill>
              </w:rPr>
              <w:t>半</w:t>
            </w:r>
            <w:r>
              <w:rPr>
                <w:color w:val="000000" w:themeColor="text1"/>
                <w:sz w:val="24"/>
                <w14:textFill>
                  <w14:solidFill>
                    <w14:schemeClr w14:val="tx1"/>
                  </w14:solidFill>
                </w14:textFill>
              </w:rPr>
              <w:t>成品堆场设计储存能力应满足生产对储存期及装（卸）车长度要求；</w:t>
            </w:r>
            <w:r>
              <w:rPr>
                <w:rFonts w:hint="eastAsia"/>
                <w:color w:val="000000" w:themeColor="text1"/>
                <w:sz w:val="24"/>
                <w14:textFill>
                  <w14:solidFill>
                    <w14:schemeClr w14:val="tx1"/>
                  </w14:solidFill>
                </w14:textFill>
              </w:rPr>
              <w:t>半</w:t>
            </w:r>
            <w:r>
              <w:rPr>
                <w:color w:val="000000" w:themeColor="text1"/>
                <w:sz w:val="24"/>
                <w14:textFill>
                  <w14:solidFill>
                    <w14:schemeClr w14:val="tx1"/>
                  </w14:solidFill>
                </w14:textFill>
              </w:rPr>
              <w:t>成品堆场储存时间应根据产品产量、运输条件等因素确定，储存时间不宜小于2d</w:t>
            </w:r>
            <w:r>
              <w:rPr>
                <w:rFonts w:hint="eastAsia"/>
                <w:color w:val="000000" w:themeColor="text1"/>
                <w:sz w:val="24"/>
                <w14:textFill>
                  <w14:solidFill>
                    <w14:schemeClr w14:val="tx1"/>
                  </w14:solidFill>
                </w14:textFill>
              </w:rPr>
              <w:t>（本项目为7d转运）</w:t>
            </w:r>
            <w:r>
              <w:rPr>
                <w:color w:val="000000" w:themeColor="text1"/>
                <w:sz w:val="24"/>
                <w14:textFill>
                  <w14:solidFill>
                    <w14:schemeClr w14:val="tx1"/>
                  </w14:solidFill>
                </w14:textFill>
              </w:rPr>
              <w:t>；项目原料和</w:t>
            </w:r>
            <w:r>
              <w:rPr>
                <w:rFonts w:hint="eastAsia"/>
                <w:color w:val="000000" w:themeColor="text1"/>
                <w:sz w:val="24"/>
                <w14:textFill>
                  <w14:solidFill>
                    <w14:schemeClr w14:val="tx1"/>
                  </w14:solidFill>
                </w14:textFill>
              </w:rPr>
              <w:t>半</w:t>
            </w:r>
            <w:r>
              <w:rPr>
                <w:color w:val="000000" w:themeColor="text1"/>
                <w:sz w:val="24"/>
                <w14:textFill>
                  <w14:solidFill>
                    <w14:schemeClr w14:val="tx1"/>
                  </w14:solidFill>
                </w14:textFill>
              </w:rPr>
              <w:t>成品堆场不得露天堆放，应采取封闭式结构并采取喷雾、洒水等措施减少堆场的无组织粉尘的产生，原料和</w:t>
            </w:r>
            <w:r>
              <w:rPr>
                <w:rFonts w:hint="eastAsia"/>
                <w:color w:val="000000" w:themeColor="text1"/>
                <w:sz w:val="24"/>
                <w14:textFill>
                  <w14:solidFill>
                    <w14:schemeClr w14:val="tx1"/>
                  </w14:solidFill>
                </w14:textFill>
              </w:rPr>
              <w:t>半</w:t>
            </w:r>
            <w:r>
              <w:rPr>
                <w:color w:val="000000" w:themeColor="text1"/>
                <w:sz w:val="24"/>
                <w14:textFill>
                  <w14:solidFill>
                    <w14:schemeClr w14:val="tx1"/>
                  </w14:solidFill>
                </w14:textFill>
              </w:rPr>
              <w:t>成品堆场还应设有防水、排水设施。</w:t>
            </w:r>
          </w:p>
          <w:p w14:paraId="28DCE060">
            <w:pPr>
              <w:tabs>
                <w:tab w:val="center" w:pos="4813"/>
              </w:tabs>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生产工段：生产中</w:t>
            </w:r>
            <w:r>
              <w:rPr>
                <w:rFonts w:hint="eastAsia"/>
                <w:color w:val="000000" w:themeColor="text1"/>
                <w:sz w:val="24"/>
                <w14:textFill>
                  <w14:solidFill>
                    <w14:schemeClr w14:val="tx1"/>
                  </w14:solidFill>
                </w14:textFill>
              </w:rPr>
              <w:t>毛石</w:t>
            </w:r>
            <w:r>
              <w:rPr>
                <w:color w:val="000000" w:themeColor="text1"/>
                <w:sz w:val="24"/>
                <w14:textFill>
                  <w14:solidFill>
                    <w14:schemeClr w14:val="tx1"/>
                  </w14:solidFill>
                </w14:textFill>
              </w:rPr>
              <w:t>破碎、筛分、输送等生产环节应采取封闭措施。</w:t>
            </w:r>
          </w:p>
          <w:p w14:paraId="3C989825">
            <w:pPr>
              <w:tabs>
                <w:tab w:val="center" w:pos="4813"/>
              </w:tabs>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厂区地面扬尘：厂区内部易扬尘场所应设置喷雾抑尘设施降低无组织粉尘的产生，厂房应采取密闭生产、加强管理，对厂区地面和运输道路应全部进行硬化，定期派专人进行路面清扫、洒水降尘等措施。同时应加强污染治理设施的运行及维护管理，确保污染物达标排放，强化物料储存、装卸、输送、生产及运输过程中无组织粉尘排放源控制措施。</w:t>
            </w:r>
          </w:p>
          <w:p w14:paraId="4511920B">
            <w:pPr>
              <w:tabs>
                <w:tab w:val="center" w:pos="4813"/>
              </w:tabs>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综上所述，要求企业在运营期妥善管理，本项目外排废气经过处理后可达标排放。</w:t>
            </w:r>
          </w:p>
          <w:p w14:paraId="4E1C783A">
            <w:pPr>
              <w:spacing w:line="360" w:lineRule="auto"/>
              <w:ind w:firstLine="482" w:firstLineChars="200"/>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5</w:t>
            </w:r>
            <w:r>
              <w:rPr>
                <w:b/>
                <w:bCs/>
                <w:color w:val="000000" w:themeColor="text1"/>
                <w:sz w:val="24"/>
                <w14:textFill>
                  <w14:solidFill>
                    <w14:schemeClr w14:val="tx1"/>
                  </w14:solidFill>
                </w14:textFill>
              </w:rPr>
              <w:t>、监测计划</w:t>
            </w:r>
          </w:p>
          <w:p w14:paraId="353D26CE">
            <w:pPr>
              <w:spacing w:line="360" w:lineRule="auto"/>
              <w:ind w:firstLine="480" w:firstLineChars="200"/>
              <w:jc w:val="left"/>
              <w:rPr>
                <w:color w:val="000000" w:themeColor="text1"/>
                <w:kern w:val="18"/>
                <w:sz w:val="24"/>
                <w14:textFill>
                  <w14:solidFill>
                    <w14:schemeClr w14:val="tx1"/>
                  </w14:solidFill>
                </w14:textFill>
              </w:rPr>
            </w:pPr>
            <w:r>
              <w:rPr>
                <w:color w:val="000000" w:themeColor="text1"/>
                <w:kern w:val="18"/>
                <w:sz w:val="24"/>
                <w14:textFill>
                  <w14:solidFill>
                    <w14:schemeClr w14:val="tx1"/>
                  </w14:solidFill>
                </w14:textFill>
              </w:rPr>
              <w:t>按照《排污单位自行监测技术指南</w:t>
            </w:r>
            <w:r>
              <w:rPr>
                <w:rFonts w:hint="eastAsia"/>
                <w:color w:val="000000" w:themeColor="text1"/>
                <w:kern w:val="18"/>
                <w:sz w:val="24"/>
                <w:lang w:val="en-US" w:eastAsia="zh-CN"/>
                <w14:textFill>
                  <w14:solidFill>
                    <w14:schemeClr w14:val="tx1"/>
                  </w14:solidFill>
                </w14:textFill>
              </w:rPr>
              <w:t xml:space="preserve"> </w:t>
            </w:r>
            <w:r>
              <w:rPr>
                <w:color w:val="000000" w:themeColor="text1"/>
                <w:kern w:val="18"/>
                <w:sz w:val="24"/>
                <w14:textFill>
                  <w14:solidFill>
                    <w14:schemeClr w14:val="tx1"/>
                  </w14:solidFill>
                </w14:textFill>
              </w:rPr>
              <w:t>总则》（HJ819-2017）、《排污许可申请与核发技术规范 总则》（HJ942-2018）及</w:t>
            </w:r>
            <w:r>
              <w:rPr>
                <w:rFonts w:hint="eastAsia"/>
                <w:color w:val="000000" w:themeColor="text1"/>
                <w:kern w:val="18"/>
                <w:sz w:val="24"/>
                <w14:textFill>
                  <w14:solidFill>
                    <w14:schemeClr w14:val="tx1"/>
                  </w14:solidFill>
                </w14:textFill>
              </w:rPr>
              <w:t>《排污单位自行监测技术指南</w:t>
            </w:r>
            <w:r>
              <w:rPr>
                <w:rFonts w:hint="eastAsia"/>
                <w:color w:val="000000" w:themeColor="text1"/>
                <w:kern w:val="18"/>
                <w:sz w:val="24"/>
                <w:lang w:val="en-US" w:eastAsia="zh-CN"/>
                <w14:textFill>
                  <w14:solidFill>
                    <w14:schemeClr w14:val="tx1"/>
                  </w14:solidFill>
                </w14:textFill>
              </w:rPr>
              <w:t xml:space="preserve"> </w:t>
            </w:r>
            <w:r>
              <w:rPr>
                <w:rFonts w:hint="eastAsia"/>
                <w:color w:val="000000" w:themeColor="text1"/>
                <w:kern w:val="18"/>
                <w:sz w:val="24"/>
                <w14:textFill>
                  <w14:solidFill>
                    <w14:schemeClr w14:val="tx1"/>
                  </w14:solidFill>
                </w14:textFill>
              </w:rPr>
              <w:t>水泥工业》</w:t>
            </w:r>
            <w:r>
              <w:rPr>
                <w:color w:val="000000" w:themeColor="text1"/>
                <w:kern w:val="18"/>
                <w:sz w:val="24"/>
                <w14:textFill>
                  <w14:solidFill>
                    <w14:schemeClr w14:val="tx1"/>
                  </w14:solidFill>
                </w14:textFill>
              </w:rPr>
              <w:t>（HJ848-2017）本项目运营期环境监测计划见下表</w:t>
            </w:r>
            <w:r>
              <w:rPr>
                <w:rFonts w:hint="eastAsia"/>
                <w:color w:val="000000" w:themeColor="text1"/>
                <w:kern w:val="18"/>
                <w:sz w:val="24"/>
                <w14:textFill>
                  <w14:solidFill>
                    <w14:schemeClr w14:val="tx1"/>
                  </w14:solidFill>
                </w14:textFill>
              </w:rPr>
              <w:t>。</w:t>
            </w:r>
          </w:p>
          <w:p w14:paraId="06068F98">
            <w:pPr>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表4-</w:t>
            </w:r>
            <w:r>
              <w:rPr>
                <w:rFonts w:hint="eastAsia"/>
                <w:b/>
                <w:bCs/>
                <w:color w:val="000000" w:themeColor="text1"/>
                <w:sz w:val="24"/>
                <w14:textFill>
                  <w14:solidFill>
                    <w14:schemeClr w14:val="tx1"/>
                  </w14:solidFill>
                </w14:textFill>
              </w:rPr>
              <w:t xml:space="preserve">10   </w:t>
            </w:r>
            <w:r>
              <w:rPr>
                <w:b/>
                <w:bCs/>
                <w:color w:val="000000" w:themeColor="text1"/>
                <w:sz w:val="24"/>
                <w14:textFill>
                  <w14:solidFill>
                    <w14:schemeClr w14:val="tx1"/>
                  </w14:solidFill>
                </w14:textFill>
              </w:rPr>
              <w:t>运营期环境监测计划</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570"/>
              <w:gridCol w:w="1570"/>
              <w:gridCol w:w="2082"/>
              <w:gridCol w:w="1309"/>
              <w:gridCol w:w="1310"/>
              <w:gridCol w:w="5768"/>
            </w:tblGrid>
            <w:tr w14:paraId="6B0A7CA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70" w:hRule="atLeast"/>
                <w:jc w:val="center"/>
              </w:trPr>
              <w:tc>
                <w:tcPr>
                  <w:tcW w:w="577" w:type="pct"/>
                  <w:vAlign w:val="center"/>
                </w:tcPr>
                <w:p w14:paraId="44BF7D21">
                  <w:pPr>
                    <w:adjustRightInd w:val="0"/>
                    <w:snapToGrid w:val="0"/>
                    <w:jc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排放口编号</w:t>
                  </w:r>
                </w:p>
              </w:tc>
              <w:tc>
                <w:tcPr>
                  <w:tcW w:w="577" w:type="pct"/>
                  <w:vAlign w:val="center"/>
                </w:tcPr>
                <w:p w14:paraId="01303CB3">
                  <w:pPr>
                    <w:adjustRightInd w:val="0"/>
                    <w:snapToGrid w:val="0"/>
                    <w:jc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排放口名称</w:t>
                  </w:r>
                </w:p>
              </w:tc>
              <w:tc>
                <w:tcPr>
                  <w:tcW w:w="765" w:type="pct"/>
                  <w:vAlign w:val="center"/>
                </w:tcPr>
                <w:p w14:paraId="32954D1C">
                  <w:pPr>
                    <w:adjustRightInd w:val="0"/>
                    <w:snapToGrid w:val="0"/>
                    <w:jc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监测点位</w:t>
                  </w:r>
                </w:p>
              </w:tc>
              <w:tc>
                <w:tcPr>
                  <w:tcW w:w="481" w:type="pct"/>
                  <w:vAlign w:val="center"/>
                </w:tcPr>
                <w:p w14:paraId="24BBF9DA">
                  <w:pPr>
                    <w:adjustRightInd w:val="0"/>
                    <w:snapToGrid w:val="0"/>
                    <w:jc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监测因子</w:t>
                  </w:r>
                </w:p>
              </w:tc>
              <w:tc>
                <w:tcPr>
                  <w:tcW w:w="481" w:type="pct"/>
                  <w:vAlign w:val="center"/>
                </w:tcPr>
                <w:p w14:paraId="5A6CD488">
                  <w:pPr>
                    <w:adjustRightInd w:val="0"/>
                    <w:snapToGrid w:val="0"/>
                    <w:jc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监测频次</w:t>
                  </w:r>
                </w:p>
              </w:tc>
              <w:tc>
                <w:tcPr>
                  <w:tcW w:w="2120" w:type="pct"/>
                  <w:vAlign w:val="center"/>
                </w:tcPr>
                <w:p w14:paraId="1C224DAC">
                  <w:pPr>
                    <w:adjustRightInd w:val="0"/>
                    <w:snapToGrid w:val="0"/>
                    <w:jc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执行标准</w:t>
                  </w:r>
                </w:p>
              </w:tc>
            </w:tr>
            <w:tr w14:paraId="5791EB9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70" w:hRule="atLeast"/>
                <w:jc w:val="center"/>
              </w:trPr>
              <w:tc>
                <w:tcPr>
                  <w:tcW w:w="577" w:type="pct"/>
                  <w:vAlign w:val="center"/>
                </w:tcPr>
                <w:p w14:paraId="0C5BE85C">
                  <w:pPr>
                    <w:pStyle w:val="88"/>
                    <w:snapToGrid w:val="0"/>
                    <w:spacing w:line="240" w:lineRule="auto"/>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p>
              </w:tc>
              <w:tc>
                <w:tcPr>
                  <w:tcW w:w="577" w:type="pct"/>
                  <w:vAlign w:val="center"/>
                </w:tcPr>
                <w:p w14:paraId="3CEDC9FE">
                  <w:pPr>
                    <w:pStyle w:val="88"/>
                    <w:snapToGrid w:val="0"/>
                    <w:spacing w:line="240" w:lineRule="auto"/>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无组织</w:t>
                  </w:r>
                </w:p>
              </w:tc>
              <w:tc>
                <w:tcPr>
                  <w:tcW w:w="765" w:type="pct"/>
                  <w:vAlign w:val="center"/>
                </w:tcPr>
                <w:p w14:paraId="096AF470">
                  <w:pPr>
                    <w:pStyle w:val="88"/>
                    <w:snapToGrid w:val="0"/>
                    <w:spacing w:line="240" w:lineRule="auto"/>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厂界无组织监控</w:t>
                  </w:r>
                </w:p>
              </w:tc>
              <w:tc>
                <w:tcPr>
                  <w:tcW w:w="481" w:type="pct"/>
                  <w:vAlign w:val="center"/>
                </w:tcPr>
                <w:p w14:paraId="67301406">
                  <w:pPr>
                    <w:pStyle w:val="88"/>
                    <w:snapToGrid w:val="0"/>
                    <w:spacing w:line="240" w:lineRule="auto"/>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颗粒物</w:t>
                  </w:r>
                </w:p>
              </w:tc>
              <w:tc>
                <w:tcPr>
                  <w:tcW w:w="481" w:type="pct"/>
                  <w:vAlign w:val="center"/>
                </w:tcPr>
                <w:p w14:paraId="3A7D11E2">
                  <w:pPr>
                    <w:pStyle w:val="88"/>
                    <w:snapToGrid w:val="0"/>
                    <w:spacing w:line="240" w:lineRule="auto"/>
                    <w:rPr>
                      <w:rFonts w:hint="eastAsia" w:eastAsia="宋体"/>
                      <w:color w:val="000000" w:themeColor="text1"/>
                      <w:sz w:val="18"/>
                      <w:szCs w:val="18"/>
                      <w:lang w:eastAsia="zh-CN"/>
                      <w14:textFill>
                        <w14:solidFill>
                          <w14:schemeClr w14:val="tx1"/>
                        </w14:solidFill>
                      </w14:textFill>
                    </w:rPr>
                  </w:pPr>
                  <w:r>
                    <w:rPr>
                      <w:color w:val="000000" w:themeColor="text1"/>
                      <w:sz w:val="18"/>
                      <w:szCs w:val="18"/>
                      <w14:textFill>
                        <w14:solidFill>
                          <w14:schemeClr w14:val="tx1"/>
                        </w14:solidFill>
                      </w14:textFill>
                    </w:rPr>
                    <w:t>1次/</w:t>
                  </w:r>
                  <w:r>
                    <w:rPr>
                      <w:rFonts w:hint="eastAsia"/>
                      <w:color w:val="000000" w:themeColor="text1"/>
                      <w:sz w:val="18"/>
                      <w:szCs w:val="18"/>
                      <w:lang w:val="en-US" w:eastAsia="zh-CN"/>
                      <w14:textFill>
                        <w14:solidFill>
                          <w14:schemeClr w14:val="tx1"/>
                        </w14:solidFill>
                      </w14:textFill>
                    </w:rPr>
                    <w:t>季度</w:t>
                  </w:r>
                </w:p>
              </w:tc>
              <w:tc>
                <w:tcPr>
                  <w:tcW w:w="2120" w:type="pct"/>
                  <w:vAlign w:val="center"/>
                </w:tcPr>
                <w:p w14:paraId="6B23CD90">
                  <w:pPr>
                    <w:pStyle w:val="88"/>
                    <w:snapToGrid w:val="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《水泥工业大气污染物排放标准》(GB4915-2013)中表3无组织排放限值</w:t>
                  </w:r>
                </w:p>
              </w:tc>
            </w:tr>
          </w:tbl>
          <w:p w14:paraId="14072D5D">
            <w:pPr>
              <w:snapToGrid w:val="0"/>
              <w:spacing w:line="360" w:lineRule="auto"/>
              <w:ind w:firstLine="482" w:firstLineChars="200"/>
              <w:rPr>
                <w:b/>
                <w:color w:val="000000" w:themeColor="text1"/>
                <w:sz w:val="24"/>
                <w14:textFill>
                  <w14:solidFill>
                    <w14:schemeClr w14:val="tx1"/>
                  </w14:solidFill>
                </w14:textFill>
              </w:rPr>
            </w:pPr>
            <w:r>
              <w:rPr>
                <w:b/>
                <w:color w:val="000000" w:themeColor="text1"/>
                <w:sz w:val="24"/>
                <w14:textFill>
                  <w14:solidFill>
                    <w14:schemeClr w14:val="tx1"/>
                  </w14:solidFill>
                </w14:textFill>
              </w:rPr>
              <w:t>二、运营期废水环境影响和保护措施</w:t>
            </w:r>
          </w:p>
          <w:p w14:paraId="7263FCC8">
            <w:pPr>
              <w:snapToGrid w:val="0"/>
              <w:spacing w:line="360" w:lineRule="auto"/>
              <w:ind w:firstLine="482" w:firstLineChars="200"/>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1、废水产排污情况、治理措施、排放标准、排放口基本情况</w:t>
            </w:r>
          </w:p>
          <w:p w14:paraId="00E5871C">
            <w:pPr>
              <w:tabs>
                <w:tab w:val="left" w:pos="0"/>
              </w:tabs>
              <w:jc w:val="center"/>
              <w:rPr>
                <w:b/>
                <w:bCs/>
                <w:color w:val="000000" w:themeColor="text1"/>
                <w:kern w:val="21"/>
                <w:sz w:val="24"/>
                <w14:textFill>
                  <w14:solidFill>
                    <w14:schemeClr w14:val="tx1"/>
                  </w14:solidFill>
                </w14:textFill>
              </w:rPr>
            </w:pPr>
            <w:r>
              <w:rPr>
                <w:b/>
                <w:bCs/>
                <w:color w:val="000000" w:themeColor="text1"/>
                <w:kern w:val="21"/>
                <w:sz w:val="24"/>
                <w14:textFill>
                  <w14:solidFill>
                    <w14:schemeClr w14:val="tx1"/>
                  </w14:solidFill>
                </w14:textFill>
              </w:rPr>
              <w:t>表4-</w:t>
            </w:r>
            <w:r>
              <w:rPr>
                <w:rFonts w:hint="eastAsia"/>
                <w:b/>
                <w:bCs/>
                <w:color w:val="000000" w:themeColor="text1"/>
                <w:kern w:val="21"/>
                <w:sz w:val="24"/>
                <w14:textFill>
                  <w14:solidFill>
                    <w14:schemeClr w14:val="tx1"/>
                  </w14:solidFill>
                </w14:textFill>
              </w:rPr>
              <w:t>11</w:t>
            </w:r>
            <w:r>
              <w:rPr>
                <w:b/>
                <w:bCs/>
                <w:color w:val="000000" w:themeColor="text1"/>
                <w:kern w:val="21"/>
                <w:sz w:val="24"/>
                <w14:textFill>
                  <w14:solidFill>
                    <w14:schemeClr w14:val="tx1"/>
                  </w14:solidFill>
                </w14:textFill>
              </w:rPr>
              <w:t xml:space="preserve">  本项目废水产排指标、治理措施一览表 （pH无量纲）</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315"/>
              <w:gridCol w:w="1035"/>
              <w:gridCol w:w="994"/>
              <w:gridCol w:w="1542"/>
              <w:gridCol w:w="1011"/>
              <w:gridCol w:w="836"/>
              <w:gridCol w:w="16"/>
              <w:gridCol w:w="823"/>
              <w:gridCol w:w="44"/>
              <w:gridCol w:w="855"/>
              <w:gridCol w:w="782"/>
              <w:gridCol w:w="1288"/>
              <w:gridCol w:w="1049"/>
              <w:gridCol w:w="1022"/>
              <w:gridCol w:w="997"/>
            </w:tblGrid>
            <w:tr w14:paraId="1AAAD13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83" w:type="pct"/>
                  <w:vMerge w:val="restart"/>
                  <w:vAlign w:val="center"/>
                </w:tcPr>
                <w:p w14:paraId="007CF9CB">
                  <w:pPr>
                    <w:jc w:val="center"/>
                    <w:rPr>
                      <w:rFonts w:eastAsia="新宋体"/>
                      <w:b/>
                      <w:bCs/>
                      <w:color w:val="000000" w:themeColor="text1"/>
                      <w:kern w:val="0"/>
                      <w:sz w:val="18"/>
                      <w:szCs w:val="18"/>
                      <w14:textFill>
                        <w14:solidFill>
                          <w14:schemeClr w14:val="tx1"/>
                        </w14:solidFill>
                      </w14:textFill>
                    </w:rPr>
                  </w:pPr>
                  <w:bookmarkStart w:id="55" w:name="_Hlk153961399"/>
                  <w:r>
                    <w:rPr>
                      <w:rFonts w:hint="eastAsia" w:eastAsia="新宋体"/>
                      <w:b/>
                      <w:bCs/>
                      <w:color w:val="000000" w:themeColor="text1"/>
                      <w:kern w:val="0"/>
                      <w:sz w:val="18"/>
                      <w:szCs w:val="18"/>
                      <w14:textFill>
                        <w14:solidFill>
                          <w14:schemeClr w14:val="tx1"/>
                        </w14:solidFill>
                      </w14:textFill>
                    </w:rPr>
                    <w:t>废水</w:t>
                  </w:r>
                  <w:r>
                    <w:rPr>
                      <w:rFonts w:eastAsia="新宋体"/>
                      <w:b/>
                      <w:bCs/>
                      <w:color w:val="000000" w:themeColor="text1"/>
                      <w:kern w:val="0"/>
                      <w:sz w:val="18"/>
                      <w:szCs w:val="18"/>
                      <w14:textFill>
                        <w14:solidFill>
                          <w14:schemeClr w14:val="tx1"/>
                        </w14:solidFill>
                      </w14:textFill>
                    </w:rPr>
                    <w:t>类别</w:t>
                  </w:r>
                </w:p>
              </w:tc>
              <w:tc>
                <w:tcPr>
                  <w:tcW w:w="380" w:type="pct"/>
                  <w:vMerge w:val="restart"/>
                  <w:vAlign w:val="center"/>
                </w:tcPr>
                <w:p w14:paraId="55879233">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污染物</w:t>
                  </w:r>
                </w:p>
                <w:p w14:paraId="4D008F5F">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种类</w:t>
                  </w:r>
                </w:p>
              </w:tc>
              <w:tc>
                <w:tcPr>
                  <w:tcW w:w="1302" w:type="pct"/>
                  <w:gridSpan w:val="3"/>
                  <w:vAlign w:val="center"/>
                </w:tcPr>
                <w:p w14:paraId="2988FCC4">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污染物产生量和浓度</w:t>
                  </w:r>
                </w:p>
              </w:tc>
              <w:tc>
                <w:tcPr>
                  <w:tcW w:w="1232" w:type="pct"/>
                  <w:gridSpan w:val="6"/>
                  <w:vAlign w:val="center"/>
                </w:tcPr>
                <w:p w14:paraId="0755A919">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污染治理设施</w:t>
                  </w:r>
                </w:p>
              </w:tc>
              <w:tc>
                <w:tcPr>
                  <w:tcW w:w="1233" w:type="pct"/>
                  <w:gridSpan w:val="3"/>
                  <w:vAlign w:val="center"/>
                </w:tcPr>
                <w:p w14:paraId="7C44D8E7">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污染物排放量和浓度</w:t>
                  </w:r>
                </w:p>
              </w:tc>
              <w:tc>
                <w:tcPr>
                  <w:tcW w:w="366" w:type="pct"/>
                  <w:vAlign w:val="center"/>
                </w:tcPr>
                <w:p w14:paraId="7842184A">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排放标准</w:t>
                  </w:r>
                </w:p>
              </w:tc>
            </w:tr>
            <w:tr w14:paraId="34EBA43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83" w:type="pct"/>
                  <w:vMerge w:val="continue"/>
                  <w:vAlign w:val="center"/>
                </w:tcPr>
                <w:p w14:paraId="2627CD1F">
                  <w:pPr>
                    <w:rPr>
                      <w:rFonts w:eastAsia="新宋体"/>
                      <w:b/>
                      <w:bCs/>
                      <w:color w:val="000000" w:themeColor="text1"/>
                      <w:kern w:val="0"/>
                      <w:sz w:val="18"/>
                      <w:szCs w:val="18"/>
                      <w14:textFill>
                        <w14:solidFill>
                          <w14:schemeClr w14:val="tx1"/>
                        </w14:solidFill>
                      </w14:textFill>
                    </w:rPr>
                  </w:pPr>
                </w:p>
              </w:tc>
              <w:tc>
                <w:tcPr>
                  <w:tcW w:w="380" w:type="pct"/>
                  <w:vMerge w:val="continue"/>
                  <w:vAlign w:val="center"/>
                </w:tcPr>
                <w:p w14:paraId="5FF4D7F4">
                  <w:pPr>
                    <w:rPr>
                      <w:rFonts w:eastAsia="新宋体"/>
                      <w:b/>
                      <w:bCs/>
                      <w:color w:val="000000" w:themeColor="text1"/>
                      <w:kern w:val="0"/>
                      <w:sz w:val="18"/>
                      <w:szCs w:val="18"/>
                      <w14:textFill>
                        <w14:solidFill>
                          <w14:schemeClr w14:val="tx1"/>
                        </w14:solidFill>
                      </w14:textFill>
                    </w:rPr>
                  </w:pPr>
                </w:p>
              </w:tc>
              <w:tc>
                <w:tcPr>
                  <w:tcW w:w="365" w:type="pct"/>
                  <w:vAlign w:val="center"/>
                </w:tcPr>
                <w:p w14:paraId="4F0DA699">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废水量m</w:t>
                  </w:r>
                  <w:r>
                    <w:rPr>
                      <w:rFonts w:eastAsia="新宋体"/>
                      <w:b/>
                      <w:bCs/>
                      <w:color w:val="000000" w:themeColor="text1"/>
                      <w:kern w:val="0"/>
                      <w:sz w:val="18"/>
                      <w:szCs w:val="18"/>
                      <w:vertAlign w:val="superscript"/>
                      <w14:textFill>
                        <w14:solidFill>
                          <w14:schemeClr w14:val="tx1"/>
                        </w14:solidFill>
                      </w14:textFill>
                    </w:rPr>
                    <w:t>3</w:t>
                  </w:r>
                  <w:r>
                    <w:rPr>
                      <w:rFonts w:eastAsia="新宋体"/>
                      <w:b/>
                      <w:bCs/>
                      <w:color w:val="000000" w:themeColor="text1"/>
                      <w:kern w:val="0"/>
                      <w:sz w:val="18"/>
                      <w:szCs w:val="18"/>
                      <w14:textFill>
                        <w14:solidFill>
                          <w14:schemeClr w14:val="tx1"/>
                        </w14:solidFill>
                      </w14:textFill>
                    </w:rPr>
                    <w:t>/a</w:t>
                  </w:r>
                </w:p>
              </w:tc>
              <w:tc>
                <w:tcPr>
                  <w:tcW w:w="566" w:type="pct"/>
                  <w:vAlign w:val="center"/>
                </w:tcPr>
                <w:p w14:paraId="59BD1831">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产生浓度mg/l</w:t>
                  </w:r>
                </w:p>
              </w:tc>
              <w:tc>
                <w:tcPr>
                  <w:tcW w:w="369" w:type="pct"/>
                  <w:vAlign w:val="center"/>
                </w:tcPr>
                <w:p w14:paraId="4655FD1F">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产生量t/a</w:t>
                  </w:r>
                </w:p>
              </w:tc>
              <w:tc>
                <w:tcPr>
                  <w:tcW w:w="313" w:type="pct"/>
                  <w:gridSpan w:val="2"/>
                  <w:vAlign w:val="center"/>
                </w:tcPr>
                <w:p w14:paraId="6BDC689F">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处理能力m</w:t>
                  </w:r>
                  <w:r>
                    <w:rPr>
                      <w:rFonts w:eastAsia="新宋体"/>
                      <w:b/>
                      <w:bCs/>
                      <w:color w:val="000000" w:themeColor="text1"/>
                      <w:kern w:val="0"/>
                      <w:sz w:val="18"/>
                      <w:szCs w:val="18"/>
                      <w:vertAlign w:val="superscript"/>
                      <w14:textFill>
                        <w14:solidFill>
                          <w14:schemeClr w14:val="tx1"/>
                        </w14:solidFill>
                      </w14:textFill>
                    </w:rPr>
                    <w:t>3</w:t>
                  </w:r>
                  <w:r>
                    <w:rPr>
                      <w:rFonts w:eastAsia="新宋体"/>
                      <w:b/>
                      <w:bCs/>
                      <w:color w:val="000000" w:themeColor="text1"/>
                      <w:kern w:val="0"/>
                      <w:sz w:val="18"/>
                      <w:szCs w:val="18"/>
                      <w14:textFill>
                        <w14:solidFill>
                          <w14:schemeClr w14:val="tx1"/>
                        </w14:solidFill>
                      </w14:textFill>
                    </w:rPr>
                    <w:t>/d</w:t>
                  </w:r>
                </w:p>
              </w:tc>
              <w:tc>
                <w:tcPr>
                  <w:tcW w:w="318" w:type="pct"/>
                  <w:gridSpan w:val="2"/>
                  <w:vAlign w:val="center"/>
                </w:tcPr>
                <w:p w14:paraId="01A69E37">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主要治理工艺</w:t>
                  </w:r>
                </w:p>
              </w:tc>
              <w:tc>
                <w:tcPr>
                  <w:tcW w:w="314" w:type="pct"/>
                  <w:vAlign w:val="center"/>
                </w:tcPr>
                <w:p w14:paraId="70106098">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去除效率%</w:t>
                  </w:r>
                </w:p>
              </w:tc>
              <w:tc>
                <w:tcPr>
                  <w:tcW w:w="286" w:type="pct"/>
                  <w:vAlign w:val="center"/>
                </w:tcPr>
                <w:p w14:paraId="3F56A566">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是否可行技术</w:t>
                  </w:r>
                </w:p>
              </w:tc>
              <w:tc>
                <w:tcPr>
                  <w:tcW w:w="473" w:type="pct"/>
                  <w:vAlign w:val="center"/>
                </w:tcPr>
                <w:p w14:paraId="7A141AEF">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废水量m</w:t>
                  </w:r>
                  <w:r>
                    <w:rPr>
                      <w:rFonts w:eastAsia="新宋体"/>
                      <w:b/>
                      <w:bCs/>
                      <w:color w:val="000000" w:themeColor="text1"/>
                      <w:kern w:val="0"/>
                      <w:sz w:val="18"/>
                      <w:szCs w:val="18"/>
                      <w:vertAlign w:val="superscript"/>
                      <w14:textFill>
                        <w14:solidFill>
                          <w14:schemeClr w14:val="tx1"/>
                        </w14:solidFill>
                      </w14:textFill>
                    </w:rPr>
                    <w:t>3</w:t>
                  </w:r>
                  <w:r>
                    <w:rPr>
                      <w:rFonts w:eastAsia="新宋体"/>
                      <w:b/>
                      <w:bCs/>
                      <w:color w:val="000000" w:themeColor="text1"/>
                      <w:kern w:val="0"/>
                      <w:sz w:val="18"/>
                      <w:szCs w:val="18"/>
                      <w14:textFill>
                        <w14:solidFill>
                          <w14:schemeClr w14:val="tx1"/>
                        </w14:solidFill>
                      </w14:textFill>
                    </w:rPr>
                    <w:t>/a</w:t>
                  </w:r>
                </w:p>
              </w:tc>
              <w:tc>
                <w:tcPr>
                  <w:tcW w:w="385" w:type="pct"/>
                  <w:vAlign w:val="center"/>
                </w:tcPr>
                <w:p w14:paraId="705A3DB4">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排放浓度mg/l</w:t>
                  </w:r>
                </w:p>
              </w:tc>
              <w:tc>
                <w:tcPr>
                  <w:tcW w:w="374" w:type="pct"/>
                  <w:vAlign w:val="center"/>
                </w:tcPr>
                <w:p w14:paraId="50FE1E65">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排放量t/a</w:t>
                  </w:r>
                </w:p>
              </w:tc>
              <w:tc>
                <w:tcPr>
                  <w:tcW w:w="366" w:type="pct"/>
                  <w:vAlign w:val="center"/>
                </w:tcPr>
                <w:p w14:paraId="3FE0FA35">
                  <w:pPr>
                    <w:jc w:val="center"/>
                    <w:rPr>
                      <w:rFonts w:eastAsia="新宋体"/>
                      <w:b/>
                      <w:bCs/>
                      <w:color w:val="000000" w:themeColor="text1"/>
                      <w:kern w:val="0"/>
                      <w:sz w:val="18"/>
                      <w:szCs w:val="18"/>
                      <w14:textFill>
                        <w14:solidFill>
                          <w14:schemeClr w14:val="tx1"/>
                        </w14:solidFill>
                      </w14:textFill>
                    </w:rPr>
                  </w:pPr>
                  <w:r>
                    <w:rPr>
                      <w:rFonts w:eastAsia="新宋体"/>
                      <w:b/>
                      <w:bCs/>
                      <w:color w:val="000000" w:themeColor="text1"/>
                      <w:kern w:val="0"/>
                      <w:sz w:val="18"/>
                      <w:szCs w:val="18"/>
                      <w14:textFill>
                        <w14:solidFill>
                          <w14:schemeClr w14:val="tx1"/>
                        </w14:solidFill>
                      </w14:textFill>
                    </w:rPr>
                    <w:t>浓度mg/l</w:t>
                  </w:r>
                </w:p>
              </w:tc>
            </w:tr>
            <w:tr w14:paraId="12E0D85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83" w:type="pct"/>
                  <w:vMerge w:val="restart"/>
                  <w:vAlign w:val="center"/>
                </w:tcPr>
                <w:p w14:paraId="4F07871B">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生活污水</w:t>
                  </w:r>
                </w:p>
              </w:tc>
              <w:tc>
                <w:tcPr>
                  <w:tcW w:w="380" w:type="pct"/>
                  <w:vAlign w:val="center"/>
                </w:tcPr>
                <w:p w14:paraId="6ED6E854">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pH</w:t>
                  </w:r>
                </w:p>
              </w:tc>
              <w:tc>
                <w:tcPr>
                  <w:tcW w:w="365" w:type="pct"/>
                  <w:vMerge w:val="restart"/>
                  <w:vAlign w:val="center"/>
                </w:tcPr>
                <w:p w14:paraId="459BD055">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576</w:t>
                  </w:r>
                </w:p>
              </w:tc>
              <w:tc>
                <w:tcPr>
                  <w:tcW w:w="566" w:type="pct"/>
                  <w:vAlign w:val="center"/>
                </w:tcPr>
                <w:p w14:paraId="0594236D">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6~</w:t>
                  </w:r>
                  <w:r>
                    <w:rPr>
                      <w:rFonts w:eastAsia="新宋体"/>
                      <w:color w:val="000000" w:themeColor="text1"/>
                      <w:kern w:val="0"/>
                      <w:sz w:val="18"/>
                      <w:szCs w:val="18"/>
                      <w14:textFill>
                        <w14:solidFill>
                          <w14:schemeClr w14:val="tx1"/>
                        </w14:solidFill>
                      </w14:textFill>
                    </w:rPr>
                    <w:t>9</w:t>
                  </w:r>
                  <w:r>
                    <w:rPr>
                      <w:rFonts w:hint="eastAsia" w:eastAsia="新宋体"/>
                      <w:color w:val="000000" w:themeColor="text1"/>
                      <w:kern w:val="0"/>
                      <w:sz w:val="18"/>
                      <w:szCs w:val="18"/>
                      <w14:textFill>
                        <w14:solidFill>
                          <w14:schemeClr w14:val="tx1"/>
                        </w14:solidFill>
                      </w14:textFill>
                    </w:rPr>
                    <w:t>（无量纲）</w:t>
                  </w:r>
                </w:p>
              </w:tc>
              <w:tc>
                <w:tcPr>
                  <w:tcW w:w="369" w:type="pct"/>
                  <w:vAlign w:val="center"/>
                </w:tcPr>
                <w:p w14:paraId="1F1FB835">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w:t>
                  </w:r>
                </w:p>
              </w:tc>
              <w:tc>
                <w:tcPr>
                  <w:tcW w:w="307" w:type="pct"/>
                  <w:vMerge w:val="restart"/>
                  <w:vAlign w:val="center"/>
                </w:tcPr>
                <w:p w14:paraId="1EEA9828">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15</w:t>
                  </w:r>
                </w:p>
              </w:tc>
              <w:tc>
                <w:tcPr>
                  <w:tcW w:w="308" w:type="pct"/>
                  <w:gridSpan w:val="2"/>
                  <w:vMerge w:val="restart"/>
                  <w:vAlign w:val="center"/>
                </w:tcPr>
                <w:p w14:paraId="28DBF446">
                  <w:pPr>
                    <w:jc w:val="center"/>
                    <w:rPr>
                      <w:rFonts w:eastAsia="新宋体"/>
                      <w:color w:val="000000" w:themeColor="text1"/>
                      <w:kern w:val="0"/>
                      <w:sz w:val="18"/>
                      <w:szCs w:val="18"/>
                      <w14:textFill>
                        <w14:solidFill>
                          <w14:schemeClr w14:val="tx1"/>
                        </w14:solidFill>
                      </w14:textFill>
                    </w:rPr>
                  </w:pPr>
                  <w:bookmarkStart w:id="56" w:name="OLE_LINK6"/>
                  <w:r>
                    <w:rPr>
                      <w:rFonts w:hint="eastAsia" w:eastAsia="新宋体"/>
                      <w:color w:val="000000" w:themeColor="text1"/>
                      <w:kern w:val="0"/>
                      <w:sz w:val="18"/>
                      <w:szCs w:val="18"/>
                      <w14:textFill>
                        <w14:solidFill>
                          <w14:schemeClr w14:val="tx1"/>
                        </w14:solidFill>
                      </w14:textFill>
                    </w:rPr>
                    <w:t>隔油池+化粪池</w:t>
                  </w:r>
                  <w:bookmarkEnd w:id="56"/>
                </w:p>
              </w:tc>
              <w:tc>
                <w:tcPr>
                  <w:tcW w:w="329" w:type="pct"/>
                  <w:gridSpan w:val="2"/>
                  <w:vAlign w:val="center"/>
                </w:tcPr>
                <w:p w14:paraId="1936EEAF">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w:t>
                  </w:r>
                </w:p>
              </w:tc>
              <w:tc>
                <w:tcPr>
                  <w:tcW w:w="286" w:type="pct"/>
                  <w:vMerge w:val="restart"/>
                  <w:vAlign w:val="center"/>
                </w:tcPr>
                <w:p w14:paraId="6B6F6D76">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是</w:t>
                  </w:r>
                </w:p>
              </w:tc>
              <w:tc>
                <w:tcPr>
                  <w:tcW w:w="473" w:type="pct"/>
                  <w:vMerge w:val="restart"/>
                  <w:vAlign w:val="center"/>
                </w:tcPr>
                <w:p w14:paraId="2CC7496B">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576</w:t>
                  </w:r>
                </w:p>
              </w:tc>
              <w:tc>
                <w:tcPr>
                  <w:tcW w:w="385" w:type="pct"/>
                  <w:vAlign w:val="center"/>
                </w:tcPr>
                <w:p w14:paraId="745869F5">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6~9</w:t>
                  </w:r>
                </w:p>
              </w:tc>
              <w:tc>
                <w:tcPr>
                  <w:tcW w:w="374" w:type="pct"/>
                  <w:vAlign w:val="center"/>
                </w:tcPr>
                <w:p w14:paraId="7EE5BEE8">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w:t>
                  </w:r>
                </w:p>
              </w:tc>
              <w:tc>
                <w:tcPr>
                  <w:tcW w:w="366" w:type="pct"/>
                  <w:vAlign w:val="center"/>
                </w:tcPr>
                <w:p w14:paraId="4ED9C17E">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6~9</w:t>
                  </w:r>
                </w:p>
              </w:tc>
            </w:tr>
            <w:tr w14:paraId="03507CA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83" w:type="pct"/>
                  <w:vMerge w:val="continue"/>
                  <w:vAlign w:val="center"/>
                </w:tcPr>
                <w:p w14:paraId="56D75139">
                  <w:pPr>
                    <w:jc w:val="center"/>
                    <w:rPr>
                      <w:rFonts w:eastAsia="新宋体"/>
                      <w:color w:val="000000" w:themeColor="text1"/>
                      <w:kern w:val="0"/>
                      <w:sz w:val="18"/>
                      <w:szCs w:val="18"/>
                      <w14:textFill>
                        <w14:solidFill>
                          <w14:schemeClr w14:val="tx1"/>
                        </w14:solidFill>
                      </w14:textFill>
                    </w:rPr>
                  </w:pPr>
                </w:p>
              </w:tc>
              <w:tc>
                <w:tcPr>
                  <w:tcW w:w="380" w:type="pct"/>
                  <w:vAlign w:val="center"/>
                </w:tcPr>
                <w:p w14:paraId="1D53E195">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CODcr</w:t>
                  </w:r>
                </w:p>
              </w:tc>
              <w:tc>
                <w:tcPr>
                  <w:tcW w:w="365" w:type="pct"/>
                  <w:vMerge w:val="continue"/>
                  <w:vAlign w:val="center"/>
                </w:tcPr>
                <w:p w14:paraId="3601DDDB">
                  <w:pPr>
                    <w:jc w:val="center"/>
                    <w:rPr>
                      <w:rFonts w:eastAsia="新宋体"/>
                      <w:color w:val="000000" w:themeColor="text1"/>
                      <w:kern w:val="0"/>
                      <w:sz w:val="18"/>
                      <w:szCs w:val="18"/>
                      <w14:textFill>
                        <w14:solidFill>
                          <w14:schemeClr w14:val="tx1"/>
                        </w14:solidFill>
                      </w14:textFill>
                    </w:rPr>
                  </w:pPr>
                </w:p>
              </w:tc>
              <w:tc>
                <w:tcPr>
                  <w:tcW w:w="566" w:type="pct"/>
                  <w:vAlign w:val="center"/>
                </w:tcPr>
                <w:p w14:paraId="00A8F467">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250</w:t>
                  </w:r>
                </w:p>
              </w:tc>
              <w:tc>
                <w:tcPr>
                  <w:tcW w:w="369" w:type="pct"/>
                  <w:vAlign w:val="center"/>
                </w:tcPr>
                <w:p w14:paraId="6CB4BEB9">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w:t>
                  </w:r>
                  <w:r>
                    <w:rPr>
                      <w:rFonts w:hint="eastAsia" w:eastAsia="新宋体"/>
                      <w:color w:val="000000" w:themeColor="text1"/>
                      <w:kern w:val="0"/>
                      <w:sz w:val="18"/>
                      <w:szCs w:val="18"/>
                      <w14:textFill>
                        <w14:solidFill>
                          <w14:schemeClr w14:val="tx1"/>
                        </w14:solidFill>
                      </w14:textFill>
                    </w:rPr>
                    <w:t>144</w:t>
                  </w:r>
                </w:p>
              </w:tc>
              <w:tc>
                <w:tcPr>
                  <w:tcW w:w="307" w:type="pct"/>
                  <w:vMerge w:val="continue"/>
                  <w:vAlign w:val="center"/>
                </w:tcPr>
                <w:p w14:paraId="6D05BEF5">
                  <w:pPr>
                    <w:rPr>
                      <w:rFonts w:eastAsia="新宋体"/>
                      <w:color w:val="000000" w:themeColor="text1"/>
                      <w:kern w:val="0"/>
                      <w:sz w:val="18"/>
                      <w:szCs w:val="18"/>
                      <w14:textFill>
                        <w14:solidFill>
                          <w14:schemeClr w14:val="tx1"/>
                        </w14:solidFill>
                      </w14:textFill>
                    </w:rPr>
                  </w:pPr>
                </w:p>
              </w:tc>
              <w:tc>
                <w:tcPr>
                  <w:tcW w:w="308" w:type="pct"/>
                  <w:gridSpan w:val="2"/>
                  <w:vMerge w:val="continue"/>
                  <w:vAlign w:val="center"/>
                </w:tcPr>
                <w:p w14:paraId="107BBD36">
                  <w:pPr>
                    <w:rPr>
                      <w:rFonts w:eastAsia="新宋体"/>
                      <w:color w:val="000000" w:themeColor="text1"/>
                      <w:kern w:val="0"/>
                      <w:sz w:val="18"/>
                      <w:szCs w:val="18"/>
                      <w14:textFill>
                        <w14:solidFill>
                          <w14:schemeClr w14:val="tx1"/>
                        </w14:solidFill>
                      </w14:textFill>
                    </w:rPr>
                  </w:pPr>
                </w:p>
              </w:tc>
              <w:tc>
                <w:tcPr>
                  <w:tcW w:w="329" w:type="pct"/>
                  <w:gridSpan w:val="2"/>
                  <w:vAlign w:val="center"/>
                </w:tcPr>
                <w:p w14:paraId="76166BFF">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20</w:t>
                  </w:r>
                </w:p>
              </w:tc>
              <w:tc>
                <w:tcPr>
                  <w:tcW w:w="286" w:type="pct"/>
                  <w:vMerge w:val="continue"/>
                  <w:vAlign w:val="center"/>
                </w:tcPr>
                <w:p w14:paraId="553A1C5B">
                  <w:pPr>
                    <w:rPr>
                      <w:rFonts w:eastAsia="新宋体"/>
                      <w:color w:val="000000" w:themeColor="text1"/>
                      <w:kern w:val="0"/>
                      <w:sz w:val="18"/>
                      <w:szCs w:val="18"/>
                      <w14:textFill>
                        <w14:solidFill>
                          <w14:schemeClr w14:val="tx1"/>
                        </w14:solidFill>
                      </w14:textFill>
                    </w:rPr>
                  </w:pPr>
                </w:p>
              </w:tc>
              <w:tc>
                <w:tcPr>
                  <w:tcW w:w="473" w:type="pct"/>
                  <w:vMerge w:val="continue"/>
                  <w:vAlign w:val="center"/>
                </w:tcPr>
                <w:p w14:paraId="315EBFAD">
                  <w:pPr>
                    <w:jc w:val="center"/>
                    <w:rPr>
                      <w:rFonts w:eastAsia="新宋体"/>
                      <w:color w:val="000000" w:themeColor="text1"/>
                      <w:kern w:val="0"/>
                      <w:sz w:val="18"/>
                      <w:szCs w:val="18"/>
                      <w14:textFill>
                        <w14:solidFill>
                          <w14:schemeClr w14:val="tx1"/>
                        </w14:solidFill>
                      </w14:textFill>
                    </w:rPr>
                  </w:pPr>
                </w:p>
              </w:tc>
              <w:tc>
                <w:tcPr>
                  <w:tcW w:w="385" w:type="pct"/>
                  <w:tcBorders>
                    <w:top w:val="nil"/>
                    <w:left w:val="nil"/>
                    <w:bottom w:val="single" w:color="auto" w:sz="12" w:space="0"/>
                    <w:right w:val="single" w:color="auto" w:sz="12" w:space="0"/>
                  </w:tcBorders>
                  <w:vAlign w:val="center"/>
                </w:tcPr>
                <w:p w14:paraId="1AEC29EA">
                  <w:pPr>
                    <w:jc w:val="center"/>
                    <w:rPr>
                      <w:rFonts w:eastAsia="新宋体"/>
                      <w:color w:val="000000" w:themeColor="text1"/>
                      <w:kern w:val="0"/>
                      <w:sz w:val="18"/>
                      <w:szCs w:val="18"/>
                      <w14:textFill>
                        <w14:solidFill>
                          <w14:schemeClr w14:val="tx1"/>
                        </w14:solidFill>
                      </w14:textFill>
                    </w:rPr>
                  </w:pPr>
                  <w:r>
                    <w:rPr>
                      <w:rFonts w:eastAsia="等线"/>
                      <w:color w:val="000000" w:themeColor="text1"/>
                      <w:sz w:val="18"/>
                      <w:szCs w:val="18"/>
                      <w14:textFill>
                        <w14:solidFill>
                          <w14:schemeClr w14:val="tx1"/>
                        </w14:solidFill>
                      </w14:textFill>
                    </w:rPr>
                    <w:t>200</w:t>
                  </w:r>
                </w:p>
              </w:tc>
              <w:tc>
                <w:tcPr>
                  <w:tcW w:w="374" w:type="pct"/>
                  <w:vAlign w:val="center"/>
                </w:tcPr>
                <w:p w14:paraId="7110B638">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w:t>
                  </w:r>
                  <w:r>
                    <w:rPr>
                      <w:rFonts w:hint="eastAsia" w:eastAsia="新宋体"/>
                      <w:color w:val="000000" w:themeColor="text1"/>
                      <w:kern w:val="0"/>
                      <w:sz w:val="18"/>
                      <w:szCs w:val="18"/>
                      <w14:textFill>
                        <w14:solidFill>
                          <w14:schemeClr w14:val="tx1"/>
                        </w14:solidFill>
                      </w14:textFill>
                    </w:rPr>
                    <w:t>115</w:t>
                  </w:r>
                </w:p>
              </w:tc>
              <w:tc>
                <w:tcPr>
                  <w:tcW w:w="366" w:type="pct"/>
                  <w:vAlign w:val="center"/>
                </w:tcPr>
                <w:p w14:paraId="292B75BC">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5</w:t>
                  </w:r>
                  <w:r>
                    <w:rPr>
                      <w:rFonts w:eastAsia="新宋体"/>
                      <w:color w:val="000000" w:themeColor="text1"/>
                      <w:kern w:val="0"/>
                      <w:sz w:val="18"/>
                      <w:szCs w:val="18"/>
                      <w14:textFill>
                        <w14:solidFill>
                          <w14:schemeClr w14:val="tx1"/>
                        </w14:solidFill>
                      </w14:textFill>
                    </w:rPr>
                    <w:t>00</w:t>
                  </w:r>
                </w:p>
              </w:tc>
            </w:tr>
            <w:tr w14:paraId="709972E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83" w:type="pct"/>
                  <w:vMerge w:val="continue"/>
                  <w:vAlign w:val="center"/>
                </w:tcPr>
                <w:p w14:paraId="41CAAD7E">
                  <w:pPr>
                    <w:jc w:val="center"/>
                    <w:rPr>
                      <w:rFonts w:eastAsia="新宋体"/>
                      <w:color w:val="000000" w:themeColor="text1"/>
                      <w:kern w:val="0"/>
                      <w:sz w:val="18"/>
                      <w:szCs w:val="18"/>
                      <w14:textFill>
                        <w14:solidFill>
                          <w14:schemeClr w14:val="tx1"/>
                        </w14:solidFill>
                      </w14:textFill>
                    </w:rPr>
                  </w:pPr>
                </w:p>
              </w:tc>
              <w:tc>
                <w:tcPr>
                  <w:tcW w:w="380" w:type="pct"/>
                  <w:vAlign w:val="center"/>
                </w:tcPr>
                <w:p w14:paraId="176E95AB">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BOD</w:t>
                  </w:r>
                  <w:r>
                    <w:rPr>
                      <w:rFonts w:eastAsia="新宋体"/>
                      <w:color w:val="000000" w:themeColor="text1"/>
                      <w:kern w:val="0"/>
                      <w:sz w:val="18"/>
                      <w:szCs w:val="18"/>
                      <w:vertAlign w:val="subscript"/>
                      <w14:textFill>
                        <w14:solidFill>
                          <w14:schemeClr w14:val="tx1"/>
                        </w14:solidFill>
                      </w14:textFill>
                    </w:rPr>
                    <w:t>5</w:t>
                  </w:r>
                </w:p>
              </w:tc>
              <w:tc>
                <w:tcPr>
                  <w:tcW w:w="365" w:type="pct"/>
                  <w:vMerge w:val="continue"/>
                  <w:vAlign w:val="center"/>
                </w:tcPr>
                <w:p w14:paraId="087071E7">
                  <w:pPr>
                    <w:jc w:val="center"/>
                    <w:rPr>
                      <w:rFonts w:eastAsia="新宋体"/>
                      <w:color w:val="000000" w:themeColor="text1"/>
                      <w:kern w:val="0"/>
                      <w:sz w:val="18"/>
                      <w:szCs w:val="18"/>
                      <w14:textFill>
                        <w14:solidFill>
                          <w14:schemeClr w14:val="tx1"/>
                        </w14:solidFill>
                      </w14:textFill>
                    </w:rPr>
                  </w:pPr>
                </w:p>
              </w:tc>
              <w:tc>
                <w:tcPr>
                  <w:tcW w:w="566" w:type="pct"/>
                  <w:vAlign w:val="center"/>
                </w:tcPr>
                <w:p w14:paraId="5CCE67E8">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100</w:t>
                  </w:r>
                </w:p>
              </w:tc>
              <w:tc>
                <w:tcPr>
                  <w:tcW w:w="369" w:type="pct"/>
                  <w:vAlign w:val="center"/>
                </w:tcPr>
                <w:p w14:paraId="757529F0">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w:t>
                  </w:r>
                  <w:r>
                    <w:rPr>
                      <w:rFonts w:hint="eastAsia" w:eastAsia="新宋体"/>
                      <w:color w:val="000000" w:themeColor="text1"/>
                      <w:kern w:val="0"/>
                      <w:sz w:val="18"/>
                      <w:szCs w:val="18"/>
                      <w14:textFill>
                        <w14:solidFill>
                          <w14:schemeClr w14:val="tx1"/>
                        </w14:solidFill>
                      </w14:textFill>
                    </w:rPr>
                    <w:t>058</w:t>
                  </w:r>
                </w:p>
              </w:tc>
              <w:tc>
                <w:tcPr>
                  <w:tcW w:w="307" w:type="pct"/>
                  <w:vMerge w:val="continue"/>
                  <w:vAlign w:val="center"/>
                </w:tcPr>
                <w:p w14:paraId="2AD6C34A">
                  <w:pPr>
                    <w:rPr>
                      <w:rFonts w:eastAsia="新宋体"/>
                      <w:color w:val="000000" w:themeColor="text1"/>
                      <w:kern w:val="0"/>
                      <w:sz w:val="18"/>
                      <w:szCs w:val="18"/>
                      <w14:textFill>
                        <w14:solidFill>
                          <w14:schemeClr w14:val="tx1"/>
                        </w14:solidFill>
                      </w14:textFill>
                    </w:rPr>
                  </w:pPr>
                </w:p>
              </w:tc>
              <w:tc>
                <w:tcPr>
                  <w:tcW w:w="308" w:type="pct"/>
                  <w:gridSpan w:val="2"/>
                  <w:vMerge w:val="continue"/>
                  <w:vAlign w:val="center"/>
                </w:tcPr>
                <w:p w14:paraId="0C0EC554">
                  <w:pPr>
                    <w:rPr>
                      <w:rFonts w:eastAsia="新宋体"/>
                      <w:color w:val="000000" w:themeColor="text1"/>
                      <w:kern w:val="0"/>
                      <w:sz w:val="18"/>
                      <w:szCs w:val="18"/>
                      <w14:textFill>
                        <w14:solidFill>
                          <w14:schemeClr w14:val="tx1"/>
                        </w14:solidFill>
                      </w14:textFill>
                    </w:rPr>
                  </w:pPr>
                </w:p>
              </w:tc>
              <w:tc>
                <w:tcPr>
                  <w:tcW w:w="329" w:type="pct"/>
                  <w:gridSpan w:val="2"/>
                  <w:vAlign w:val="center"/>
                </w:tcPr>
                <w:p w14:paraId="2DB4DA05">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20</w:t>
                  </w:r>
                </w:p>
              </w:tc>
              <w:tc>
                <w:tcPr>
                  <w:tcW w:w="286" w:type="pct"/>
                  <w:vMerge w:val="continue"/>
                  <w:vAlign w:val="center"/>
                </w:tcPr>
                <w:p w14:paraId="0E1CB5A1">
                  <w:pPr>
                    <w:rPr>
                      <w:rFonts w:eastAsia="新宋体"/>
                      <w:color w:val="000000" w:themeColor="text1"/>
                      <w:kern w:val="0"/>
                      <w:sz w:val="18"/>
                      <w:szCs w:val="18"/>
                      <w14:textFill>
                        <w14:solidFill>
                          <w14:schemeClr w14:val="tx1"/>
                        </w14:solidFill>
                      </w14:textFill>
                    </w:rPr>
                  </w:pPr>
                </w:p>
              </w:tc>
              <w:tc>
                <w:tcPr>
                  <w:tcW w:w="473" w:type="pct"/>
                  <w:vMerge w:val="continue"/>
                  <w:vAlign w:val="center"/>
                </w:tcPr>
                <w:p w14:paraId="7E70A3B9">
                  <w:pPr>
                    <w:jc w:val="center"/>
                    <w:rPr>
                      <w:rFonts w:eastAsia="新宋体"/>
                      <w:color w:val="000000" w:themeColor="text1"/>
                      <w:kern w:val="0"/>
                      <w:sz w:val="18"/>
                      <w:szCs w:val="18"/>
                      <w14:textFill>
                        <w14:solidFill>
                          <w14:schemeClr w14:val="tx1"/>
                        </w14:solidFill>
                      </w14:textFill>
                    </w:rPr>
                  </w:pPr>
                </w:p>
              </w:tc>
              <w:tc>
                <w:tcPr>
                  <w:tcW w:w="385" w:type="pct"/>
                  <w:tcBorders>
                    <w:top w:val="nil"/>
                    <w:left w:val="nil"/>
                    <w:bottom w:val="single" w:color="auto" w:sz="12" w:space="0"/>
                    <w:right w:val="single" w:color="auto" w:sz="12" w:space="0"/>
                  </w:tcBorders>
                  <w:vAlign w:val="center"/>
                </w:tcPr>
                <w:p w14:paraId="4245DFED">
                  <w:pPr>
                    <w:jc w:val="center"/>
                    <w:rPr>
                      <w:rFonts w:eastAsia="新宋体"/>
                      <w:color w:val="000000" w:themeColor="text1"/>
                      <w:kern w:val="0"/>
                      <w:sz w:val="18"/>
                      <w:szCs w:val="18"/>
                      <w14:textFill>
                        <w14:solidFill>
                          <w14:schemeClr w14:val="tx1"/>
                        </w14:solidFill>
                      </w14:textFill>
                    </w:rPr>
                  </w:pPr>
                  <w:r>
                    <w:rPr>
                      <w:rFonts w:eastAsia="等线"/>
                      <w:color w:val="000000" w:themeColor="text1"/>
                      <w:sz w:val="18"/>
                      <w:szCs w:val="18"/>
                      <w14:textFill>
                        <w14:solidFill>
                          <w14:schemeClr w14:val="tx1"/>
                        </w14:solidFill>
                      </w14:textFill>
                    </w:rPr>
                    <w:t>80</w:t>
                  </w:r>
                </w:p>
              </w:tc>
              <w:tc>
                <w:tcPr>
                  <w:tcW w:w="374" w:type="pct"/>
                  <w:vAlign w:val="center"/>
                </w:tcPr>
                <w:p w14:paraId="0DAC5A59">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w:t>
                  </w:r>
                  <w:r>
                    <w:rPr>
                      <w:rFonts w:hint="eastAsia" w:eastAsia="新宋体"/>
                      <w:color w:val="000000" w:themeColor="text1"/>
                      <w:kern w:val="0"/>
                      <w:sz w:val="18"/>
                      <w:szCs w:val="18"/>
                      <w14:textFill>
                        <w14:solidFill>
                          <w14:schemeClr w14:val="tx1"/>
                        </w14:solidFill>
                      </w14:textFill>
                    </w:rPr>
                    <w:t>046</w:t>
                  </w:r>
                </w:p>
              </w:tc>
              <w:tc>
                <w:tcPr>
                  <w:tcW w:w="366" w:type="pct"/>
                  <w:vAlign w:val="center"/>
                </w:tcPr>
                <w:p w14:paraId="2812B43E">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3</w:t>
                  </w:r>
                  <w:r>
                    <w:rPr>
                      <w:rFonts w:eastAsia="新宋体"/>
                      <w:color w:val="000000" w:themeColor="text1"/>
                      <w:kern w:val="0"/>
                      <w:sz w:val="18"/>
                      <w:szCs w:val="18"/>
                      <w14:textFill>
                        <w14:solidFill>
                          <w14:schemeClr w14:val="tx1"/>
                        </w14:solidFill>
                      </w14:textFill>
                    </w:rPr>
                    <w:t>00</w:t>
                  </w:r>
                </w:p>
              </w:tc>
            </w:tr>
            <w:tr w14:paraId="02A5B69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83" w:type="pct"/>
                  <w:vMerge w:val="continue"/>
                  <w:vAlign w:val="center"/>
                </w:tcPr>
                <w:p w14:paraId="49DB0E72">
                  <w:pPr>
                    <w:jc w:val="center"/>
                    <w:rPr>
                      <w:rFonts w:eastAsia="新宋体"/>
                      <w:color w:val="000000" w:themeColor="text1"/>
                      <w:kern w:val="0"/>
                      <w:sz w:val="18"/>
                      <w:szCs w:val="18"/>
                      <w14:textFill>
                        <w14:solidFill>
                          <w14:schemeClr w14:val="tx1"/>
                        </w14:solidFill>
                      </w14:textFill>
                    </w:rPr>
                  </w:pPr>
                </w:p>
              </w:tc>
              <w:tc>
                <w:tcPr>
                  <w:tcW w:w="380" w:type="pct"/>
                  <w:vAlign w:val="center"/>
                </w:tcPr>
                <w:p w14:paraId="73C5FA29">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SS</w:t>
                  </w:r>
                </w:p>
              </w:tc>
              <w:tc>
                <w:tcPr>
                  <w:tcW w:w="365" w:type="pct"/>
                  <w:vMerge w:val="continue"/>
                  <w:vAlign w:val="center"/>
                </w:tcPr>
                <w:p w14:paraId="0D1AF36E">
                  <w:pPr>
                    <w:jc w:val="center"/>
                    <w:rPr>
                      <w:rFonts w:eastAsia="新宋体"/>
                      <w:color w:val="000000" w:themeColor="text1"/>
                      <w:kern w:val="0"/>
                      <w:sz w:val="18"/>
                      <w:szCs w:val="18"/>
                      <w14:textFill>
                        <w14:solidFill>
                          <w14:schemeClr w14:val="tx1"/>
                        </w14:solidFill>
                      </w14:textFill>
                    </w:rPr>
                  </w:pPr>
                </w:p>
              </w:tc>
              <w:tc>
                <w:tcPr>
                  <w:tcW w:w="566" w:type="pct"/>
                  <w:vAlign w:val="center"/>
                </w:tcPr>
                <w:p w14:paraId="5DF9723D">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150</w:t>
                  </w:r>
                </w:p>
              </w:tc>
              <w:tc>
                <w:tcPr>
                  <w:tcW w:w="369" w:type="pct"/>
                  <w:vAlign w:val="center"/>
                </w:tcPr>
                <w:p w14:paraId="45A07F9A">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w:t>
                  </w:r>
                  <w:r>
                    <w:rPr>
                      <w:rFonts w:hint="eastAsia" w:eastAsia="新宋体"/>
                      <w:color w:val="000000" w:themeColor="text1"/>
                      <w:kern w:val="0"/>
                      <w:sz w:val="18"/>
                      <w:szCs w:val="18"/>
                      <w14:textFill>
                        <w14:solidFill>
                          <w14:schemeClr w14:val="tx1"/>
                        </w14:solidFill>
                      </w14:textFill>
                    </w:rPr>
                    <w:t>086</w:t>
                  </w:r>
                </w:p>
              </w:tc>
              <w:tc>
                <w:tcPr>
                  <w:tcW w:w="307" w:type="pct"/>
                  <w:vMerge w:val="continue"/>
                  <w:vAlign w:val="center"/>
                </w:tcPr>
                <w:p w14:paraId="394C10EF">
                  <w:pPr>
                    <w:rPr>
                      <w:rFonts w:eastAsia="新宋体"/>
                      <w:color w:val="000000" w:themeColor="text1"/>
                      <w:kern w:val="0"/>
                      <w:sz w:val="18"/>
                      <w:szCs w:val="18"/>
                      <w14:textFill>
                        <w14:solidFill>
                          <w14:schemeClr w14:val="tx1"/>
                        </w14:solidFill>
                      </w14:textFill>
                    </w:rPr>
                  </w:pPr>
                </w:p>
              </w:tc>
              <w:tc>
                <w:tcPr>
                  <w:tcW w:w="308" w:type="pct"/>
                  <w:gridSpan w:val="2"/>
                  <w:vMerge w:val="continue"/>
                  <w:vAlign w:val="center"/>
                </w:tcPr>
                <w:p w14:paraId="3632806F">
                  <w:pPr>
                    <w:rPr>
                      <w:rFonts w:eastAsia="新宋体"/>
                      <w:color w:val="000000" w:themeColor="text1"/>
                      <w:kern w:val="0"/>
                      <w:sz w:val="18"/>
                      <w:szCs w:val="18"/>
                      <w14:textFill>
                        <w14:solidFill>
                          <w14:schemeClr w14:val="tx1"/>
                        </w14:solidFill>
                      </w14:textFill>
                    </w:rPr>
                  </w:pPr>
                </w:p>
              </w:tc>
              <w:tc>
                <w:tcPr>
                  <w:tcW w:w="329" w:type="pct"/>
                  <w:gridSpan w:val="2"/>
                  <w:vAlign w:val="center"/>
                </w:tcPr>
                <w:p w14:paraId="4A75F379">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30</w:t>
                  </w:r>
                </w:p>
              </w:tc>
              <w:tc>
                <w:tcPr>
                  <w:tcW w:w="286" w:type="pct"/>
                  <w:vMerge w:val="continue"/>
                  <w:vAlign w:val="center"/>
                </w:tcPr>
                <w:p w14:paraId="2A0A37EF">
                  <w:pPr>
                    <w:rPr>
                      <w:rFonts w:eastAsia="新宋体"/>
                      <w:color w:val="000000" w:themeColor="text1"/>
                      <w:kern w:val="0"/>
                      <w:sz w:val="18"/>
                      <w:szCs w:val="18"/>
                      <w14:textFill>
                        <w14:solidFill>
                          <w14:schemeClr w14:val="tx1"/>
                        </w14:solidFill>
                      </w14:textFill>
                    </w:rPr>
                  </w:pPr>
                </w:p>
              </w:tc>
              <w:tc>
                <w:tcPr>
                  <w:tcW w:w="473" w:type="pct"/>
                  <w:vMerge w:val="continue"/>
                  <w:vAlign w:val="center"/>
                </w:tcPr>
                <w:p w14:paraId="65109088">
                  <w:pPr>
                    <w:jc w:val="center"/>
                    <w:rPr>
                      <w:rFonts w:eastAsia="新宋体"/>
                      <w:color w:val="000000" w:themeColor="text1"/>
                      <w:kern w:val="0"/>
                      <w:sz w:val="18"/>
                      <w:szCs w:val="18"/>
                      <w14:textFill>
                        <w14:solidFill>
                          <w14:schemeClr w14:val="tx1"/>
                        </w14:solidFill>
                      </w14:textFill>
                    </w:rPr>
                  </w:pPr>
                </w:p>
              </w:tc>
              <w:tc>
                <w:tcPr>
                  <w:tcW w:w="385" w:type="pct"/>
                  <w:tcBorders>
                    <w:top w:val="nil"/>
                    <w:left w:val="nil"/>
                    <w:bottom w:val="single" w:color="auto" w:sz="12" w:space="0"/>
                    <w:right w:val="single" w:color="auto" w:sz="12" w:space="0"/>
                  </w:tcBorders>
                  <w:vAlign w:val="center"/>
                </w:tcPr>
                <w:p w14:paraId="4785A0E6">
                  <w:pPr>
                    <w:jc w:val="center"/>
                    <w:rPr>
                      <w:rFonts w:eastAsia="新宋体"/>
                      <w:color w:val="000000" w:themeColor="text1"/>
                      <w:kern w:val="0"/>
                      <w:sz w:val="18"/>
                      <w:szCs w:val="18"/>
                      <w14:textFill>
                        <w14:solidFill>
                          <w14:schemeClr w14:val="tx1"/>
                        </w14:solidFill>
                      </w14:textFill>
                    </w:rPr>
                  </w:pPr>
                  <w:r>
                    <w:rPr>
                      <w:rFonts w:eastAsia="等线"/>
                      <w:color w:val="000000" w:themeColor="text1"/>
                      <w:sz w:val="18"/>
                      <w:szCs w:val="18"/>
                      <w14:textFill>
                        <w14:solidFill>
                          <w14:schemeClr w14:val="tx1"/>
                        </w14:solidFill>
                      </w14:textFill>
                    </w:rPr>
                    <w:t>105</w:t>
                  </w:r>
                </w:p>
              </w:tc>
              <w:tc>
                <w:tcPr>
                  <w:tcW w:w="374" w:type="pct"/>
                  <w:vAlign w:val="center"/>
                </w:tcPr>
                <w:p w14:paraId="6C7A7C2E">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w:t>
                  </w:r>
                  <w:r>
                    <w:rPr>
                      <w:rFonts w:hint="eastAsia" w:eastAsia="新宋体"/>
                      <w:color w:val="000000" w:themeColor="text1"/>
                      <w:kern w:val="0"/>
                      <w:sz w:val="18"/>
                      <w:szCs w:val="18"/>
                      <w14:textFill>
                        <w14:solidFill>
                          <w14:schemeClr w14:val="tx1"/>
                        </w14:solidFill>
                      </w14:textFill>
                    </w:rPr>
                    <w:t>060</w:t>
                  </w:r>
                </w:p>
              </w:tc>
              <w:tc>
                <w:tcPr>
                  <w:tcW w:w="366" w:type="pct"/>
                  <w:vAlign w:val="center"/>
                </w:tcPr>
                <w:p w14:paraId="31FAEEBE">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40</w:t>
                  </w:r>
                  <w:r>
                    <w:rPr>
                      <w:rFonts w:eastAsia="新宋体"/>
                      <w:color w:val="000000" w:themeColor="text1"/>
                      <w:kern w:val="0"/>
                      <w:sz w:val="18"/>
                      <w:szCs w:val="18"/>
                      <w14:textFill>
                        <w14:solidFill>
                          <w14:schemeClr w14:val="tx1"/>
                        </w14:solidFill>
                      </w14:textFill>
                    </w:rPr>
                    <w:t>0</w:t>
                  </w:r>
                </w:p>
              </w:tc>
            </w:tr>
            <w:tr w14:paraId="764F199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83" w:type="pct"/>
                  <w:vMerge w:val="continue"/>
                  <w:vAlign w:val="center"/>
                </w:tcPr>
                <w:p w14:paraId="2A5A3784">
                  <w:pPr>
                    <w:jc w:val="center"/>
                    <w:rPr>
                      <w:rFonts w:eastAsia="新宋体"/>
                      <w:color w:val="000000" w:themeColor="text1"/>
                      <w:kern w:val="0"/>
                      <w:sz w:val="18"/>
                      <w:szCs w:val="18"/>
                      <w14:textFill>
                        <w14:solidFill>
                          <w14:schemeClr w14:val="tx1"/>
                        </w14:solidFill>
                      </w14:textFill>
                    </w:rPr>
                  </w:pPr>
                </w:p>
              </w:tc>
              <w:tc>
                <w:tcPr>
                  <w:tcW w:w="380" w:type="pct"/>
                  <w:vAlign w:val="center"/>
                </w:tcPr>
                <w:p w14:paraId="62107E12">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NH</w:t>
                  </w:r>
                  <w:r>
                    <w:rPr>
                      <w:rFonts w:eastAsia="新宋体"/>
                      <w:color w:val="000000" w:themeColor="text1"/>
                      <w:kern w:val="0"/>
                      <w:sz w:val="18"/>
                      <w:szCs w:val="18"/>
                      <w:vertAlign w:val="subscript"/>
                      <w14:textFill>
                        <w14:solidFill>
                          <w14:schemeClr w14:val="tx1"/>
                        </w14:solidFill>
                      </w14:textFill>
                    </w:rPr>
                    <w:t>3</w:t>
                  </w:r>
                  <w:r>
                    <w:rPr>
                      <w:rFonts w:eastAsia="新宋体"/>
                      <w:color w:val="000000" w:themeColor="text1"/>
                      <w:kern w:val="0"/>
                      <w:sz w:val="18"/>
                      <w:szCs w:val="18"/>
                      <w14:textFill>
                        <w14:solidFill>
                          <w14:schemeClr w14:val="tx1"/>
                        </w14:solidFill>
                      </w14:textFill>
                    </w:rPr>
                    <w:t>-N</w:t>
                  </w:r>
                </w:p>
              </w:tc>
              <w:tc>
                <w:tcPr>
                  <w:tcW w:w="365" w:type="pct"/>
                  <w:vMerge w:val="continue"/>
                  <w:vAlign w:val="center"/>
                </w:tcPr>
                <w:p w14:paraId="2DC17572">
                  <w:pPr>
                    <w:jc w:val="center"/>
                    <w:rPr>
                      <w:rFonts w:eastAsia="新宋体"/>
                      <w:color w:val="000000" w:themeColor="text1"/>
                      <w:kern w:val="0"/>
                      <w:sz w:val="18"/>
                      <w:szCs w:val="18"/>
                      <w14:textFill>
                        <w14:solidFill>
                          <w14:schemeClr w14:val="tx1"/>
                        </w14:solidFill>
                      </w14:textFill>
                    </w:rPr>
                  </w:pPr>
                </w:p>
              </w:tc>
              <w:tc>
                <w:tcPr>
                  <w:tcW w:w="566" w:type="pct"/>
                  <w:vAlign w:val="center"/>
                </w:tcPr>
                <w:p w14:paraId="71C36862">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25</w:t>
                  </w:r>
                </w:p>
              </w:tc>
              <w:tc>
                <w:tcPr>
                  <w:tcW w:w="369" w:type="pct"/>
                  <w:vAlign w:val="center"/>
                </w:tcPr>
                <w:p w14:paraId="70886CDD">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.0</w:t>
                  </w:r>
                  <w:r>
                    <w:rPr>
                      <w:rFonts w:hint="eastAsia" w:eastAsia="新宋体"/>
                      <w:color w:val="000000" w:themeColor="text1"/>
                      <w:kern w:val="0"/>
                      <w:sz w:val="18"/>
                      <w:szCs w:val="18"/>
                      <w14:textFill>
                        <w14:solidFill>
                          <w14:schemeClr w14:val="tx1"/>
                        </w14:solidFill>
                      </w14:textFill>
                    </w:rPr>
                    <w:t>14</w:t>
                  </w:r>
                </w:p>
              </w:tc>
              <w:tc>
                <w:tcPr>
                  <w:tcW w:w="307" w:type="pct"/>
                  <w:vMerge w:val="continue"/>
                  <w:vAlign w:val="center"/>
                </w:tcPr>
                <w:p w14:paraId="3CC53E77">
                  <w:pPr>
                    <w:rPr>
                      <w:rFonts w:eastAsia="新宋体"/>
                      <w:color w:val="000000" w:themeColor="text1"/>
                      <w:kern w:val="0"/>
                      <w:sz w:val="18"/>
                      <w:szCs w:val="18"/>
                      <w14:textFill>
                        <w14:solidFill>
                          <w14:schemeClr w14:val="tx1"/>
                        </w14:solidFill>
                      </w14:textFill>
                    </w:rPr>
                  </w:pPr>
                </w:p>
              </w:tc>
              <w:tc>
                <w:tcPr>
                  <w:tcW w:w="308" w:type="pct"/>
                  <w:gridSpan w:val="2"/>
                  <w:vMerge w:val="continue"/>
                  <w:vAlign w:val="center"/>
                </w:tcPr>
                <w:p w14:paraId="75FA2F86">
                  <w:pPr>
                    <w:rPr>
                      <w:rFonts w:eastAsia="新宋体"/>
                      <w:color w:val="000000" w:themeColor="text1"/>
                      <w:kern w:val="0"/>
                      <w:sz w:val="18"/>
                      <w:szCs w:val="18"/>
                      <w14:textFill>
                        <w14:solidFill>
                          <w14:schemeClr w14:val="tx1"/>
                        </w14:solidFill>
                      </w14:textFill>
                    </w:rPr>
                  </w:pPr>
                </w:p>
              </w:tc>
              <w:tc>
                <w:tcPr>
                  <w:tcW w:w="329" w:type="pct"/>
                  <w:gridSpan w:val="2"/>
                  <w:vAlign w:val="center"/>
                </w:tcPr>
                <w:p w14:paraId="19FE0EC9">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20</w:t>
                  </w:r>
                </w:p>
              </w:tc>
              <w:tc>
                <w:tcPr>
                  <w:tcW w:w="286" w:type="pct"/>
                  <w:vMerge w:val="continue"/>
                  <w:vAlign w:val="center"/>
                </w:tcPr>
                <w:p w14:paraId="4289E619">
                  <w:pPr>
                    <w:rPr>
                      <w:rFonts w:eastAsia="新宋体"/>
                      <w:color w:val="000000" w:themeColor="text1"/>
                      <w:kern w:val="0"/>
                      <w:sz w:val="18"/>
                      <w:szCs w:val="18"/>
                      <w14:textFill>
                        <w14:solidFill>
                          <w14:schemeClr w14:val="tx1"/>
                        </w14:solidFill>
                      </w14:textFill>
                    </w:rPr>
                  </w:pPr>
                </w:p>
              </w:tc>
              <w:tc>
                <w:tcPr>
                  <w:tcW w:w="473" w:type="pct"/>
                  <w:vMerge w:val="continue"/>
                  <w:vAlign w:val="center"/>
                </w:tcPr>
                <w:p w14:paraId="3F4D25F3">
                  <w:pPr>
                    <w:jc w:val="center"/>
                    <w:rPr>
                      <w:rFonts w:eastAsia="新宋体"/>
                      <w:color w:val="000000" w:themeColor="text1"/>
                      <w:kern w:val="0"/>
                      <w:sz w:val="18"/>
                      <w:szCs w:val="18"/>
                      <w14:textFill>
                        <w14:solidFill>
                          <w14:schemeClr w14:val="tx1"/>
                        </w14:solidFill>
                      </w14:textFill>
                    </w:rPr>
                  </w:pPr>
                </w:p>
              </w:tc>
              <w:tc>
                <w:tcPr>
                  <w:tcW w:w="385" w:type="pct"/>
                  <w:tcBorders>
                    <w:top w:val="nil"/>
                    <w:left w:val="nil"/>
                    <w:bottom w:val="single" w:color="auto" w:sz="12" w:space="0"/>
                    <w:right w:val="single" w:color="auto" w:sz="12" w:space="0"/>
                  </w:tcBorders>
                  <w:vAlign w:val="center"/>
                </w:tcPr>
                <w:p w14:paraId="0DB59F17">
                  <w:pPr>
                    <w:jc w:val="center"/>
                    <w:rPr>
                      <w:rFonts w:eastAsia="新宋体"/>
                      <w:color w:val="000000" w:themeColor="text1"/>
                      <w:kern w:val="0"/>
                      <w:sz w:val="18"/>
                      <w:szCs w:val="18"/>
                      <w14:textFill>
                        <w14:solidFill>
                          <w14:schemeClr w14:val="tx1"/>
                        </w14:solidFill>
                      </w14:textFill>
                    </w:rPr>
                  </w:pPr>
                  <w:r>
                    <w:rPr>
                      <w:rFonts w:eastAsia="等线"/>
                      <w:color w:val="000000" w:themeColor="text1"/>
                      <w:sz w:val="18"/>
                      <w:szCs w:val="18"/>
                      <w14:textFill>
                        <w14:solidFill>
                          <w14:schemeClr w14:val="tx1"/>
                        </w14:solidFill>
                      </w14:textFill>
                    </w:rPr>
                    <w:t>20</w:t>
                  </w:r>
                </w:p>
              </w:tc>
              <w:tc>
                <w:tcPr>
                  <w:tcW w:w="374" w:type="pct"/>
                  <w:vAlign w:val="center"/>
                </w:tcPr>
                <w:p w14:paraId="0BA4F798">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.0</w:t>
                  </w:r>
                  <w:r>
                    <w:rPr>
                      <w:rFonts w:hint="eastAsia" w:eastAsia="新宋体"/>
                      <w:color w:val="000000" w:themeColor="text1"/>
                      <w:kern w:val="0"/>
                      <w:sz w:val="18"/>
                      <w:szCs w:val="18"/>
                      <w14:textFill>
                        <w14:solidFill>
                          <w14:schemeClr w14:val="tx1"/>
                        </w14:solidFill>
                      </w14:textFill>
                    </w:rPr>
                    <w:t>12</w:t>
                  </w:r>
                </w:p>
              </w:tc>
              <w:tc>
                <w:tcPr>
                  <w:tcW w:w="366" w:type="pct"/>
                  <w:vAlign w:val="center"/>
                </w:tcPr>
                <w:p w14:paraId="52BB4B93">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w:t>
                  </w:r>
                </w:p>
              </w:tc>
            </w:tr>
            <w:tr w14:paraId="7D172C3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83" w:type="pct"/>
                  <w:vMerge w:val="continue"/>
                  <w:vAlign w:val="center"/>
                </w:tcPr>
                <w:p w14:paraId="5394E7B4">
                  <w:pPr>
                    <w:jc w:val="center"/>
                    <w:rPr>
                      <w:rFonts w:eastAsia="新宋体"/>
                      <w:color w:val="000000" w:themeColor="text1"/>
                      <w:kern w:val="0"/>
                      <w:sz w:val="18"/>
                      <w:szCs w:val="18"/>
                      <w14:textFill>
                        <w14:solidFill>
                          <w14:schemeClr w14:val="tx1"/>
                        </w14:solidFill>
                      </w14:textFill>
                    </w:rPr>
                  </w:pPr>
                </w:p>
              </w:tc>
              <w:tc>
                <w:tcPr>
                  <w:tcW w:w="380" w:type="pct"/>
                  <w:vAlign w:val="center"/>
                </w:tcPr>
                <w:p w14:paraId="1289D35D">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TP</w:t>
                  </w:r>
                </w:p>
              </w:tc>
              <w:tc>
                <w:tcPr>
                  <w:tcW w:w="365" w:type="pct"/>
                  <w:vMerge w:val="continue"/>
                  <w:vAlign w:val="center"/>
                </w:tcPr>
                <w:p w14:paraId="4C7E4AA3">
                  <w:pPr>
                    <w:jc w:val="center"/>
                    <w:rPr>
                      <w:rFonts w:eastAsia="新宋体"/>
                      <w:color w:val="000000" w:themeColor="text1"/>
                      <w:kern w:val="0"/>
                      <w:sz w:val="18"/>
                      <w:szCs w:val="18"/>
                      <w14:textFill>
                        <w14:solidFill>
                          <w14:schemeClr w14:val="tx1"/>
                        </w14:solidFill>
                      </w14:textFill>
                    </w:rPr>
                  </w:pPr>
                </w:p>
              </w:tc>
              <w:tc>
                <w:tcPr>
                  <w:tcW w:w="566" w:type="pct"/>
                  <w:vAlign w:val="center"/>
                </w:tcPr>
                <w:p w14:paraId="24021D5E">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5</w:t>
                  </w:r>
                </w:p>
              </w:tc>
              <w:tc>
                <w:tcPr>
                  <w:tcW w:w="369" w:type="pct"/>
                  <w:vAlign w:val="center"/>
                </w:tcPr>
                <w:p w14:paraId="002D63F0">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w:t>
                  </w:r>
                  <w:r>
                    <w:rPr>
                      <w:rFonts w:hint="eastAsia" w:eastAsia="新宋体"/>
                      <w:color w:val="000000" w:themeColor="text1"/>
                      <w:kern w:val="0"/>
                      <w:sz w:val="18"/>
                      <w:szCs w:val="18"/>
                      <w14:textFill>
                        <w14:solidFill>
                          <w14:schemeClr w14:val="tx1"/>
                        </w14:solidFill>
                      </w14:textFill>
                    </w:rPr>
                    <w:t>003</w:t>
                  </w:r>
                </w:p>
              </w:tc>
              <w:tc>
                <w:tcPr>
                  <w:tcW w:w="307" w:type="pct"/>
                  <w:vMerge w:val="continue"/>
                  <w:vAlign w:val="center"/>
                </w:tcPr>
                <w:p w14:paraId="685F97EC">
                  <w:pPr>
                    <w:rPr>
                      <w:rFonts w:eastAsia="新宋体"/>
                      <w:color w:val="000000" w:themeColor="text1"/>
                      <w:kern w:val="0"/>
                      <w:sz w:val="18"/>
                      <w:szCs w:val="18"/>
                      <w14:textFill>
                        <w14:solidFill>
                          <w14:schemeClr w14:val="tx1"/>
                        </w14:solidFill>
                      </w14:textFill>
                    </w:rPr>
                  </w:pPr>
                </w:p>
              </w:tc>
              <w:tc>
                <w:tcPr>
                  <w:tcW w:w="308" w:type="pct"/>
                  <w:gridSpan w:val="2"/>
                  <w:vMerge w:val="continue"/>
                  <w:vAlign w:val="center"/>
                </w:tcPr>
                <w:p w14:paraId="3654193F">
                  <w:pPr>
                    <w:rPr>
                      <w:rFonts w:eastAsia="新宋体"/>
                      <w:color w:val="000000" w:themeColor="text1"/>
                      <w:kern w:val="0"/>
                      <w:sz w:val="18"/>
                      <w:szCs w:val="18"/>
                      <w14:textFill>
                        <w14:solidFill>
                          <w14:schemeClr w14:val="tx1"/>
                        </w14:solidFill>
                      </w14:textFill>
                    </w:rPr>
                  </w:pPr>
                </w:p>
              </w:tc>
              <w:tc>
                <w:tcPr>
                  <w:tcW w:w="329" w:type="pct"/>
                  <w:gridSpan w:val="2"/>
                  <w:vAlign w:val="center"/>
                </w:tcPr>
                <w:p w14:paraId="535945F3">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20</w:t>
                  </w:r>
                </w:p>
              </w:tc>
              <w:tc>
                <w:tcPr>
                  <w:tcW w:w="286" w:type="pct"/>
                  <w:vMerge w:val="continue"/>
                  <w:vAlign w:val="center"/>
                </w:tcPr>
                <w:p w14:paraId="22DD60BB">
                  <w:pPr>
                    <w:rPr>
                      <w:rFonts w:eastAsia="新宋体"/>
                      <w:color w:val="000000" w:themeColor="text1"/>
                      <w:kern w:val="0"/>
                      <w:sz w:val="18"/>
                      <w:szCs w:val="18"/>
                      <w14:textFill>
                        <w14:solidFill>
                          <w14:schemeClr w14:val="tx1"/>
                        </w14:solidFill>
                      </w14:textFill>
                    </w:rPr>
                  </w:pPr>
                </w:p>
              </w:tc>
              <w:tc>
                <w:tcPr>
                  <w:tcW w:w="473" w:type="pct"/>
                  <w:vMerge w:val="continue"/>
                  <w:vAlign w:val="center"/>
                </w:tcPr>
                <w:p w14:paraId="21D4BD87">
                  <w:pPr>
                    <w:jc w:val="center"/>
                    <w:rPr>
                      <w:rFonts w:eastAsia="新宋体"/>
                      <w:color w:val="000000" w:themeColor="text1"/>
                      <w:kern w:val="0"/>
                      <w:sz w:val="18"/>
                      <w:szCs w:val="18"/>
                      <w14:textFill>
                        <w14:solidFill>
                          <w14:schemeClr w14:val="tx1"/>
                        </w14:solidFill>
                      </w14:textFill>
                    </w:rPr>
                  </w:pPr>
                </w:p>
              </w:tc>
              <w:tc>
                <w:tcPr>
                  <w:tcW w:w="385" w:type="pct"/>
                  <w:tcBorders>
                    <w:top w:val="nil"/>
                    <w:left w:val="nil"/>
                    <w:bottom w:val="single" w:color="auto" w:sz="12" w:space="0"/>
                    <w:right w:val="single" w:color="auto" w:sz="12" w:space="0"/>
                  </w:tcBorders>
                  <w:vAlign w:val="center"/>
                </w:tcPr>
                <w:p w14:paraId="7977A47A">
                  <w:pPr>
                    <w:jc w:val="center"/>
                    <w:rPr>
                      <w:rFonts w:eastAsia="新宋体"/>
                      <w:color w:val="000000" w:themeColor="text1"/>
                      <w:kern w:val="0"/>
                      <w:sz w:val="18"/>
                      <w:szCs w:val="18"/>
                      <w14:textFill>
                        <w14:solidFill>
                          <w14:schemeClr w14:val="tx1"/>
                        </w14:solidFill>
                      </w14:textFill>
                    </w:rPr>
                  </w:pPr>
                  <w:r>
                    <w:rPr>
                      <w:rFonts w:eastAsia="等线"/>
                      <w:color w:val="000000" w:themeColor="text1"/>
                      <w:sz w:val="18"/>
                      <w:szCs w:val="18"/>
                      <w14:textFill>
                        <w14:solidFill>
                          <w14:schemeClr w14:val="tx1"/>
                        </w14:solidFill>
                      </w14:textFill>
                    </w:rPr>
                    <w:t>4</w:t>
                  </w:r>
                </w:p>
              </w:tc>
              <w:tc>
                <w:tcPr>
                  <w:tcW w:w="374" w:type="pct"/>
                  <w:vAlign w:val="center"/>
                </w:tcPr>
                <w:p w14:paraId="7DEDE49D">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.0</w:t>
                  </w:r>
                  <w:r>
                    <w:rPr>
                      <w:rFonts w:hint="eastAsia" w:eastAsia="新宋体"/>
                      <w:color w:val="000000" w:themeColor="text1"/>
                      <w:kern w:val="0"/>
                      <w:sz w:val="18"/>
                      <w:szCs w:val="18"/>
                      <w14:textFill>
                        <w14:solidFill>
                          <w14:schemeClr w14:val="tx1"/>
                        </w14:solidFill>
                      </w14:textFill>
                    </w:rPr>
                    <w:t>02</w:t>
                  </w:r>
                </w:p>
              </w:tc>
              <w:tc>
                <w:tcPr>
                  <w:tcW w:w="366" w:type="pct"/>
                  <w:vAlign w:val="center"/>
                </w:tcPr>
                <w:p w14:paraId="2A684476">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w:t>
                  </w:r>
                </w:p>
              </w:tc>
            </w:tr>
            <w:tr w14:paraId="3EEFB3F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83" w:type="pct"/>
                  <w:vMerge w:val="continue"/>
                  <w:vAlign w:val="center"/>
                </w:tcPr>
                <w:p w14:paraId="7D0859E0">
                  <w:pPr>
                    <w:jc w:val="center"/>
                    <w:rPr>
                      <w:rFonts w:eastAsia="新宋体"/>
                      <w:color w:val="000000" w:themeColor="text1"/>
                      <w:kern w:val="0"/>
                      <w:sz w:val="18"/>
                      <w:szCs w:val="18"/>
                      <w14:textFill>
                        <w14:solidFill>
                          <w14:schemeClr w14:val="tx1"/>
                        </w14:solidFill>
                      </w14:textFill>
                    </w:rPr>
                  </w:pPr>
                </w:p>
              </w:tc>
              <w:tc>
                <w:tcPr>
                  <w:tcW w:w="380" w:type="pct"/>
                  <w:vAlign w:val="center"/>
                </w:tcPr>
                <w:p w14:paraId="446CD831">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TN</w:t>
                  </w:r>
                </w:p>
              </w:tc>
              <w:tc>
                <w:tcPr>
                  <w:tcW w:w="365" w:type="pct"/>
                  <w:vMerge w:val="continue"/>
                  <w:vAlign w:val="center"/>
                </w:tcPr>
                <w:p w14:paraId="1EAEA658">
                  <w:pPr>
                    <w:jc w:val="center"/>
                    <w:rPr>
                      <w:rFonts w:eastAsia="新宋体"/>
                      <w:color w:val="000000" w:themeColor="text1"/>
                      <w:kern w:val="0"/>
                      <w:sz w:val="18"/>
                      <w:szCs w:val="18"/>
                      <w14:textFill>
                        <w14:solidFill>
                          <w14:schemeClr w14:val="tx1"/>
                        </w14:solidFill>
                      </w14:textFill>
                    </w:rPr>
                  </w:pPr>
                </w:p>
              </w:tc>
              <w:tc>
                <w:tcPr>
                  <w:tcW w:w="566" w:type="pct"/>
                  <w:vAlign w:val="center"/>
                </w:tcPr>
                <w:p w14:paraId="2D304FF1">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40</w:t>
                  </w:r>
                </w:p>
              </w:tc>
              <w:tc>
                <w:tcPr>
                  <w:tcW w:w="369" w:type="pct"/>
                  <w:vAlign w:val="center"/>
                </w:tcPr>
                <w:p w14:paraId="31779F74">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.0</w:t>
                  </w:r>
                  <w:r>
                    <w:rPr>
                      <w:rFonts w:hint="eastAsia" w:eastAsia="新宋体"/>
                      <w:color w:val="000000" w:themeColor="text1"/>
                      <w:kern w:val="0"/>
                      <w:sz w:val="18"/>
                      <w:szCs w:val="18"/>
                      <w14:textFill>
                        <w14:solidFill>
                          <w14:schemeClr w14:val="tx1"/>
                        </w14:solidFill>
                      </w14:textFill>
                    </w:rPr>
                    <w:t>23</w:t>
                  </w:r>
                </w:p>
              </w:tc>
              <w:tc>
                <w:tcPr>
                  <w:tcW w:w="307" w:type="pct"/>
                  <w:vMerge w:val="continue"/>
                  <w:vAlign w:val="center"/>
                </w:tcPr>
                <w:p w14:paraId="552CE2E1">
                  <w:pPr>
                    <w:rPr>
                      <w:rFonts w:eastAsia="新宋体"/>
                      <w:color w:val="000000" w:themeColor="text1"/>
                      <w:kern w:val="0"/>
                      <w:sz w:val="18"/>
                      <w:szCs w:val="18"/>
                      <w14:textFill>
                        <w14:solidFill>
                          <w14:schemeClr w14:val="tx1"/>
                        </w14:solidFill>
                      </w14:textFill>
                    </w:rPr>
                  </w:pPr>
                </w:p>
              </w:tc>
              <w:tc>
                <w:tcPr>
                  <w:tcW w:w="308" w:type="pct"/>
                  <w:gridSpan w:val="2"/>
                  <w:vMerge w:val="continue"/>
                  <w:vAlign w:val="center"/>
                </w:tcPr>
                <w:p w14:paraId="3608C55B">
                  <w:pPr>
                    <w:rPr>
                      <w:rFonts w:eastAsia="新宋体"/>
                      <w:color w:val="000000" w:themeColor="text1"/>
                      <w:kern w:val="0"/>
                      <w:sz w:val="18"/>
                      <w:szCs w:val="18"/>
                      <w14:textFill>
                        <w14:solidFill>
                          <w14:schemeClr w14:val="tx1"/>
                        </w14:solidFill>
                      </w14:textFill>
                    </w:rPr>
                  </w:pPr>
                </w:p>
              </w:tc>
              <w:tc>
                <w:tcPr>
                  <w:tcW w:w="329" w:type="pct"/>
                  <w:gridSpan w:val="2"/>
                  <w:vAlign w:val="center"/>
                </w:tcPr>
                <w:p w14:paraId="0987F1F4">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20</w:t>
                  </w:r>
                </w:p>
              </w:tc>
              <w:tc>
                <w:tcPr>
                  <w:tcW w:w="286" w:type="pct"/>
                  <w:vMerge w:val="continue"/>
                  <w:vAlign w:val="center"/>
                </w:tcPr>
                <w:p w14:paraId="3F59D277">
                  <w:pPr>
                    <w:rPr>
                      <w:rFonts w:eastAsia="新宋体"/>
                      <w:color w:val="000000" w:themeColor="text1"/>
                      <w:kern w:val="0"/>
                      <w:sz w:val="18"/>
                      <w:szCs w:val="18"/>
                      <w14:textFill>
                        <w14:solidFill>
                          <w14:schemeClr w14:val="tx1"/>
                        </w14:solidFill>
                      </w14:textFill>
                    </w:rPr>
                  </w:pPr>
                </w:p>
              </w:tc>
              <w:tc>
                <w:tcPr>
                  <w:tcW w:w="473" w:type="pct"/>
                  <w:vMerge w:val="continue"/>
                  <w:vAlign w:val="center"/>
                </w:tcPr>
                <w:p w14:paraId="73EBFB3D">
                  <w:pPr>
                    <w:jc w:val="center"/>
                    <w:rPr>
                      <w:rFonts w:eastAsia="新宋体"/>
                      <w:color w:val="000000" w:themeColor="text1"/>
                      <w:kern w:val="0"/>
                      <w:sz w:val="18"/>
                      <w:szCs w:val="18"/>
                      <w14:textFill>
                        <w14:solidFill>
                          <w14:schemeClr w14:val="tx1"/>
                        </w14:solidFill>
                      </w14:textFill>
                    </w:rPr>
                  </w:pPr>
                </w:p>
              </w:tc>
              <w:tc>
                <w:tcPr>
                  <w:tcW w:w="385" w:type="pct"/>
                  <w:tcBorders>
                    <w:top w:val="nil"/>
                    <w:left w:val="nil"/>
                    <w:bottom w:val="single" w:color="auto" w:sz="12" w:space="0"/>
                    <w:right w:val="single" w:color="auto" w:sz="12" w:space="0"/>
                  </w:tcBorders>
                  <w:vAlign w:val="center"/>
                </w:tcPr>
                <w:p w14:paraId="3F125576">
                  <w:pPr>
                    <w:jc w:val="center"/>
                    <w:rPr>
                      <w:rFonts w:eastAsia="新宋体"/>
                      <w:color w:val="000000" w:themeColor="text1"/>
                      <w:kern w:val="0"/>
                      <w:sz w:val="18"/>
                      <w:szCs w:val="18"/>
                      <w14:textFill>
                        <w14:solidFill>
                          <w14:schemeClr w14:val="tx1"/>
                        </w14:solidFill>
                      </w14:textFill>
                    </w:rPr>
                  </w:pPr>
                  <w:r>
                    <w:rPr>
                      <w:rFonts w:eastAsia="等线"/>
                      <w:color w:val="000000" w:themeColor="text1"/>
                      <w:sz w:val="18"/>
                      <w:szCs w:val="18"/>
                      <w14:textFill>
                        <w14:solidFill>
                          <w14:schemeClr w14:val="tx1"/>
                        </w14:solidFill>
                      </w14:textFill>
                    </w:rPr>
                    <w:t>32</w:t>
                  </w:r>
                </w:p>
              </w:tc>
              <w:tc>
                <w:tcPr>
                  <w:tcW w:w="374" w:type="pct"/>
                  <w:vAlign w:val="center"/>
                </w:tcPr>
                <w:p w14:paraId="3D6564E9">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.0</w:t>
                  </w:r>
                  <w:r>
                    <w:rPr>
                      <w:rFonts w:hint="eastAsia" w:eastAsia="新宋体"/>
                      <w:color w:val="000000" w:themeColor="text1"/>
                      <w:kern w:val="0"/>
                      <w:sz w:val="18"/>
                      <w:szCs w:val="18"/>
                      <w14:textFill>
                        <w14:solidFill>
                          <w14:schemeClr w14:val="tx1"/>
                        </w14:solidFill>
                      </w14:textFill>
                    </w:rPr>
                    <w:t>18</w:t>
                  </w:r>
                </w:p>
              </w:tc>
              <w:tc>
                <w:tcPr>
                  <w:tcW w:w="366" w:type="pct"/>
                  <w:vAlign w:val="center"/>
                </w:tcPr>
                <w:p w14:paraId="75DD1EB3">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w:t>
                  </w:r>
                </w:p>
              </w:tc>
            </w:tr>
            <w:tr w14:paraId="48FF337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83" w:type="pct"/>
                  <w:vMerge w:val="continue"/>
                  <w:vAlign w:val="center"/>
                </w:tcPr>
                <w:p w14:paraId="0CD8A73D">
                  <w:pPr>
                    <w:jc w:val="center"/>
                    <w:rPr>
                      <w:rFonts w:eastAsia="新宋体"/>
                      <w:color w:val="000000" w:themeColor="text1"/>
                      <w:kern w:val="0"/>
                      <w:sz w:val="18"/>
                      <w:szCs w:val="18"/>
                      <w14:textFill>
                        <w14:solidFill>
                          <w14:schemeClr w14:val="tx1"/>
                        </w14:solidFill>
                      </w14:textFill>
                    </w:rPr>
                  </w:pPr>
                </w:p>
              </w:tc>
              <w:tc>
                <w:tcPr>
                  <w:tcW w:w="380" w:type="pct"/>
                  <w:vAlign w:val="center"/>
                </w:tcPr>
                <w:p w14:paraId="6E9476B8">
                  <w:pPr>
                    <w:jc w:val="center"/>
                    <w:rPr>
                      <w:rFonts w:eastAsia="新宋体"/>
                      <w:color w:val="000000" w:themeColor="text1"/>
                      <w:kern w:val="0"/>
                      <w:sz w:val="18"/>
                      <w:szCs w:val="18"/>
                      <w14:textFill>
                        <w14:solidFill>
                          <w14:schemeClr w14:val="tx1"/>
                        </w14:solidFill>
                      </w14:textFill>
                    </w:rPr>
                  </w:pPr>
                  <w:r>
                    <w:rPr>
                      <w:rFonts w:hint="eastAsia"/>
                      <w:color w:val="000000" w:themeColor="text1"/>
                      <w:sz w:val="18"/>
                      <w:szCs w:val="18"/>
                      <w14:textFill>
                        <w14:solidFill>
                          <w14:schemeClr w14:val="tx1"/>
                        </w14:solidFill>
                      </w14:textFill>
                    </w:rPr>
                    <w:t>动植物油</w:t>
                  </w:r>
                </w:p>
              </w:tc>
              <w:tc>
                <w:tcPr>
                  <w:tcW w:w="365" w:type="pct"/>
                  <w:vMerge w:val="continue"/>
                  <w:vAlign w:val="center"/>
                </w:tcPr>
                <w:p w14:paraId="509B6D73">
                  <w:pPr>
                    <w:jc w:val="center"/>
                    <w:rPr>
                      <w:rFonts w:eastAsia="新宋体"/>
                      <w:color w:val="000000" w:themeColor="text1"/>
                      <w:kern w:val="0"/>
                      <w:sz w:val="18"/>
                      <w:szCs w:val="18"/>
                      <w14:textFill>
                        <w14:solidFill>
                          <w14:schemeClr w14:val="tx1"/>
                        </w14:solidFill>
                      </w14:textFill>
                    </w:rPr>
                  </w:pPr>
                </w:p>
              </w:tc>
              <w:tc>
                <w:tcPr>
                  <w:tcW w:w="566" w:type="pct"/>
                  <w:vAlign w:val="center"/>
                </w:tcPr>
                <w:p w14:paraId="75C2B150">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30</w:t>
                  </w:r>
                </w:p>
              </w:tc>
              <w:tc>
                <w:tcPr>
                  <w:tcW w:w="369" w:type="pct"/>
                  <w:vAlign w:val="center"/>
                </w:tcPr>
                <w:p w14:paraId="4919306A">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0.017</w:t>
                  </w:r>
                </w:p>
              </w:tc>
              <w:tc>
                <w:tcPr>
                  <w:tcW w:w="307" w:type="pct"/>
                  <w:vMerge w:val="continue"/>
                  <w:vAlign w:val="center"/>
                </w:tcPr>
                <w:p w14:paraId="66633124">
                  <w:pPr>
                    <w:rPr>
                      <w:rFonts w:eastAsia="新宋体"/>
                      <w:color w:val="000000" w:themeColor="text1"/>
                      <w:kern w:val="0"/>
                      <w:sz w:val="18"/>
                      <w:szCs w:val="18"/>
                      <w14:textFill>
                        <w14:solidFill>
                          <w14:schemeClr w14:val="tx1"/>
                        </w14:solidFill>
                      </w14:textFill>
                    </w:rPr>
                  </w:pPr>
                </w:p>
              </w:tc>
              <w:tc>
                <w:tcPr>
                  <w:tcW w:w="308" w:type="pct"/>
                  <w:gridSpan w:val="2"/>
                  <w:vMerge w:val="continue"/>
                  <w:vAlign w:val="center"/>
                </w:tcPr>
                <w:p w14:paraId="06611BBB">
                  <w:pPr>
                    <w:rPr>
                      <w:rFonts w:eastAsia="新宋体"/>
                      <w:color w:val="000000" w:themeColor="text1"/>
                      <w:kern w:val="0"/>
                      <w:sz w:val="18"/>
                      <w:szCs w:val="18"/>
                      <w14:textFill>
                        <w14:solidFill>
                          <w14:schemeClr w14:val="tx1"/>
                        </w14:solidFill>
                      </w14:textFill>
                    </w:rPr>
                  </w:pPr>
                </w:p>
              </w:tc>
              <w:tc>
                <w:tcPr>
                  <w:tcW w:w="329" w:type="pct"/>
                  <w:gridSpan w:val="2"/>
                  <w:vAlign w:val="center"/>
                </w:tcPr>
                <w:p w14:paraId="56718CC1">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80</w:t>
                  </w:r>
                </w:p>
              </w:tc>
              <w:tc>
                <w:tcPr>
                  <w:tcW w:w="286" w:type="pct"/>
                  <w:vMerge w:val="continue"/>
                  <w:vAlign w:val="center"/>
                </w:tcPr>
                <w:p w14:paraId="5D31AE50">
                  <w:pPr>
                    <w:rPr>
                      <w:rFonts w:eastAsia="新宋体"/>
                      <w:color w:val="000000" w:themeColor="text1"/>
                      <w:kern w:val="0"/>
                      <w:sz w:val="18"/>
                      <w:szCs w:val="18"/>
                      <w14:textFill>
                        <w14:solidFill>
                          <w14:schemeClr w14:val="tx1"/>
                        </w14:solidFill>
                      </w14:textFill>
                    </w:rPr>
                  </w:pPr>
                </w:p>
              </w:tc>
              <w:tc>
                <w:tcPr>
                  <w:tcW w:w="473" w:type="pct"/>
                  <w:vMerge w:val="continue"/>
                  <w:vAlign w:val="center"/>
                </w:tcPr>
                <w:p w14:paraId="55F929F9">
                  <w:pPr>
                    <w:jc w:val="center"/>
                    <w:rPr>
                      <w:rFonts w:eastAsia="新宋体"/>
                      <w:color w:val="000000" w:themeColor="text1"/>
                      <w:kern w:val="0"/>
                      <w:sz w:val="18"/>
                      <w:szCs w:val="18"/>
                      <w14:textFill>
                        <w14:solidFill>
                          <w14:schemeClr w14:val="tx1"/>
                        </w14:solidFill>
                      </w14:textFill>
                    </w:rPr>
                  </w:pPr>
                </w:p>
              </w:tc>
              <w:tc>
                <w:tcPr>
                  <w:tcW w:w="385" w:type="pct"/>
                  <w:tcBorders>
                    <w:top w:val="nil"/>
                    <w:left w:val="nil"/>
                    <w:bottom w:val="single" w:color="auto" w:sz="12" w:space="0"/>
                    <w:right w:val="single" w:color="auto" w:sz="12" w:space="0"/>
                  </w:tcBorders>
                  <w:vAlign w:val="center"/>
                </w:tcPr>
                <w:p w14:paraId="52CC1969">
                  <w:pPr>
                    <w:jc w:val="center"/>
                    <w:rPr>
                      <w:rFonts w:eastAsia="新宋体"/>
                      <w:color w:val="000000" w:themeColor="text1"/>
                      <w:kern w:val="0"/>
                      <w:sz w:val="18"/>
                      <w:szCs w:val="18"/>
                      <w14:textFill>
                        <w14:solidFill>
                          <w14:schemeClr w14:val="tx1"/>
                        </w14:solidFill>
                      </w14:textFill>
                    </w:rPr>
                  </w:pPr>
                  <w:r>
                    <w:rPr>
                      <w:rFonts w:eastAsia="等线"/>
                      <w:color w:val="000000" w:themeColor="text1"/>
                      <w:sz w:val="18"/>
                      <w:szCs w:val="18"/>
                      <w14:textFill>
                        <w14:solidFill>
                          <w14:schemeClr w14:val="tx1"/>
                        </w14:solidFill>
                      </w14:textFill>
                    </w:rPr>
                    <w:t>6</w:t>
                  </w:r>
                </w:p>
              </w:tc>
              <w:tc>
                <w:tcPr>
                  <w:tcW w:w="374" w:type="pct"/>
                  <w:vAlign w:val="center"/>
                </w:tcPr>
                <w:p w14:paraId="7AF7B6D2">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0.003</w:t>
                  </w:r>
                </w:p>
              </w:tc>
              <w:tc>
                <w:tcPr>
                  <w:tcW w:w="366" w:type="pct"/>
                  <w:vAlign w:val="center"/>
                </w:tcPr>
                <w:p w14:paraId="0C2D82CA">
                  <w:pPr>
                    <w:jc w:val="center"/>
                    <w:rPr>
                      <w:rFonts w:hint="default" w:eastAsia="新宋体"/>
                      <w:color w:val="000000" w:themeColor="text1"/>
                      <w:kern w:val="0"/>
                      <w:sz w:val="18"/>
                      <w:szCs w:val="18"/>
                      <w:lang w:val="en-US" w:eastAsia="zh-CN"/>
                      <w14:textFill>
                        <w14:solidFill>
                          <w14:schemeClr w14:val="tx1"/>
                        </w14:solidFill>
                      </w14:textFill>
                    </w:rPr>
                  </w:pPr>
                  <w:r>
                    <w:rPr>
                      <w:rFonts w:hint="eastAsia" w:eastAsia="新宋体"/>
                      <w:color w:val="000000" w:themeColor="text1"/>
                      <w:kern w:val="0"/>
                      <w:sz w:val="18"/>
                      <w:szCs w:val="18"/>
                      <w:lang w:val="en-US" w:eastAsia="zh-CN"/>
                      <w14:textFill>
                        <w14:solidFill>
                          <w14:schemeClr w14:val="tx1"/>
                        </w14:solidFill>
                      </w14:textFill>
                    </w:rPr>
                    <w:t>100</w:t>
                  </w:r>
                </w:p>
              </w:tc>
            </w:tr>
            <w:tr w14:paraId="0963DFD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83" w:type="pct"/>
                  <w:vAlign w:val="center"/>
                </w:tcPr>
                <w:p w14:paraId="0165F290">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w:t>
                  </w:r>
                </w:p>
              </w:tc>
              <w:tc>
                <w:tcPr>
                  <w:tcW w:w="380" w:type="pct"/>
                  <w:vAlign w:val="center"/>
                </w:tcPr>
                <w:p w14:paraId="3F1736BC">
                  <w:pPr>
                    <w:jc w:val="center"/>
                    <w:rPr>
                      <w:color w:val="000000" w:themeColor="text1"/>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w:t>
                  </w:r>
                </w:p>
              </w:tc>
              <w:tc>
                <w:tcPr>
                  <w:tcW w:w="365" w:type="pct"/>
                  <w:vAlign w:val="center"/>
                </w:tcPr>
                <w:p w14:paraId="789B9B84">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w:t>
                  </w:r>
                </w:p>
              </w:tc>
              <w:tc>
                <w:tcPr>
                  <w:tcW w:w="566" w:type="pct"/>
                  <w:vAlign w:val="center"/>
                </w:tcPr>
                <w:p w14:paraId="04AA1EBA">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w:t>
                  </w:r>
                </w:p>
              </w:tc>
              <w:tc>
                <w:tcPr>
                  <w:tcW w:w="369" w:type="pct"/>
                  <w:vAlign w:val="center"/>
                </w:tcPr>
                <w:p w14:paraId="0D697E25">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w:t>
                  </w:r>
                </w:p>
              </w:tc>
              <w:tc>
                <w:tcPr>
                  <w:tcW w:w="307" w:type="pct"/>
                  <w:vAlign w:val="center"/>
                </w:tcPr>
                <w:p w14:paraId="23190A3D">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w:t>
                  </w:r>
                </w:p>
              </w:tc>
              <w:tc>
                <w:tcPr>
                  <w:tcW w:w="308" w:type="pct"/>
                  <w:gridSpan w:val="2"/>
                  <w:vAlign w:val="center"/>
                </w:tcPr>
                <w:p w14:paraId="12AA93DD">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w:t>
                  </w:r>
                </w:p>
              </w:tc>
              <w:tc>
                <w:tcPr>
                  <w:tcW w:w="329" w:type="pct"/>
                  <w:gridSpan w:val="2"/>
                  <w:vAlign w:val="center"/>
                </w:tcPr>
                <w:p w14:paraId="34F746A0">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w:t>
                  </w:r>
                </w:p>
              </w:tc>
              <w:tc>
                <w:tcPr>
                  <w:tcW w:w="286" w:type="pct"/>
                  <w:vAlign w:val="center"/>
                </w:tcPr>
                <w:p w14:paraId="0D5D2A97">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w:t>
                  </w:r>
                </w:p>
              </w:tc>
              <w:tc>
                <w:tcPr>
                  <w:tcW w:w="473" w:type="pct"/>
                  <w:vAlign w:val="center"/>
                </w:tcPr>
                <w:p w14:paraId="4A379AC0">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w:t>
                  </w:r>
                </w:p>
              </w:tc>
              <w:tc>
                <w:tcPr>
                  <w:tcW w:w="385" w:type="pct"/>
                  <w:vAlign w:val="center"/>
                </w:tcPr>
                <w:p w14:paraId="5238A4EB">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w:t>
                  </w:r>
                </w:p>
              </w:tc>
              <w:tc>
                <w:tcPr>
                  <w:tcW w:w="374" w:type="pct"/>
                  <w:vAlign w:val="center"/>
                </w:tcPr>
                <w:p w14:paraId="621BBE29">
                  <w:pPr>
                    <w:jc w:val="center"/>
                    <w:rPr>
                      <w:rFonts w:eastAsia="新宋体"/>
                      <w:color w:val="000000" w:themeColor="text1"/>
                      <w:kern w:val="0"/>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w:t>
                  </w:r>
                </w:p>
              </w:tc>
              <w:tc>
                <w:tcPr>
                  <w:tcW w:w="366" w:type="pct"/>
                  <w:vAlign w:val="center"/>
                </w:tcPr>
                <w:p w14:paraId="5D5B0F39">
                  <w:pPr>
                    <w:jc w:val="center"/>
                    <w:rPr>
                      <w:rFonts w:eastAsia="新宋体"/>
                      <w:color w:val="000000" w:themeColor="text1"/>
                      <w:kern w:val="0"/>
                      <w:sz w:val="18"/>
                      <w:szCs w:val="18"/>
                      <w14:textFill>
                        <w14:solidFill>
                          <w14:schemeClr w14:val="tx1"/>
                        </w14:solidFill>
                      </w14:textFill>
                    </w:rPr>
                  </w:pPr>
                  <w:r>
                    <w:rPr>
                      <w:rFonts w:hint="eastAsia" w:eastAsia="新宋体"/>
                      <w:b/>
                      <w:bCs/>
                      <w:color w:val="000000" w:themeColor="text1"/>
                      <w:kern w:val="0"/>
                      <w:sz w:val="18"/>
                      <w:szCs w:val="18"/>
                      <w14:textFill>
                        <w14:solidFill>
                          <w14:schemeClr w14:val="tx1"/>
                        </w14:solidFill>
                      </w14:textFill>
                    </w:rPr>
                    <w:t>回用</w:t>
                  </w:r>
                  <w:r>
                    <w:rPr>
                      <w:rFonts w:eastAsia="新宋体"/>
                      <w:b/>
                      <w:bCs/>
                      <w:color w:val="000000" w:themeColor="text1"/>
                      <w:kern w:val="0"/>
                      <w:sz w:val="18"/>
                      <w:szCs w:val="18"/>
                      <w14:textFill>
                        <w14:solidFill>
                          <w14:schemeClr w14:val="tx1"/>
                        </w14:solidFill>
                      </w14:textFill>
                    </w:rPr>
                    <w:t>标准</w:t>
                  </w:r>
                </w:p>
              </w:tc>
            </w:tr>
            <w:tr w14:paraId="0E40DC3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83" w:type="pct"/>
                  <w:vAlign w:val="center"/>
                </w:tcPr>
                <w:p w14:paraId="578FF92D">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过水池清洗废水</w:t>
                  </w:r>
                </w:p>
              </w:tc>
              <w:tc>
                <w:tcPr>
                  <w:tcW w:w="380" w:type="pct"/>
                  <w:vAlign w:val="center"/>
                </w:tcPr>
                <w:p w14:paraId="49570FA9">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SS</w:t>
                  </w:r>
                </w:p>
              </w:tc>
              <w:tc>
                <w:tcPr>
                  <w:tcW w:w="365" w:type="pct"/>
                  <w:vAlign w:val="center"/>
                </w:tcPr>
                <w:p w14:paraId="2C0097D8">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828164</w:t>
                  </w:r>
                </w:p>
              </w:tc>
              <w:tc>
                <w:tcPr>
                  <w:tcW w:w="566" w:type="pct"/>
                  <w:vAlign w:val="center"/>
                </w:tcPr>
                <w:p w14:paraId="2DCDFDF4">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1000</w:t>
                  </w:r>
                </w:p>
              </w:tc>
              <w:tc>
                <w:tcPr>
                  <w:tcW w:w="369" w:type="pct"/>
                  <w:vAlign w:val="center"/>
                </w:tcPr>
                <w:p w14:paraId="5294543A">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828164</w:t>
                  </w:r>
                </w:p>
              </w:tc>
              <w:tc>
                <w:tcPr>
                  <w:tcW w:w="307" w:type="pct"/>
                  <w:vMerge w:val="restart"/>
                  <w:vAlign w:val="center"/>
                </w:tcPr>
                <w:p w14:paraId="1F702611">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400</w:t>
                  </w:r>
                  <w:r>
                    <w:rPr>
                      <w:rFonts w:eastAsia="新宋体"/>
                      <w:color w:val="000000" w:themeColor="text1"/>
                      <w:kern w:val="0"/>
                      <w:sz w:val="18"/>
                      <w:szCs w:val="18"/>
                      <w14:textFill>
                        <w14:solidFill>
                          <w14:schemeClr w14:val="tx1"/>
                        </w14:solidFill>
                      </w14:textFill>
                    </w:rPr>
                    <w:t>m</w:t>
                  </w:r>
                  <w:r>
                    <w:rPr>
                      <w:rFonts w:eastAsia="新宋体"/>
                      <w:color w:val="000000" w:themeColor="text1"/>
                      <w:kern w:val="0"/>
                      <w:sz w:val="18"/>
                      <w:szCs w:val="18"/>
                      <w:vertAlign w:val="superscript"/>
                      <w14:textFill>
                        <w14:solidFill>
                          <w14:schemeClr w14:val="tx1"/>
                        </w14:solidFill>
                      </w14:textFill>
                    </w:rPr>
                    <w:t>3</w:t>
                  </w:r>
                  <w:r>
                    <w:rPr>
                      <w:rFonts w:eastAsia="新宋体"/>
                      <w:color w:val="000000" w:themeColor="text1"/>
                      <w:kern w:val="0"/>
                      <w:sz w:val="18"/>
                      <w:szCs w:val="18"/>
                      <w14:textFill>
                        <w14:solidFill>
                          <w14:schemeClr w14:val="tx1"/>
                        </w14:solidFill>
                      </w14:textFill>
                    </w:rPr>
                    <w:t>/</w:t>
                  </w:r>
                  <w:r>
                    <w:rPr>
                      <w:rFonts w:hint="eastAsia" w:eastAsia="新宋体"/>
                      <w:color w:val="000000" w:themeColor="text1"/>
                      <w:kern w:val="0"/>
                      <w:sz w:val="18"/>
                      <w:szCs w:val="18"/>
                      <w14:textFill>
                        <w14:solidFill>
                          <w14:schemeClr w14:val="tx1"/>
                        </w14:solidFill>
                      </w14:textFill>
                    </w:rPr>
                    <w:t>h</w:t>
                  </w:r>
                </w:p>
              </w:tc>
              <w:tc>
                <w:tcPr>
                  <w:tcW w:w="308" w:type="pct"/>
                  <w:gridSpan w:val="2"/>
                  <w:vMerge w:val="restart"/>
                  <w:vAlign w:val="center"/>
                </w:tcPr>
                <w:p w14:paraId="2C710A5B">
                  <w:pPr>
                    <w:jc w:val="center"/>
                    <w:rPr>
                      <w:rFonts w:hint="eastAsia" w:eastAsia="新宋体"/>
                      <w:color w:val="000000" w:themeColor="text1"/>
                      <w:kern w:val="0"/>
                      <w:sz w:val="18"/>
                      <w:szCs w:val="18"/>
                      <w:lang w:eastAsia="zh-CN"/>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沉淀池</w:t>
                  </w:r>
                  <w:r>
                    <w:rPr>
                      <w:rFonts w:hint="eastAsia" w:eastAsia="新宋体"/>
                      <w:color w:val="000000" w:themeColor="text1"/>
                      <w:kern w:val="0"/>
                      <w:sz w:val="18"/>
                      <w:szCs w:val="18"/>
                      <w:lang w:eastAsia="zh-CN"/>
                      <w14:textFill>
                        <w14:solidFill>
                          <w14:schemeClr w14:val="tx1"/>
                        </w14:solidFill>
                      </w14:textFill>
                    </w:rPr>
                    <w:t>（</w:t>
                  </w:r>
                  <w:r>
                    <w:rPr>
                      <w:rFonts w:hint="eastAsia" w:eastAsia="新宋体"/>
                      <w:color w:val="000000" w:themeColor="text1"/>
                      <w:kern w:val="0"/>
                      <w:sz w:val="18"/>
                      <w:szCs w:val="18"/>
                      <w:lang w:val="en-US" w:eastAsia="zh-CN"/>
                      <w14:textFill>
                        <w14:solidFill>
                          <w14:schemeClr w14:val="tx1"/>
                        </w14:solidFill>
                      </w14:textFill>
                    </w:rPr>
                    <w:t>三级沉淀</w:t>
                  </w:r>
                  <w:r>
                    <w:rPr>
                      <w:rFonts w:hint="eastAsia" w:eastAsia="新宋体"/>
                      <w:color w:val="000000" w:themeColor="text1"/>
                      <w:kern w:val="0"/>
                      <w:sz w:val="18"/>
                      <w:szCs w:val="18"/>
                      <w:lang w:eastAsia="zh-CN"/>
                      <w14:textFill>
                        <w14:solidFill>
                          <w14:schemeClr w14:val="tx1"/>
                        </w14:solidFill>
                      </w14:textFill>
                    </w:rPr>
                    <w:t>）</w:t>
                  </w:r>
                </w:p>
              </w:tc>
              <w:tc>
                <w:tcPr>
                  <w:tcW w:w="329" w:type="pct"/>
                  <w:gridSpan w:val="2"/>
                  <w:vAlign w:val="center"/>
                </w:tcPr>
                <w:p w14:paraId="07A71709">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90</w:t>
                  </w:r>
                </w:p>
              </w:tc>
              <w:tc>
                <w:tcPr>
                  <w:tcW w:w="286" w:type="pct"/>
                  <w:vMerge w:val="restart"/>
                  <w:vAlign w:val="center"/>
                </w:tcPr>
                <w:p w14:paraId="302B5CCF">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是</w:t>
                  </w:r>
                </w:p>
              </w:tc>
              <w:tc>
                <w:tcPr>
                  <w:tcW w:w="473" w:type="pct"/>
                  <w:vAlign w:val="center"/>
                </w:tcPr>
                <w:p w14:paraId="0A942EF2">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828164</w:t>
                  </w:r>
                </w:p>
              </w:tc>
              <w:tc>
                <w:tcPr>
                  <w:tcW w:w="385" w:type="pct"/>
                  <w:vAlign w:val="center"/>
                </w:tcPr>
                <w:p w14:paraId="71D9A0CD">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50</w:t>
                  </w:r>
                </w:p>
              </w:tc>
              <w:tc>
                <w:tcPr>
                  <w:tcW w:w="374" w:type="pct"/>
                  <w:vAlign w:val="center"/>
                </w:tcPr>
                <w:p w14:paraId="44FABCBA">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82.816</w:t>
                  </w:r>
                </w:p>
              </w:tc>
              <w:tc>
                <w:tcPr>
                  <w:tcW w:w="366" w:type="pct"/>
                  <w:vAlign w:val="center"/>
                </w:tcPr>
                <w:p w14:paraId="622706E8">
                  <w:pPr>
                    <w:jc w:val="center"/>
                    <w:rPr>
                      <w:rFonts w:eastAsia="新宋体"/>
                      <w:b/>
                      <w:bCs/>
                      <w:color w:val="000000" w:themeColor="text1"/>
                      <w:kern w:val="0"/>
                      <w:sz w:val="18"/>
                      <w:szCs w:val="18"/>
                      <w14:textFill>
                        <w14:solidFill>
                          <w14:schemeClr w14:val="tx1"/>
                        </w14:solidFill>
                      </w14:textFill>
                    </w:rPr>
                  </w:pPr>
                  <w:r>
                    <w:rPr>
                      <w:rFonts w:hint="eastAsia" w:eastAsia="新宋体"/>
                      <w:b/>
                      <w:bCs/>
                      <w:color w:val="000000" w:themeColor="text1"/>
                      <w:kern w:val="0"/>
                      <w:sz w:val="18"/>
                      <w:szCs w:val="18"/>
                      <w14:textFill>
                        <w14:solidFill>
                          <w14:schemeClr w14:val="tx1"/>
                        </w14:solidFill>
                      </w14:textFill>
                    </w:rPr>
                    <w:t>/</w:t>
                  </w:r>
                </w:p>
              </w:tc>
            </w:tr>
            <w:tr w14:paraId="0068913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83" w:type="pct"/>
                  <w:vAlign w:val="center"/>
                </w:tcPr>
                <w:p w14:paraId="694D9720">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地面拖洗废水</w:t>
                  </w:r>
                </w:p>
              </w:tc>
              <w:tc>
                <w:tcPr>
                  <w:tcW w:w="380" w:type="pct"/>
                  <w:vAlign w:val="center"/>
                </w:tcPr>
                <w:p w14:paraId="60ABA2B4">
                  <w:pPr>
                    <w:jc w:val="center"/>
                    <w:rPr>
                      <w:rFonts w:eastAsia="新宋体"/>
                      <w:color w:val="000000" w:themeColor="text1"/>
                      <w:kern w:val="0"/>
                      <w:sz w:val="18"/>
                      <w:szCs w:val="18"/>
                      <w14:textFill>
                        <w14:solidFill>
                          <w14:schemeClr w14:val="tx1"/>
                        </w14:solidFill>
                      </w14:textFill>
                    </w:rPr>
                  </w:pPr>
                  <w:r>
                    <w:rPr>
                      <w:rFonts w:hint="eastAsia"/>
                      <w:color w:val="000000" w:themeColor="text1"/>
                      <w:sz w:val="18"/>
                      <w:szCs w:val="18"/>
                      <w14:textFill>
                        <w14:solidFill>
                          <w14:schemeClr w14:val="tx1"/>
                        </w14:solidFill>
                      </w14:textFill>
                    </w:rPr>
                    <w:t>SS</w:t>
                  </w:r>
                </w:p>
              </w:tc>
              <w:tc>
                <w:tcPr>
                  <w:tcW w:w="365" w:type="pct"/>
                  <w:vAlign w:val="center"/>
                </w:tcPr>
                <w:p w14:paraId="338DCBCD">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1600</w:t>
                  </w:r>
                </w:p>
              </w:tc>
              <w:tc>
                <w:tcPr>
                  <w:tcW w:w="566" w:type="pct"/>
                  <w:vAlign w:val="center"/>
                </w:tcPr>
                <w:p w14:paraId="61D04D57">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400</w:t>
                  </w:r>
                </w:p>
              </w:tc>
              <w:tc>
                <w:tcPr>
                  <w:tcW w:w="369" w:type="pct"/>
                  <w:vAlign w:val="center"/>
                </w:tcPr>
                <w:p w14:paraId="0F33E298">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0.64</w:t>
                  </w:r>
                </w:p>
              </w:tc>
              <w:tc>
                <w:tcPr>
                  <w:tcW w:w="307" w:type="pct"/>
                  <w:vMerge w:val="continue"/>
                  <w:vAlign w:val="center"/>
                </w:tcPr>
                <w:p w14:paraId="5488887B">
                  <w:pPr>
                    <w:jc w:val="center"/>
                    <w:rPr>
                      <w:rFonts w:eastAsia="新宋体"/>
                      <w:color w:val="000000" w:themeColor="text1"/>
                      <w:kern w:val="0"/>
                      <w:sz w:val="18"/>
                      <w:szCs w:val="18"/>
                      <w14:textFill>
                        <w14:solidFill>
                          <w14:schemeClr w14:val="tx1"/>
                        </w14:solidFill>
                      </w14:textFill>
                    </w:rPr>
                  </w:pPr>
                </w:p>
              </w:tc>
              <w:tc>
                <w:tcPr>
                  <w:tcW w:w="308" w:type="pct"/>
                  <w:gridSpan w:val="2"/>
                  <w:vMerge w:val="continue"/>
                  <w:vAlign w:val="center"/>
                </w:tcPr>
                <w:p w14:paraId="14E8B76B">
                  <w:pPr>
                    <w:jc w:val="center"/>
                    <w:rPr>
                      <w:rFonts w:eastAsia="新宋体"/>
                      <w:color w:val="000000" w:themeColor="text1"/>
                      <w:kern w:val="0"/>
                      <w:sz w:val="18"/>
                      <w:szCs w:val="18"/>
                      <w14:textFill>
                        <w14:solidFill>
                          <w14:schemeClr w14:val="tx1"/>
                        </w14:solidFill>
                      </w14:textFill>
                    </w:rPr>
                  </w:pPr>
                </w:p>
              </w:tc>
              <w:tc>
                <w:tcPr>
                  <w:tcW w:w="329" w:type="pct"/>
                  <w:gridSpan w:val="2"/>
                  <w:vAlign w:val="center"/>
                </w:tcPr>
                <w:p w14:paraId="3ED14A74">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90</w:t>
                  </w:r>
                </w:p>
              </w:tc>
              <w:tc>
                <w:tcPr>
                  <w:tcW w:w="286" w:type="pct"/>
                  <w:vMerge w:val="continue"/>
                  <w:vAlign w:val="center"/>
                </w:tcPr>
                <w:p w14:paraId="7E222206">
                  <w:pPr>
                    <w:jc w:val="center"/>
                    <w:rPr>
                      <w:rFonts w:eastAsia="新宋体"/>
                      <w:color w:val="000000" w:themeColor="text1"/>
                      <w:kern w:val="0"/>
                      <w:sz w:val="18"/>
                      <w:szCs w:val="18"/>
                      <w14:textFill>
                        <w14:solidFill>
                          <w14:schemeClr w14:val="tx1"/>
                        </w14:solidFill>
                      </w14:textFill>
                    </w:rPr>
                  </w:pPr>
                </w:p>
              </w:tc>
              <w:tc>
                <w:tcPr>
                  <w:tcW w:w="473" w:type="pct"/>
                  <w:vAlign w:val="center"/>
                </w:tcPr>
                <w:p w14:paraId="7E8030DE">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1600</w:t>
                  </w:r>
                </w:p>
              </w:tc>
              <w:tc>
                <w:tcPr>
                  <w:tcW w:w="385" w:type="pct"/>
                  <w:vAlign w:val="center"/>
                </w:tcPr>
                <w:p w14:paraId="16DFBC0C">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20</w:t>
                  </w:r>
                </w:p>
              </w:tc>
              <w:tc>
                <w:tcPr>
                  <w:tcW w:w="374" w:type="pct"/>
                  <w:vAlign w:val="center"/>
                </w:tcPr>
                <w:p w14:paraId="203DD487">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0.064</w:t>
                  </w:r>
                </w:p>
              </w:tc>
              <w:tc>
                <w:tcPr>
                  <w:tcW w:w="366" w:type="pct"/>
                  <w:vAlign w:val="center"/>
                </w:tcPr>
                <w:p w14:paraId="7F0F1369">
                  <w:pPr>
                    <w:jc w:val="center"/>
                    <w:rPr>
                      <w:rFonts w:eastAsia="新宋体"/>
                      <w:b/>
                      <w:bCs/>
                      <w:color w:val="000000" w:themeColor="text1"/>
                      <w:kern w:val="0"/>
                      <w:sz w:val="18"/>
                      <w:szCs w:val="18"/>
                      <w14:textFill>
                        <w14:solidFill>
                          <w14:schemeClr w14:val="tx1"/>
                        </w14:solidFill>
                      </w14:textFill>
                    </w:rPr>
                  </w:pPr>
                  <w:r>
                    <w:rPr>
                      <w:rFonts w:hint="eastAsia" w:eastAsia="新宋体"/>
                      <w:b/>
                      <w:bCs/>
                      <w:color w:val="000000" w:themeColor="text1"/>
                      <w:kern w:val="0"/>
                      <w:sz w:val="18"/>
                      <w:szCs w:val="18"/>
                      <w14:textFill>
                        <w14:solidFill>
                          <w14:schemeClr w14:val="tx1"/>
                        </w14:solidFill>
                      </w14:textFill>
                    </w:rPr>
                    <w:t>/</w:t>
                  </w:r>
                </w:p>
              </w:tc>
            </w:tr>
            <w:tr w14:paraId="7FB06E3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83" w:type="pct"/>
                  <w:vAlign w:val="center"/>
                </w:tcPr>
                <w:p w14:paraId="4697BE60">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车辆清洗废水</w:t>
                  </w:r>
                </w:p>
              </w:tc>
              <w:tc>
                <w:tcPr>
                  <w:tcW w:w="380" w:type="pct"/>
                  <w:vAlign w:val="center"/>
                </w:tcPr>
                <w:p w14:paraId="466F4916">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SS</w:t>
                  </w:r>
                </w:p>
              </w:tc>
              <w:tc>
                <w:tcPr>
                  <w:tcW w:w="365" w:type="pct"/>
                  <w:vAlign w:val="center"/>
                </w:tcPr>
                <w:p w14:paraId="36539B8C">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1728</w:t>
                  </w:r>
                </w:p>
              </w:tc>
              <w:tc>
                <w:tcPr>
                  <w:tcW w:w="566" w:type="pct"/>
                  <w:vAlign w:val="center"/>
                </w:tcPr>
                <w:p w14:paraId="4083196F">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800</w:t>
                  </w:r>
                </w:p>
              </w:tc>
              <w:tc>
                <w:tcPr>
                  <w:tcW w:w="369" w:type="pct"/>
                  <w:vAlign w:val="center"/>
                </w:tcPr>
                <w:p w14:paraId="00738D6C">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1.382</w:t>
                  </w:r>
                </w:p>
              </w:tc>
              <w:tc>
                <w:tcPr>
                  <w:tcW w:w="307" w:type="pct"/>
                  <w:vAlign w:val="center"/>
                </w:tcPr>
                <w:p w14:paraId="6C051065">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10</w:t>
                  </w:r>
                  <w:r>
                    <w:rPr>
                      <w:rFonts w:eastAsia="新宋体"/>
                      <w:color w:val="000000" w:themeColor="text1"/>
                      <w:kern w:val="0"/>
                      <w:sz w:val="18"/>
                      <w:szCs w:val="18"/>
                      <w14:textFill>
                        <w14:solidFill>
                          <w14:schemeClr w14:val="tx1"/>
                        </w14:solidFill>
                      </w14:textFill>
                    </w:rPr>
                    <w:t xml:space="preserve"> m</w:t>
                  </w:r>
                  <w:r>
                    <w:rPr>
                      <w:rFonts w:eastAsia="新宋体"/>
                      <w:color w:val="000000" w:themeColor="text1"/>
                      <w:kern w:val="0"/>
                      <w:sz w:val="18"/>
                      <w:szCs w:val="18"/>
                      <w:vertAlign w:val="superscript"/>
                      <w14:textFill>
                        <w14:solidFill>
                          <w14:schemeClr w14:val="tx1"/>
                        </w14:solidFill>
                      </w14:textFill>
                    </w:rPr>
                    <w:t>3</w:t>
                  </w:r>
                  <w:r>
                    <w:rPr>
                      <w:rFonts w:eastAsia="新宋体"/>
                      <w:color w:val="000000" w:themeColor="text1"/>
                      <w:kern w:val="0"/>
                      <w:sz w:val="18"/>
                      <w:szCs w:val="18"/>
                      <w14:textFill>
                        <w14:solidFill>
                          <w14:schemeClr w14:val="tx1"/>
                        </w14:solidFill>
                      </w14:textFill>
                    </w:rPr>
                    <w:t>/</w:t>
                  </w:r>
                  <w:r>
                    <w:rPr>
                      <w:rFonts w:hint="eastAsia" w:eastAsia="新宋体"/>
                      <w:color w:val="000000" w:themeColor="text1"/>
                      <w:kern w:val="0"/>
                      <w:sz w:val="18"/>
                      <w:szCs w:val="18"/>
                      <w14:textFill>
                        <w14:solidFill>
                          <w14:schemeClr w14:val="tx1"/>
                        </w14:solidFill>
                      </w14:textFill>
                    </w:rPr>
                    <w:t>h</w:t>
                  </w:r>
                </w:p>
              </w:tc>
              <w:tc>
                <w:tcPr>
                  <w:tcW w:w="308" w:type="pct"/>
                  <w:gridSpan w:val="2"/>
                  <w:vAlign w:val="center"/>
                </w:tcPr>
                <w:p w14:paraId="1952DA52">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洗车平台自带沉淀池</w:t>
                  </w:r>
                </w:p>
              </w:tc>
              <w:tc>
                <w:tcPr>
                  <w:tcW w:w="329" w:type="pct"/>
                  <w:gridSpan w:val="2"/>
                  <w:vAlign w:val="center"/>
                </w:tcPr>
                <w:p w14:paraId="1A8E42E6">
                  <w:pPr>
                    <w:jc w:val="center"/>
                    <w:rPr>
                      <w:rFonts w:hint="default" w:eastAsia="新宋体"/>
                      <w:color w:val="000000" w:themeColor="text1"/>
                      <w:kern w:val="0"/>
                      <w:sz w:val="18"/>
                      <w:szCs w:val="18"/>
                      <w:lang w:val="en-US" w:eastAsia="zh-CN"/>
                      <w14:textFill>
                        <w14:solidFill>
                          <w14:schemeClr w14:val="tx1"/>
                        </w14:solidFill>
                      </w14:textFill>
                    </w:rPr>
                  </w:pPr>
                  <w:r>
                    <w:rPr>
                      <w:rFonts w:hint="eastAsia" w:eastAsia="新宋体"/>
                      <w:color w:val="000000" w:themeColor="text1"/>
                      <w:kern w:val="0"/>
                      <w:sz w:val="18"/>
                      <w:szCs w:val="18"/>
                      <w:lang w:val="en-US" w:eastAsia="zh-CN"/>
                      <w14:textFill>
                        <w14:solidFill>
                          <w14:schemeClr w14:val="tx1"/>
                        </w14:solidFill>
                      </w14:textFill>
                    </w:rPr>
                    <w:t>80</w:t>
                  </w:r>
                </w:p>
              </w:tc>
              <w:tc>
                <w:tcPr>
                  <w:tcW w:w="286" w:type="pct"/>
                  <w:vMerge w:val="continue"/>
                  <w:vAlign w:val="center"/>
                </w:tcPr>
                <w:p w14:paraId="5EA9337D">
                  <w:pPr>
                    <w:jc w:val="center"/>
                    <w:rPr>
                      <w:rFonts w:eastAsia="新宋体"/>
                      <w:color w:val="000000" w:themeColor="text1"/>
                      <w:kern w:val="0"/>
                      <w:sz w:val="18"/>
                      <w:szCs w:val="18"/>
                      <w14:textFill>
                        <w14:solidFill>
                          <w14:schemeClr w14:val="tx1"/>
                        </w14:solidFill>
                      </w14:textFill>
                    </w:rPr>
                  </w:pPr>
                </w:p>
              </w:tc>
              <w:tc>
                <w:tcPr>
                  <w:tcW w:w="473" w:type="pct"/>
                  <w:vAlign w:val="center"/>
                </w:tcPr>
                <w:p w14:paraId="1C293C9F">
                  <w:pPr>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1728</w:t>
                  </w:r>
                </w:p>
              </w:tc>
              <w:tc>
                <w:tcPr>
                  <w:tcW w:w="385" w:type="pct"/>
                  <w:vAlign w:val="center"/>
                </w:tcPr>
                <w:p w14:paraId="75075D0D">
                  <w:pPr>
                    <w:jc w:val="center"/>
                    <w:rPr>
                      <w:rFonts w:hint="default" w:eastAsia="新宋体"/>
                      <w:color w:val="000000" w:themeColor="text1"/>
                      <w:kern w:val="0"/>
                      <w:sz w:val="18"/>
                      <w:szCs w:val="18"/>
                      <w:lang w:val="en-US" w:eastAsia="zh-CN"/>
                      <w14:textFill>
                        <w14:solidFill>
                          <w14:schemeClr w14:val="tx1"/>
                        </w14:solidFill>
                      </w14:textFill>
                    </w:rPr>
                  </w:pPr>
                  <w:r>
                    <w:rPr>
                      <w:rFonts w:hint="eastAsia" w:eastAsia="新宋体"/>
                      <w:color w:val="000000" w:themeColor="text1"/>
                      <w:kern w:val="0"/>
                      <w:sz w:val="18"/>
                      <w:szCs w:val="18"/>
                      <w:lang w:val="en-US" w:eastAsia="zh-CN"/>
                      <w14:textFill>
                        <w14:solidFill>
                          <w14:schemeClr w14:val="tx1"/>
                        </w14:solidFill>
                      </w14:textFill>
                    </w:rPr>
                    <w:t>160</w:t>
                  </w:r>
                </w:p>
              </w:tc>
              <w:tc>
                <w:tcPr>
                  <w:tcW w:w="374" w:type="pct"/>
                  <w:vAlign w:val="center"/>
                </w:tcPr>
                <w:p w14:paraId="3689ABE4">
                  <w:pPr>
                    <w:jc w:val="center"/>
                    <w:rPr>
                      <w:rFonts w:hint="default" w:eastAsia="新宋体"/>
                      <w:color w:val="000000" w:themeColor="text1"/>
                      <w:kern w:val="0"/>
                      <w:sz w:val="18"/>
                      <w:szCs w:val="18"/>
                      <w:lang w:val="en-US" w:eastAsia="zh-CN"/>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hint="eastAsia" w:eastAsia="新宋体"/>
                      <w:color w:val="000000" w:themeColor="text1"/>
                      <w:kern w:val="0"/>
                      <w:sz w:val="18"/>
                      <w:szCs w:val="18"/>
                      <w:lang w:val="en-US" w:eastAsia="zh-CN"/>
                      <w14:textFill>
                        <w14:solidFill>
                          <w14:schemeClr w14:val="tx1"/>
                        </w14:solidFill>
                      </w14:textFill>
                    </w:rPr>
                    <w:t>276</w:t>
                  </w:r>
                </w:p>
              </w:tc>
              <w:tc>
                <w:tcPr>
                  <w:tcW w:w="366" w:type="pct"/>
                  <w:vAlign w:val="center"/>
                </w:tcPr>
                <w:p w14:paraId="5A942085">
                  <w:pPr>
                    <w:jc w:val="center"/>
                    <w:rPr>
                      <w:rFonts w:eastAsia="新宋体"/>
                      <w:color w:val="000000" w:themeColor="text1"/>
                      <w:kern w:val="0"/>
                      <w:sz w:val="18"/>
                      <w:szCs w:val="18"/>
                      <w14:textFill>
                        <w14:solidFill>
                          <w14:schemeClr w14:val="tx1"/>
                        </w14:solidFill>
                      </w14:textFill>
                    </w:rPr>
                  </w:pPr>
                  <w:r>
                    <w:rPr>
                      <w:rFonts w:hint="eastAsia" w:eastAsia="新宋体"/>
                      <w:b/>
                      <w:bCs/>
                      <w:color w:val="000000" w:themeColor="text1"/>
                      <w:kern w:val="0"/>
                      <w:sz w:val="18"/>
                      <w:szCs w:val="18"/>
                      <w14:textFill>
                        <w14:solidFill>
                          <w14:schemeClr w14:val="tx1"/>
                        </w14:solidFill>
                      </w14:textFill>
                    </w:rPr>
                    <w:t>/</w:t>
                  </w:r>
                </w:p>
              </w:tc>
            </w:tr>
            <w:bookmarkEnd w:id="55"/>
          </w:tbl>
          <w:p w14:paraId="2E816DBB">
            <w:pPr>
              <w:adjustRightInd w:val="0"/>
              <w:spacing w:line="360" w:lineRule="auto"/>
              <w:ind w:firstLine="480"/>
              <w:jc w:val="left"/>
              <w:textAlignment w:val="baseline"/>
              <w:rPr>
                <w:color w:val="000000" w:themeColor="text1"/>
                <w:sz w:val="24"/>
                <w14:textFill>
                  <w14:solidFill>
                    <w14:schemeClr w14:val="tx1"/>
                  </w14:solidFill>
                </w14:textFill>
              </w:rPr>
            </w:pPr>
            <w:r>
              <w:rPr>
                <w:color w:val="000000" w:themeColor="text1"/>
                <w:sz w:val="24"/>
                <w14:textFill>
                  <w14:solidFill>
                    <w14:schemeClr w14:val="tx1"/>
                  </w14:solidFill>
                </w14:textFill>
              </w:rPr>
              <w:t>项目废水属于间接排放，废水排放口基本情况见表</w:t>
            </w:r>
            <w:r>
              <w:rPr>
                <w:rFonts w:hint="eastAsia"/>
                <w:color w:val="000000" w:themeColor="text1"/>
                <w:sz w:val="24"/>
                <w14:textFill>
                  <w14:solidFill>
                    <w14:schemeClr w14:val="tx1"/>
                  </w14:solidFill>
                </w14:textFill>
              </w:rPr>
              <w:t>4-12</w:t>
            </w:r>
            <w:r>
              <w:rPr>
                <w:color w:val="000000" w:themeColor="text1"/>
                <w:sz w:val="24"/>
                <w14:textFill>
                  <w14:solidFill>
                    <w14:schemeClr w14:val="tx1"/>
                  </w14:solidFill>
                </w14:textFill>
              </w:rPr>
              <w:t>。</w:t>
            </w:r>
          </w:p>
          <w:p w14:paraId="365B5D80">
            <w:pPr>
              <w:ind w:firstLine="48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w:t>
            </w:r>
            <w:r>
              <w:rPr>
                <w:rFonts w:hint="eastAsia"/>
                <w:b/>
                <w:bCs/>
                <w:color w:val="000000" w:themeColor="text1"/>
                <w:sz w:val="24"/>
                <w14:textFill>
                  <w14:solidFill>
                    <w14:schemeClr w14:val="tx1"/>
                  </w14:solidFill>
                </w14:textFill>
              </w:rPr>
              <w:t>4-12</w:t>
            </w:r>
            <w:r>
              <w:rPr>
                <w:b/>
                <w:bCs/>
                <w:color w:val="000000" w:themeColor="text1"/>
                <w:sz w:val="24"/>
                <w14:textFill>
                  <w14:solidFill>
                    <w14:schemeClr w14:val="tx1"/>
                  </w14:solidFill>
                </w14:textFill>
              </w:rPr>
              <w:t xml:space="preserve">  废水排放口基本情况表</w:t>
            </w:r>
            <w:r>
              <w:rPr>
                <w:rFonts w:hint="eastAsia"/>
                <w:b/>
                <w:bCs/>
                <w:color w:val="000000" w:themeColor="text1"/>
                <w:sz w:val="24"/>
                <w14:textFill>
                  <w14:solidFill>
                    <w14:schemeClr w14:val="tx1"/>
                  </w14:solidFill>
                </w14:textFill>
              </w:rPr>
              <w:t>（</w:t>
            </w:r>
            <w:r>
              <w:rPr>
                <w:b/>
                <w:bCs/>
                <w:color w:val="000000" w:themeColor="text1"/>
                <w:sz w:val="24"/>
                <w14:textFill>
                  <w14:solidFill>
                    <w14:schemeClr w14:val="tx1"/>
                  </w14:solidFill>
                </w14:textFill>
              </w:rPr>
              <w:t>pH</w:t>
            </w:r>
            <w:r>
              <w:rPr>
                <w:rFonts w:hint="eastAsia"/>
                <w:b/>
                <w:bCs/>
                <w:color w:val="000000" w:themeColor="text1"/>
                <w:sz w:val="24"/>
                <w14:textFill>
                  <w14:solidFill>
                    <w14:schemeClr w14:val="tx1"/>
                  </w14:solidFill>
                </w14:textFill>
              </w:rPr>
              <w:t>无量纲）</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 w:type="dxa"/>
                <w:bottom w:w="0" w:type="dxa"/>
                <w:right w:w="10" w:type="dxa"/>
              </w:tblCellMar>
            </w:tblPr>
            <w:tblGrid>
              <w:gridCol w:w="460"/>
              <w:gridCol w:w="1185"/>
              <w:gridCol w:w="2220"/>
              <w:gridCol w:w="1829"/>
              <w:gridCol w:w="1283"/>
              <w:gridCol w:w="830"/>
              <w:gridCol w:w="826"/>
              <w:gridCol w:w="1089"/>
              <w:gridCol w:w="1579"/>
              <w:gridCol w:w="2308"/>
            </w:tblGrid>
            <w:tr w14:paraId="62C3784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472" w:type="dxa"/>
                  <w:vMerge w:val="restart"/>
                  <w:tcBorders>
                    <w:top w:val="single" w:color="auto" w:sz="12" w:space="0"/>
                    <w:left w:val="single" w:color="auto" w:sz="12" w:space="0"/>
                    <w:bottom w:val="single" w:color="auto" w:sz="12" w:space="0"/>
                    <w:right w:val="single" w:color="auto" w:sz="12" w:space="0"/>
                  </w:tcBorders>
                  <w:shd w:val="clear" w:color="auto" w:fill="FFFFFF"/>
                  <w:vAlign w:val="center"/>
                </w:tcPr>
                <w:p w14:paraId="6A1EC4AD">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序</w:t>
                  </w:r>
                </w:p>
                <w:p w14:paraId="396BFE22">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号</w:t>
                  </w:r>
                </w:p>
              </w:tc>
              <w:tc>
                <w:tcPr>
                  <w:tcW w:w="1216" w:type="dxa"/>
                  <w:vMerge w:val="restart"/>
                  <w:tcBorders>
                    <w:top w:val="single" w:color="auto" w:sz="12" w:space="0"/>
                    <w:left w:val="single" w:color="auto" w:sz="12" w:space="0"/>
                    <w:bottom w:val="single" w:color="auto" w:sz="12" w:space="0"/>
                    <w:right w:val="single" w:color="auto" w:sz="12" w:space="0"/>
                  </w:tcBorders>
                  <w:shd w:val="clear" w:color="auto" w:fill="FFFFFF"/>
                  <w:vAlign w:val="center"/>
                </w:tcPr>
                <w:p w14:paraId="7F013DA8">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排放口</w:t>
                  </w:r>
                </w:p>
                <w:p w14:paraId="6DA75808">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编号/名称</w:t>
                  </w:r>
                </w:p>
              </w:tc>
              <w:tc>
                <w:tcPr>
                  <w:tcW w:w="4148" w:type="dxa"/>
                  <w:gridSpan w:val="2"/>
                  <w:tcBorders>
                    <w:top w:val="single" w:color="auto" w:sz="12" w:space="0"/>
                    <w:left w:val="single" w:color="auto" w:sz="12" w:space="0"/>
                    <w:bottom w:val="single" w:color="auto" w:sz="12" w:space="0"/>
                    <w:right w:val="single" w:color="auto" w:sz="12" w:space="0"/>
                  </w:tcBorders>
                  <w:shd w:val="clear" w:color="auto" w:fill="FFFFFF"/>
                  <w:vAlign w:val="center"/>
                </w:tcPr>
                <w:p w14:paraId="47E90A71">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排放口地理坐标</w:t>
                  </w:r>
                </w:p>
              </w:tc>
              <w:tc>
                <w:tcPr>
                  <w:tcW w:w="1317" w:type="dxa"/>
                  <w:vMerge w:val="restart"/>
                  <w:tcBorders>
                    <w:top w:val="single" w:color="auto" w:sz="12" w:space="0"/>
                    <w:left w:val="single" w:color="auto" w:sz="12" w:space="0"/>
                    <w:bottom w:val="single" w:color="auto" w:sz="12" w:space="0"/>
                    <w:right w:val="single" w:color="auto" w:sz="12" w:space="0"/>
                  </w:tcBorders>
                  <w:shd w:val="clear" w:color="auto" w:fill="FFFFFF"/>
                  <w:vAlign w:val="center"/>
                </w:tcPr>
                <w:p w14:paraId="52425B4E">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废水排放量/(</w:t>
                  </w:r>
                  <w:r>
                    <w:rPr>
                      <w:color w:val="000000" w:themeColor="text1"/>
                      <w:sz w:val="24"/>
                      <w14:textFill>
                        <w14:solidFill>
                          <w14:schemeClr w14:val="tx1"/>
                        </w14:solidFill>
                      </w14:textFill>
                    </w:rPr>
                    <w:t xml:space="preserve"> </w:t>
                  </w:r>
                  <w:r>
                    <w:rPr>
                      <w:color w:val="000000" w:themeColor="text1"/>
                      <w:sz w:val="18"/>
                      <w:szCs w:val="18"/>
                      <w14:textFill>
                        <w14:solidFill>
                          <w14:schemeClr w14:val="tx1"/>
                        </w14:solidFill>
                      </w14:textFill>
                    </w:rPr>
                    <w:t>m</w:t>
                  </w:r>
                  <w:r>
                    <w:rPr>
                      <w:color w:val="000000" w:themeColor="text1"/>
                      <w:sz w:val="18"/>
                      <w:szCs w:val="18"/>
                      <w:vertAlign w:val="superscript"/>
                      <w14:textFill>
                        <w14:solidFill>
                          <w14:schemeClr w14:val="tx1"/>
                        </w14:solidFill>
                      </w14:textFill>
                    </w:rPr>
                    <w:t>3</w:t>
                  </w:r>
                  <w:r>
                    <w:rPr>
                      <w:color w:val="000000" w:themeColor="text1"/>
                      <w:sz w:val="18"/>
                      <w:szCs w:val="18"/>
                      <w14:textFill>
                        <w14:solidFill>
                          <w14:schemeClr w14:val="tx1"/>
                        </w14:solidFill>
                      </w14:textFill>
                    </w:rPr>
                    <w:t>/a)</w:t>
                  </w:r>
                </w:p>
              </w:tc>
              <w:tc>
                <w:tcPr>
                  <w:tcW w:w="861" w:type="dxa"/>
                  <w:vMerge w:val="restart"/>
                  <w:tcBorders>
                    <w:top w:val="single" w:color="auto" w:sz="12" w:space="0"/>
                    <w:left w:val="single" w:color="auto" w:sz="12" w:space="0"/>
                    <w:bottom w:val="single" w:color="auto" w:sz="12" w:space="0"/>
                    <w:right w:val="single" w:color="auto" w:sz="12" w:space="0"/>
                  </w:tcBorders>
                  <w:shd w:val="clear" w:color="auto" w:fill="FFFFFF"/>
                  <w:vAlign w:val="center"/>
                </w:tcPr>
                <w:p w14:paraId="56B59966">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排放</w:t>
                  </w:r>
                </w:p>
                <w:p w14:paraId="0FCAC4A3">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去向</w:t>
                  </w:r>
                </w:p>
              </w:tc>
              <w:tc>
                <w:tcPr>
                  <w:tcW w:w="857" w:type="dxa"/>
                  <w:vMerge w:val="restart"/>
                  <w:tcBorders>
                    <w:top w:val="single" w:color="auto" w:sz="12" w:space="0"/>
                    <w:left w:val="single" w:color="auto" w:sz="12" w:space="0"/>
                    <w:bottom w:val="single" w:color="auto" w:sz="12" w:space="0"/>
                    <w:right w:val="single" w:color="auto" w:sz="12" w:space="0"/>
                  </w:tcBorders>
                  <w:shd w:val="clear" w:color="auto" w:fill="FFFFFF"/>
                  <w:vAlign w:val="center"/>
                </w:tcPr>
                <w:p w14:paraId="70E647E0">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排放</w:t>
                  </w:r>
                </w:p>
                <w:p w14:paraId="4D605216">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规律</w:t>
                  </w:r>
                </w:p>
              </w:tc>
              <w:tc>
                <w:tcPr>
                  <w:tcW w:w="5156" w:type="dxa"/>
                  <w:gridSpan w:val="3"/>
                  <w:tcBorders>
                    <w:top w:val="single" w:color="auto" w:sz="12" w:space="0"/>
                    <w:left w:val="single" w:color="auto" w:sz="12" w:space="0"/>
                    <w:bottom w:val="single" w:color="auto" w:sz="12" w:space="0"/>
                    <w:right w:val="single" w:color="auto" w:sz="12" w:space="0"/>
                  </w:tcBorders>
                  <w:shd w:val="clear" w:color="auto" w:fill="FFFFFF"/>
                  <w:vAlign w:val="center"/>
                </w:tcPr>
                <w:p w14:paraId="0339FD9F">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受纳污水处理厂信息</w:t>
                  </w:r>
                </w:p>
              </w:tc>
            </w:tr>
            <w:tr w14:paraId="5555ABC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472" w:type="dxa"/>
                  <w:vMerge w:val="continue"/>
                  <w:tcBorders>
                    <w:top w:val="single" w:color="auto" w:sz="12" w:space="0"/>
                    <w:left w:val="single" w:color="auto" w:sz="12" w:space="0"/>
                    <w:bottom w:val="single" w:color="auto" w:sz="12" w:space="0"/>
                    <w:right w:val="single" w:color="auto" w:sz="12" w:space="0"/>
                  </w:tcBorders>
                  <w:vAlign w:val="center"/>
                </w:tcPr>
                <w:p w14:paraId="7FE937FE">
                  <w:pPr>
                    <w:widowControl/>
                    <w:jc w:val="center"/>
                    <w:rPr>
                      <w:color w:val="000000" w:themeColor="text1"/>
                      <w:sz w:val="18"/>
                      <w:szCs w:val="18"/>
                      <w14:textFill>
                        <w14:solidFill>
                          <w14:schemeClr w14:val="tx1"/>
                        </w14:solidFill>
                      </w14:textFill>
                    </w:rPr>
                  </w:pPr>
                </w:p>
              </w:tc>
              <w:tc>
                <w:tcPr>
                  <w:tcW w:w="1216" w:type="dxa"/>
                  <w:vMerge w:val="continue"/>
                  <w:tcBorders>
                    <w:top w:val="single" w:color="auto" w:sz="12" w:space="0"/>
                    <w:left w:val="single" w:color="auto" w:sz="12" w:space="0"/>
                    <w:bottom w:val="single" w:color="auto" w:sz="12" w:space="0"/>
                    <w:right w:val="single" w:color="auto" w:sz="12" w:space="0"/>
                  </w:tcBorders>
                  <w:vAlign w:val="center"/>
                </w:tcPr>
                <w:p w14:paraId="31160F13">
                  <w:pPr>
                    <w:widowControl/>
                    <w:jc w:val="center"/>
                    <w:rPr>
                      <w:color w:val="000000" w:themeColor="text1"/>
                      <w:sz w:val="18"/>
                      <w:szCs w:val="18"/>
                      <w14:textFill>
                        <w14:solidFill>
                          <w14:schemeClr w14:val="tx1"/>
                        </w14:solidFill>
                      </w14:textFill>
                    </w:rPr>
                  </w:pPr>
                </w:p>
              </w:tc>
              <w:tc>
                <w:tcPr>
                  <w:tcW w:w="2273" w:type="dxa"/>
                  <w:tcBorders>
                    <w:top w:val="single" w:color="auto" w:sz="12" w:space="0"/>
                    <w:left w:val="single" w:color="auto" w:sz="12" w:space="0"/>
                    <w:bottom w:val="single" w:color="auto" w:sz="12" w:space="0"/>
                    <w:right w:val="single" w:color="auto" w:sz="12" w:space="0"/>
                  </w:tcBorders>
                  <w:shd w:val="clear" w:color="auto" w:fill="FFFFFF"/>
                  <w:vAlign w:val="center"/>
                </w:tcPr>
                <w:p w14:paraId="364D12DC">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经度</w:t>
                  </w:r>
                </w:p>
              </w:tc>
              <w:tc>
                <w:tcPr>
                  <w:tcW w:w="1875" w:type="dxa"/>
                  <w:tcBorders>
                    <w:top w:val="single" w:color="auto" w:sz="12" w:space="0"/>
                    <w:left w:val="single" w:color="auto" w:sz="12" w:space="0"/>
                    <w:bottom w:val="single" w:color="auto" w:sz="12" w:space="0"/>
                    <w:right w:val="single" w:color="auto" w:sz="12" w:space="0"/>
                  </w:tcBorders>
                  <w:shd w:val="clear" w:color="auto" w:fill="FFFFFF"/>
                  <w:vAlign w:val="center"/>
                </w:tcPr>
                <w:p w14:paraId="45D95C49">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纬度</w:t>
                  </w:r>
                </w:p>
              </w:tc>
              <w:tc>
                <w:tcPr>
                  <w:tcW w:w="1317" w:type="dxa"/>
                  <w:vMerge w:val="continue"/>
                  <w:tcBorders>
                    <w:top w:val="single" w:color="auto" w:sz="12" w:space="0"/>
                    <w:left w:val="single" w:color="auto" w:sz="12" w:space="0"/>
                    <w:bottom w:val="single" w:color="auto" w:sz="12" w:space="0"/>
                    <w:right w:val="single" w:color="auto" w:sz="12" w:space="0"/>
                  </w:tcBorders>
                  <w:vAlign w:val="center"/>
                </w:tcPr>
                <w:p w14:paraId="3EB6389B">
                  <w:pPr>
                    <w:widowControl/>
                    <w:jc w:val="center"/>
                    <w:rPr>
                      <w:color w:val="000000" w:themeColor="text1"/>
                      <w:sz w:val="18"/>
                      <w:szCs w:val="18"/>
                      <w14:textFill>
                        <w14:solidFill>
                          <w14:schemeClr w14:val="tx1"/>
                        </w14:solidFill>
                      </w14:textFill>
                    </w:rPr>
                  </w:pPr>
                </w:p>
              </w:tc>
              <w:tc>
                <w:tcPr>
                  <w:tcW w:w="861" w:type="dxa"/>
                  <w:vMerge w:val="continue"/>
                  <w:tcBorders>
                    <w:top w:val="single" w:color="auto" w:sz="12" w:space="0"/>
                    <w:left w:val="single" w:color="auto" w:sz="12" w:space="0"/>
                    <w:bottom w:val="single" w:color="auto" w:sz="12" w:space="0"/>
                    <w:right w:val="single" w:color="auto" w:sz="12" w:space="0"/>
                  </w:tcBorders>
                  <w:vAlign w:val="center"/>
                </w:tcPr>
                <w:p w14:paraId="6FA67536">
                  <w:pPr>
                    <w:widowControl/>
                    <w:jc w:val="center"/>
                    <w:rPr>
                      <w:color w:val="000000" w:themeColor="text1"/>
                      <w:sz w:val="18"/>
                      <w:szCs w:val="18"/>
                      <w14:textFill>
                        <w14:solidFill>
                          <w14:schemeClr w14:val="tx1"/>
                        </w14:solidFill>
                      </w14:textFill>
                    </w:rPr>
                  </w:pPr>
                </w:p>
              </w:tc>
              <w:tc>
                <w:tcPr>
                  <w:tcW w:w="857" w:type="dxa"/>
                  <w:vMerge w:val="continue"/>
                  <w:tcBorders>
                    <w:top w:val="single" w:color="auto" w:sz="12" w:space="0"/>
                    <w:left w:val="single" w:color="auto" w:sz="12" w:space="0"/>
                    <w:bottom w:val="single" w:color="auto" w:sz="12" w:space="0"/>
                    <w:right w:val="single" w:color="auto" w:sz="12" w:space="0"/>
                  </w:tcBorders>
                  <w:vAlign w:val="center"/>
                </w:tcPr>
                <w:p w14:paraId="5FEB8FD4">
                  <w:pPr>
                    <w:widowControl/>
                    <w:jc w:val="center"/>
                    <w:rPr>
                      <w:color w:val="000000" w:themeColor="text1"/>
                      <w:sz w:val="18"/>
                      <w:szCs w:val="18"/>
                      <w14:textFill>
                        <w14:solidFill>
                          <w14:schemeClr w14:val="tx1"/>
                        </w14:solidFill>
                      </w14:textFill>
                    </w:rPr>
                  </w:pPr>
                </w:p>
              </w:tc>
              <w:tc>
                <w:tcPr>
                  <w:tcW w:w="1133" w:type="dxa"/>
                  <w:tcBorders>
                    <w:top w:val="single" w:color="auto" w:sz="12" w:space="0"/>
                    <w:left w:val="single" w:color="auto" w:sz="12" w:space="0"/>
                    <w:bottom w:val="single" w:color="auto" w:sz="12" w:space="0"/>
                    <w:right w:val="single" w:color="auto" w:sz="12" w:space="0"/>
                  </w:tcBorders>
                  <w:shd w:val="clear" w:color="auto" w:fill="FFFFFF"/>
                  <w:vAlign w:val="center"/>
                </w:tcPr>
                <w:p w14:paraId="6AF9918D">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名称</w:t>
                  </w:r>
                </w:p>
              </w:tc>
              <w:tc>
                <w:tcPr>
                  <w:tcW w:w="1630" w:type="dxa"/>
                  <w:tcBorders>
                    <w:top w:val="single" w:color="auto" w:sz="12" w:space="0"/>
                    <w:left w:val="single" w:color="auto" w:sz="12" w:space="0"/>
                    <w:bottom w:val="single" w:color="auto" w:sz="12" w:space="0"/>
                    <w:right w:val="single" w:color="auto" w:sz="12" w:space="0"/>
                  </w:tcBorders>
                  <w:shd w:val="clear" w:color="auto" w:fill="FFFFFF"/>
                  <w:vAlign w:val="center"/>
                </w:tcPr>
                <w:p w14:paraId="0351D0C0">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污染物种类</w:t>
                  </w:r>
                </w:p>
              </w:tc>
              <w:tc>
                <w:tcPr>
                  <w:tcW w:w="2393" w:type="dxa"/>
                  <w:tcBorders>
                    <w:top w:val="single" w:color="auto" w:sz="12" w:space="0"/>
                    <w:left w:val="single" w:color="auto" w:sz="12" w:space="0"/>
                    <w:bottom w:val="single" w:color="auto" w:sz="12" w:space="0"/>
                    <w:right w:val="single" w:color="auto" w:sz="12" w:space="0"/>
                  </w:tcBorders>
                  <w:shd w:val="clear" w:color="auto" w:fill="FFFFFF"/>
                  <w:vAlign w:val="center"/>
                </w:tcPr>
                <w:p w14:paraId="74C21968">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污染物排放标准浓度限值/(mg/L)</w:t>
                  </w:r>
                </w:p>
              </w:tc>
            </w:tr>
            <w:tr w14:paraId="00D940B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472" w:type="dxa"/>
                  <w:vMerge w:val="restart"/>
                  <w:tcBorders>
                    <w:top w:val="single" w:color="auto" w:sz="12" w:space="0"/>
                    <w:left w:val="single" w:color="auto" w:sz="12" w:space="0"/>
                    <w:right w:val="single" w:color="auto" w:sz="12" w:space="0"/>
                  </w:tcBorders>
                  <w:shd w:val="clear" w:color="auto" w:fill="FFFFFF"/>
                  <w:vAlign w:val="center"/>
                </w:tcPr>
                <w:p w14:paraId="52AD0CE0">
                  <w:pPr>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p>
              </w:tc>
              <w:tc>
                <w:tcPr>
                  <w:tcW w:w="1216" w:type="dxa"/>
                  <w:vMerge w:val="restart"/>
                  <w:tcBorders>
                    <w:top w:val="single" w:color="auto" w:sz="12" w:space="0"/>
                    <w:left w:val="single" w:color="auto" w:sz="12" w:space="0"/>
                    <w:right w:val="single" w:color="auto" w:sz="12" w:space="0"/>
                  </w:tcBorders>
                  <w:shd w:val="clear" w:color="auto" w:fill="FFFFFF"/>
                  <w:vAlign w:val="center"/>
                </w:tcPr>
                <w:p w14:paraId="53D3BDB2">
                  <w:pPr>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DW</w:t>
                  </w:r>
                  <w:r>
                    <w:rPr>
                      <w:color w:val="000000" w:themeColor="text1"/>
                      <w:sz w:val="18"/>
                      <w:szCs w:val="18"/>
                      <w14:textFill>
                        <w14:solidFill>
                          <w14:schemeClr w14:val="tx1"/>
                        </w14:solidFill>
                      </w14:textFill>
                    </w:rPr>
                    <w:t>01/总排口</w:t>
                  </w:r>
                </w:p>
              </w:tc>
              <w:tc>
                <w:tcPr>
                  <w:tcW w:w="2273" w:type="dxa"/>
                  <w:vMerge w:val="restart"/>
                  <w:tcBorders>
                    <w:top w:val="single" w:color="auto" w:sz="12" w:space="0"/>
                    <w:left w:val="single" w:color="auto" w:sz="12" w:space="0"/>
                    <w:right w:val="single" w:color="auto" w:sz="12" w:space="0"/>
                  </w:tcBorders>
                  <w:shd w:val="clear" w:color="auto" w:fill="FFFFFF"/>
                  <w:vAlign w:val="center"/>
                </w:tcPr>
                <w:p w14:paraId="7D214B13">
                  <w:pPr>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E 11</w:t>
                  </w:r>
                  <w:r>
                    <w:rPr>
                      <w:rFonts w:hint="eastAsia"/>
                      <w:color w:val="000000" w:themeColor="text1"/>
                      <w:sz w:val="18"/>
                      <w:szCs w:val="18"/>
                      <w14:textFill>
                        <w14:solidFill>
                          <w14:schemeClr w14:val="tx1"/>
                        </w14:solidFill>
                      </w14:textFill>
                    </w:rPr>
                    <w:t>7</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11</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40.524</w:t>
                  </w:r>
                  <w:r>
                    <w:rPr>
                      <w:color w:val="000000" w:themeColor="text1"/>
                      <w:sz w:val="18"/>
                      <w:szCs w:val="18"/>
                      <w14:textFill>
                        <w14:solidFill>
                          <w14:schemeClr w14:val="tx1"/>
                        </w14:solidFill>
                      </w14:textFill>
                    </w:rPr>
                    <w:t>″</w:t>
                  </w:r>
                </w:p>
              </w:tc>
              <w:tc>
                <w:tcPr>
                  <w:tcW w:w="1875" w:type="dxa"/>
                  <w:vMerge w:val="restart"/>
                  <w:tcBorders>
                    <w:top w:val="single" w:color="auto" w:sz="12" w:space="0"/>
                    <w:left w:val="single" w:color="auto" w:sz="12" w:space="0"/>
                    <w:right w:val="single" w:color="auto" w:sz="12" w:space="0"/>
                  </w:tcBorders>
                  <w:shd w:val="clear" w:color="auto" w:fill="FFFFFF"/>
                  <w:vAlign w:val="center"/>
                </w:tcPr>
                <w:p w14:paraId="014A09F3">
                  <w:pPr>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N 2</w:t>
                  </w:r>
                  <w:r>
                    <w:rPr>
                      <w:rFonts w:hint="eastAsia"/>
                      <w:color w:val="000000" w:themeColor="text1"/>
                      <w:sz w:val="18"/>
                      <w:szCs w:val="18"/>
                      <w14:textFill>
                        <w14:solidFill>
                          <w14:schemeClr w14:val="tx1"/>
                        </w14:solidFill>
                      </w14:textFill>
                    </w:rPr>
                    <w:t>9</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0</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4.647</w:t>
                  </w:r>
                  <w:r>
                    <w:rPr>
                      <w:color w:val="000000" w:themeColor="text1"/>
                      <w:sz w:val="18"/>
                      <w:szCs w:val="18"/>
                      <w14:textFill>
                        <w14:solidFill>
                          <w14:schemeClr w14:val="tx1"/>
                        </w14:solidFill>
                      </w14:textFill>
                    </w:rPr>
                    <w:t>″</w:t>
                  </w:r>
                </w:p>
              </w:tc>
              <w:tc>
                <w:tcPr>
                  <w:tcW w:w="1317" w:type="dxa"/>
                  <w:vMerge w:val="restart"/>
                  <w:tcBorders>
                    <w:top w:val="single" w:color="auto" w:sz="12" w:space="0"/>
                    <w:left w:val="single" w:color="auto" w:sz="12" w:space="0"/>
                    <w:right w:val="single" w:color="auto" w:sz="12" w:space="0"/>
                  </w:tcBorders>
                  <w:shd w:val="clear" w:color="auto" w:fill="FFFFFF"/>
                  <w:vAlign w:val="center"/>
                </w:tcPr>
                <w:p w14:paraId="106C4E13">
                  <w:pPr>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576</w:t>
                  </w:r>
                </w:p>
              </w:tc>
              <w:tc>
                <w:tcPr>
                  <w:tcW w:w="861" w:type="dxa"/>
                  <w:vMerge w:val="restart"/>
                  <w:tcBorders>
                    <w:top w:val="single" w:color="auto" w:sz="12" w:space="0"/>
                    <w:left w:val="single" w:color="auto" w:sz="12" w:space="0"/>
                    <w:right w:val="single" w:color="auto" w:sz="12" w:space="0"/>
                  </w:tcBorders>
                  <w:shd w:val="clear" w:color="auto" w:fill="FFFFFF"/>
                  <w:vAlign w:val="center"/>
                </w:tcPr>
                <w:p w14:paraId="25FBFB7B">
                  <w:pPr>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市政污水管网</w:t>
                  </w:r>
                </w:p>
              </w:tc>
              <w:tc>
                <w:tcPr>
                  <w:tcW w:w="857" w:type="dxa"/>
                  <w:vMerge w:val="restart"/>
                  <w:tcBorders>
                    <w:top w:val="single" w:color="auto" w:sz="12" w:space="0"/>
                    <w:left w:val="single" w:color="auto" w:sz="12" w:space="0"/>
                    <w:right w:val="single" w:color="auto" w:sz="12" w:space="0"/>
                  </w:tcBorders>
                  <w:shd w:val="clear" w:color="auto" w:fill="FFFFFF"/>
                  <w:vAlign w:val="center"/>
                </w:tcPr>
                <w:p w14:paraId="4EEB7516">
                  <w:pPr>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连续</w:t>
                  </w:r>
                </w:p>
              </w:tc>
              <w:tc>
                <w:tcPr>
                  <w:tcW w:w="1133" w:type="dxa"/>
                  <w:vMerge w:val="restart"/>
                  <w:tcBorders>
                    <w:top w:val="single" w:color="auto" w:sz="12" w:space="0"/>
                    <w:left w:val="single" w:color="auto" w:sz="12" w:space="0"/>
                    <w:right w:val="single" w:color="auto" w:sz="12" w:space="0"/>
                  </w:tcBorders>
                  <w:shd w:val="clear" w:color="auto" w:fill="FFFFFF"/>
                  <w:vAlign w:val="center"/>
                </w:tcPr>
                <w:p w14:paraId="39F7B58E">
                  <w:pPr>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金山工业园污水处理厂</w:t>
                  </w:r>
                </w:p>
              </w:tc>
              <w:tc>
                <w:tcPr>
                  <w:tcW w:w="1630" w:type="dxa"/>
                  <w:tcBorders>
                    <w:top w:val="single" w:color="auto" w:sz="12" w:space="0"/>
                    <w:left w:val="single" w:color="auto" w:sz="12" w:space="0"/>
                    <w:bottom w:val="single" w:color="auto" w:sz="12" w:space="0"/>
                    <w:right w:val="single" w:color="auto" w:sz="12" w:space="0"/>
                  </w:tcBorders>
                  <w:shd w:val="clear" w:color="auto" w:fill="FFFFFF"/>
                  <w:vAlign w:val="center"/>
                </w:tcPr>
                <w:p w14:paraId="6EFCE199">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p</w:t>
                  </w:r>
                  <w:r>
                    <w:rPr>
                      <w:color w:val="000000" w:themeColor="text1"/>
                      <w:sz w:val="18"/>
                      <w:szCs w:val="18"/>
                      <w14:textFill>
                        <w14:solidFill>
                          <w14:schemeClr w14:val="tx1"/>
                        </w14:solidFill>
                      </w14:textFill>
                    </w:rPr>
                    <w:t>H</w:t>
                  </w:r>
                </w:p>
              </w:tc>
              <w:tc>
                <w:tcPr>
                  <w:tcW w:w="2393" w:type="dxa"/>
                  <w:tcBorders>
                    <w:top w:val="single" w:color="auto" w:sz="12" w:space="0"/>
                    <w:left w:val="single" w:color="auto" w:sz="12" w:space="0"/>
                    <w:bottom w:val="single" w:color="auto" w:sz="12" w:space="0"/>
                    <w:right w:val="single" w:color="auto" w:sz="12" w:space="0"/>
                  </w:tcBorders>
                  <w:shd w:val="clear" w:color="auto" w:fill="FFFFFF"/>
                  <w:vAlign w:val="center"/>
                </w:tcPr>
                <w:p w14:paraId="7667A2B0">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6~</w:t>
                  </w:r>
                  <w:r>
                    <w:rPr>
                      <w:color w:val="000000" w:themeColor="text1"/>
                      <w:sz w:val="18"/>
                      <w:szCs w:val="18"/>
                      <w14:textFill>
                        <w14:solidFill>
                          <w14:schemeClr w14:val="tx1"/>
                        </w14:solidFill>
                      </w14:textFill>
                    </w:rPr>
                    <w:t>9</w:t>
                  </w:r>
                </w:p>
              </w:tc>
            </w:tr>
            <w:tr w14:paraId="042F93E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472" w:type="dxa"/>
                  <w:vMerge w:val="continue"/>
                  <w:tcBorders>
                    <w:left w:val="single" w:color="auto" w:sz="12" w:space="0"/>
                    <w:right w:val="single" w:color="auto" w:sz="12" w:space="0"/>
                  </w:tcBorders>
                  <w:shd w:val="clear" w:color="auto" w:fill="FFFFFF"/>
                  <w:vAlign w:val="center"/>
                </w:tcPr>
                <w:p w14:paraId="29953D72">
                  <w:pPr>
                    <w:widowControl/>
                    <w:spacing w:line="240" w:lineRule="atLeast"/>
                    <w:jc w:val="center"/>
                    <w:textAlignment w:val="center"/>
                    <w:rPr>
                      <w:color w:val="000000" w:themeColor="text1"/>
                      <w:sz w:val="18"/>
                      <w:szCs w:val="18"/>
                      <w14:textFill>
                        <w14:solidFill>
                          <w14:schemeClr w14:val="tx1"/>
                        </w14:solidFill>
                      </w14:textFill>
                    </w:rPr>
                  </w:pPr>
                </w:p>
              </w:tc>
              <w:tc>
                <w:tcPr>
                  <w:tcW w:w="1216" w:type="dxa"/>
                  <w:vMerge w:val="continue"/>
                  <w:tcBorders>
                    <w:left w:val="single" w:color="auto" w:sz="12" w:space="0"/>
                    <w:right w:val="single" w:color="auto" w:sz="12" w:space="0"/>
                  </w:tcBorders>
                  <w:shd w:val="clear" w:color="auto" w:fill="FFFFFF"/>
                  <w:vAlign w:val="center"/>
                </w:tcPr>
                <w:p w14:paraId="5D630D63">
                  <w:pPr>
                    <w:widowControl/>
                    <w:spacing w:line="240" w:lineRule="atLeast"/>
                    <w:jc w:val="center"/>
                    <w:textAlignment w:val="center"/>
                    <w:rPr>
                      <w:color w:val="000000" w:themeColor="text1"/>
                      <w:sz w:val="18"/>
                      <w:szCs w:val="18"/>
                      <w14:textFill>
                        <w14:solidFill>
                          <w14:schemeClr w14:val="tx1"/>
                        </w14:solidFill>
                      </w14:textFill>
                    </w:rPr>
                  </w:pPr>
                </w:p>
              </w:tc>
              <w:tc>
                <w:tcPr>
                  <w:tcW w:w="2273" w:type="dxa"/>
                  <w:vMerge w:val="continue"/>
                  <w:tcBorders>
                    <w:left w:val="single" w:color="auto" w:sz="12" w:space="0"/>
                    <w:right w:val="single" w:color="auto" w:sz="12" w:space="0"/>
                  </w:tcBorders>
                  <w:shd w:val="clear" w:color="auto" w:fill="FFFFFF"/>
                  <w:vAlign w:val="center"/>
                </w:tcPr>
                <w:p w14:paraId="3C05858A">
                  <w:pPr>
                    <w:widowControl/>
                    <w:spacing w:line="240" w:lineRule="atLeast"/>
                    <w:jc w:val="center"/>
                    <w:textAlignment w:val="center"/>
                    <w:rPr>
                      <w:color w:val="000000" w:themeColor="text1"/>
                      <w:sz w:val="18"/>
                      <w:szCs w:val="18"/>
                      <w14:textFill>
                        <w14:solidFill>
                          <w14:schemeClr w14:val="tx1"/>
                        </w14:solidFill>
                      </w14:textFill>
                    </w:rPr>
                  </w:pPr>
                </w:p>
              </w:tc>
              <w:tc>
                <w:tcPr>
                  <w:tcW w:w="1875" w:type="dxa"/>
                  <w:vMerge w:val="continue"/>
                  <w:tcBorders>
                    <w:left w:val="single" w:color="auto" w:sz="12" w:space="0"/>
                    <w:right w:val="single" w:color="auto" w:sz="12" w:space="0"/>
                  </w:tcBorders>
                  <w:shd w:val="clear" w:color="auto" w:fill="FFFFFF"/>
                  <w:vAlign w:val="center"/>
                </w:tcPr>
                <w:p w14:paraId="3AE0D6F3">
                  <w:pPr>
                    <w:widowControl/>
                    <w:spacing w:line="240" w:lineRule="atLeast"/>
                    <w:jc w:val="center"/>
                    <w:textAlignment w:val="center"/>
                    <w:rPr>
                      <w:color w:val="000000" w:themeColor="text1"/>
                      <w:sz w:val="18"/>
                      <w:szCs w:val="18"/>
                      <w14:textFill>
                        <w14:solidFill>
                          <w14:schemeClr w14:val="tx1"/>
                        </w14:solidFill>
                      </w14:textFill>
                    </w:rPr>
                  </w:pPr>
                </w:p>
              </w:tc>
              <w:tc>
                <w:tcPr>
                  <w:tcW w:w="1317" w:type="dxa"/>
                  <w:vMerge w:val="continue"/>
                  <w:tcBorders>
                    <w:left w:val="single" w:color="auto" w:sz="12" w:space="0"/>
                    <w:right w:val="single" w:color="auto" w:sz="12" w:space="0"/>
                  </w:tcBorders>
                  <w:shd w:val="clear" w:color="auto" w:fill="FFFFFF"/>
                  <w:vAlign w:val="center"/>
                </w:tcPr>
                <w:p w14:paraId="5EA2FD9E">
                  <w:pPr>
                    <w:widowControl/>
                    <w:spacing w:line="240" w:lineRule="atLeast"/>
                    <w:jc w:val="center"/>
                    <w:textAlignment w:val="center"/>
                    <w:rPr>
                      <w:color w:val="000000" w:themeColor="text1"/>
                      <w:sz w:val="18"/>
                      <w:szCs w:val="18"/>
                      <w14:textFill>
                        <w14:solidFill>
                          <w14:schemeClr w14:val="tx1"/>
                        </w14:solidFill>
                      </w14:textFill>
                    </w:rPr>
                  </w:pPr>
                </w:p>
              </w:tc>
              <w:tc>
                <w:tcPr>
                  <w:tcW w:w="861" w:type="dxa"/>
                  <w:vMerge w:val="continue"/>
                  <w:tcBorders>
                    <w:left w:val="single" w:color="auto" w:sz="12" w:space="0"/>
                    <w:right w:val="single" w:color="auto" w:sz="12" w:space="0"/>
                  </w:tcBorders>
                  <w:shd w:val="clear" w:color="auto" w:fill="FFFFFF"/>
                  <w:vAlign w:val="center"/>
                </w:tcPr>
                <w:p w14:paraId="2DE89255">
                  <w:pPr>
                    <w:widowControl/>
                    <w:spacing w:line="240" w:lineRule="atLeast"/>
                    <w:jc w:val="center"/>
                    <w:textAlignment w:val="center"/>
                    <w:rPr>
                      <w:color w:val="000000" w:themeColor="text1"/>
                      <w:sz w:val="18"/>
                      <w:szCs w:val="18"/>
                      <w14:textFill>
                        <w14:solidFill>
                          <w14:schemeClr w14:val="tx1"/>
                        </w14:solidFill>
                      </w14:textFill>
                    </w:rPr>
                  </w:pPr>
                </w:p>
              </w:tc>
              <w:tc>
                <w:tcPr>
                  <w:tcW w:w="857" w:type="dxa"/>
                  <w:vMerge w:val="continue"/>
                  <w:tcBorders>
                    <w:left w:val="single" w:color="auto" w:sz="12" w:space="0"/>
                    <w:right w:val="single" w:color="auto" w:sz="12" w:space="0"/>
                  </w:tcBorders>
                  <w:shd w:val="clear" w:color="auto" w:fill="FFFFFF"/>
                  <w:vAlign w:val="center"/>
                </w:tcPr>
                <w:p w14:paraId="4E428AFD">
                  <w:pPr>
                    <w:widowControl/>
                    <w:spacing w:line="240" w:lineRule="atLeast"/>
                    <w:jc w:val="center"/>
                    <w:textAlignment w:val="center"/>
                    <w:rPr>
                      <w:color w:val="000000" w:themeColor="text1"/>
                      <w:sz w:val="18"/>
                      <w:szCs w:val="18"/>
                      <w14:textFill>
                        <w14:solidFill>
                          <w14:schemeClr w14:val="tx1"/>
                        </w14:solidFill>
                      </w14:textFill>
                    </w:rPr>
                  </w:pPr>
                </w:p>
              </w:tc>
              <w:tc>
                <w:tcPr>
                  <w:tcW w:w="1133" w:type="dxa"/>
                  <w:vMerge w:val="continue"/>
                  <w:tcBorders>
                    <w:left w:val="single" w:color="auto" w:sz="12" w:space="0"/>
                    <w:right w:val="single" w:color="auto" w:sz="12" w:space="0"/>
                  </w:tcBorders>
                  <w:shd w:val="clear" w:color="auto" w:fill="FFFFFF"/>
                  <w:vAlign w:val="center"/>
                </w:tcPr>
                <w:p w14:paraId="69DAEA05">
                  <w:pPr>
                    <w:widowControl/>
                    <w:spacing w:line="240" w:lineRule="atLeast"/>
                    <w:jc w:val="center"/>
                    <w:textAlignment w:val="center"/>
                    <w:rPr>
                      <w:color w:val="000000" w:themeColor="text1"/>
                      <w:sz w:val="18"/>
                      <w:szCs w:val="18"/>
                      <w14:textFill>
                        <w14:solidFill>
                          <w14:schemeClr w14:val="tx1"/>
                        </w14:solidFill>
                      </w14:textFill>
                    </w:rPr>
                  </w:pPr>
                </w:p>
              </w:tc>
              <w:tc>
                <w:tcPr>
                  <w:tcW w:w="1630" w:type="dxa"/>
                  <w:tcBorders>
                    <w:top w:val="single" w:color="auto" w:sz="12" w:space="0"/>
                    <w:left w:val="single" w:color="auto" w:sz="12" w:space="0"/>
                    <w:bottom w:val="single" w:color="auto" w:sz="12" w:space="0"/>
                    <w:right w:val="single" w:color="auto" w:sz="12" w:space="0"/>
                  </w:tcBorders>
                  <w:shd w:val="clear" w:color="auto" w:fill="FFFFFF"/>
                  <w:vAlign w:val="center"/>
                </w:tcPr>
                <w:p w14:paraId="0E50A10E">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CODcr</w:t>
                  </w:r>
                </w:p>
              </w:tc>
              <w:tc>
                <w:tcPr>
                  <w:tcW w:w="2393" w:type="dxa"/>
                  <w:tcBorders>
                    <w:top w:val="single" w:color="auto" w:sz="12" w:space="0"/>
                    <w:left w:val="single" w:color="auto" w:sz="12" w:space="0"/>
                    <w:bottom w:val="single" w:color="auto" w:sz="12" w:space="0"/>
                    <w:right w:val="single" w:color="auto" w:sz="12" w:space="0"/>
                  </w:tcBorders>
                  <w:shd w:val="clear" w:color="auto" w:fill="FFFFFF"/>
                  <w:vAlign w:val="center"/>
                </w:tcPr>
                <w:p w14:paraId="463F4464">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500</w:t>
                  </w:r>
                </w:p>
              </w:tc>
            </w:tr>
            <w:tr w14:paraId="73A881B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472" w:type="dxa"/>
                  <w:vMerge w:val="continue"/>
                  <w:tcBorders>
                    <w:left w:val="single" w:color="auto" w:sz="12" w:space="0"/>
                    <w:right w:val="single" w:color="auto" w:sz="12" w:space="0"/>
                  </w:tcBorders>
                  <w:shd w:val="clear" w:color="auto" w:fill="FFFFFF"/>
                  <w:vAlign w:val="center"/>
                </w:tcPr>
                <w:p w14:paraId="304A147B">
                  <w:pPr>
                    <w:widowControl/>
                    <w:spacing w:line="240" w:lineRule="atLeast"/>
                    <w:jc w:val="center"/>
                    <w:textAlignment w:val="center"/>
                    <w:rPr>
                      <w:color w:val="000000" w:themeColor="text1"/>
                      <w:sz w:val="18"/>
                      <w:szCs w:val="18"/>
                      <w14:textFill>
                        <w14:solidFill>
                          <w14:schemeClr w14:val="tx1"/>
                        </w14:solidFill>
                      </w14:textFill>
                    </w:rPr>
                  </w:pPr>
                </w:p>
              </w:tc>
              <w:tc>
                <w:tcPr>
                  <w:tcW w:w="1216" w:type="dxa"/>
                  <w:vMerge w:val="continue"/>
                  <w:tcBorders>
                    <w:left w:val="single" w:color="auto" w:sz="12" w:space="0"/>
                    <w:right w:val="single" w:color="auto" w:sz="12" w:space="0"/>
                  </w:tcBorders>
                  <w:shd w:val="clear" w:color="auto" w:fill="FFFFFF"/>
                  <w:vAlign w:val="center"/>
                </w:tcPr>
                <w:p w14:paraId="25008D6C">
                  <w:pPr>
                    <w:widowControl/>
                    <w:spacing w:line="240" w:lineRule="atLeast"/>
                    <w:jc w:val="center"/>
                    <w:textAlignment w:val="center"/>
                    <w:rPr>
                      <w:color w:val="000000" w:themeColor="text1"/>
                      <w:sz w:val="18"/>
                      <w:szCs w:val="18"/>
                      <w14:textFill>
                        <w14:solidFill>
                          <w14:schemeClr w14:val="tx1"/>
                        </w14:solidFill>
                      </w14:textFill>
                    </w:rPr>
                  </w:pPr>
                </w:p>
              </w:tc>
              <w:tc>
                <w:tcPr>
                  <w:tcW w:w="2273" w:type="dxa"/>
                  <w:vMerge w:val="continue"/>
                  <w:tcBorders>
                    <w:left w:val="single" w:color="auto" w:sz="12" w:space="0"/>
                    <w:right w:val="single" w:color="auto" w:sz="12" w:space="0"/>
                  </w:tcBorders>
                  <w:shd w:val="clear" w:color="auto" w:fill="FFFFFF"/>
                  <w:vAlign w:val="center"/>
                </w:tcPr>
                <w:p w14:paraId="213E40CD">
                  <w:pPr>
                    <w:widowControl/>
                    <w:spacing w:line="240" w:lineRule="atLeast"/>
                    <w:jc w:val="center"/>
                    <w:textAlignment w:val="center"/>
                    <w:rPr>
                      <w:color w:val="000000" w:themeColor="text1"/>
                      <w:sz w:val="18"/>
                      <w:szCs w:val="18"/>
                      <w14:textFill>
                        <w14:solidFill>
                          <w14:schemeClr w14:val="tx1"/>
                        </w14:solidFill>
                      </w14:textFill>
                    </w:rPr>
                  </w:pPr>
                </w:p>
              </w:tc>
              <w:tc>
                <w:tcPr>
                  <w:tcW w:w="1875" w:type="dxa"/>
                  <w:vMerge w:val="continue"/>
                  <w:tcBorders>
                    <w:left w:val="single" w:color="auto" w:sz="12" w:space="0"/>
                    <w:right w:val="single" w:color="auto" w:sz="12" w:space="0"/>
                  </w:tcBorders>
                  <w:shd w:val="clear" w:color="auto" w:fill="FFFFFF"/>
                  <w:vAlign w:val="center"/>
                </w:tcPr>
                <w:p w14:paraId="6C48C6C5">
                  <w:pPr>
                    <w:widowControl/>
                    <w:spacing w:line="240" w:lineRule="atLeast"/>
                    <w:jc w:val="center"/>
                    <w:textAlignment w:val="center"/>
                    <w:rPr>
                      <w:color w:val="000000" w:themeColor="text1"/>
                      <w:sz w:val="18"/>
                      <w:szCs w:val="18"/>
                      <w14:textFill>
                        <w14:solidFill>
                          <w14:schemeClr w14:val="tx1"/>
                        </w14:solidFill>
                      </w14:textFill>
                    </w:rPr>
                  </w:pPr>
                </w:p>
              </w:tc>
              <w:tc>
                <w:tcPr>
                  <w:tcW w:w="1317" w:type="dxa"/>
                  <w:vMerge w:val="continue"/>
                  <w:tcBorders>
                    <w:left w:val="single" w:color="auto" w:sz="12" w:space="0"/>
                    <w:right w:val="single" w:color="auto" w:sz="12" w:space="0"/>
                  </w:tcBorders>
                  <w:shd w:val="clear" w:color="auto" w:fill="FFFFFF"/>
                  <w:vAlign w:val="center"/>
                </w:tcPr>
                <w:p w14:paraId="3EFE6CA7">
                  <w:pPr>
                    <w:widowControl/>
                    <w:spacing w:line="240" w:lineRule="atLeast"/>
                    <w:jc w:val="center"/>
                    <w:textAlignment w:val="center"/>
                    <w:rPr>
                      <w:color w:val="000000" w:themeColor="text1"/>
                      <w:sz w:val="18"/>
                      <w:szCs w:val="18"/>
                      <w14:textFill>
                        <w14:solidFill>
                          <w14:schemeClr w14:val="tx1"/>
                        </w14:solidFill>
                      </w14:textFill>
                    </w:rPr>
                  </w:pPr>
                </w:p>
              </w:tc>
              <w:tc>
                <w:tcPr>
                  <w:tcW w:w="861" w:type="dxa"/>
                  <w:vMerge w:val="continue"/>
                  <w:tcBorders>
                    <w:left w:val="single" w:color="auto" w:sz="12" w:space="0"/>
                    <w:right w:val="single" w:color="auto" w:sz="12" w:space="0"/>
                  </w:tcBorders>
                  <w:shd w:val="clear" w:color="auto" w:fill="FFFFFF"/>
                  <w:vAlign w:val="center"/>
                </w:tcPr>
                <w:p w14:paraId="419B0A86">
                  <w:pPr>
                    <w:widowControl/>
                    <w:spacing w:line="240" w:lineRule="atLeast"/>
                    <w:jc w:val="center"/>
                    <w:textAlignment w:val="center"/>
                    <w:rPr>
                      <w:color w:val="000000" w:themeColor="text1"/>
                      <w:sz w:val="18"/>
                      <w:szCs w:val="18"/>
                      <w14:textFill>
                        <w14:solidFill>
                          <w14:schemeClr w14:val="tx1"/>
                        </w14:solidFill>
                      </w14:textFill>
                    </w:rPr>
                  </w:pPr>
                </w:p>
              </w:tc>
              <w:tc>
                <w:tcPr>
                  <w:tcW w:w="857" w:type="dxa"/>
                  <w:vMerge w:val="continue"/>
                  <w:tcBorders>
                    <w:left w:val="single" w:color="auto" w:sz="12" w:space="0"/>
                    <w:right w:val="single" w:color="auto" w:sz="12" w:space="0"/>
                  </w:tcBorders>
                  <w:shd w:val="clear" w:color="auto" w:fill="FFFFFF"/>
                  <w:vAlign w:val="center"/>
                </w:tcPr>
                <w:p w14:paraId="73EF97EF">
                  <w:pPr>
                    <w:widowControl/>
                    <w:spacing w:line="240" w:lineRule="atLeast"/>
                    <w:jc w:val="center"/>
                    <w:textAlignment w:val="center"/>
                    <w:rPr>
                      <w:color w:val="000000" w:themeColor="text1"/>
                      <w:sz w:val="18"/>
                      <w:szCs w:val="18"/>
                      <w14:textFill>
                        <w14:solidFill>
                          <w14:schemeClr w14:val="tx1"/>
                        </w14:solidFill>
                      </w14:textFill>
                    </w:rPr>
                  </w:pPr>
                </w:p>
              </w:tc>
              <w:tc>
                <w:tcPr>
                  <w:tcW w:w="1133" w:type="dxa"/>
                  <w:vMerge w:val="continue"/>
                  <w:tcBorders>
                    <w:left w:val="single" w:color="auto" w:sz="12" w:space="0"/>
                    <w:right w:val="single" w:color="auto" w:sz="12" w:space="0"/>
                  </w:tcBorders>
                  <w:shd w:val="clear" w:color="auto" w:fill="FFFFFF"/>
                  <w:vAlign w:val="center"/>
                </w:tcPr>
                <w:p w14:paraId="49A4A32F">
                  <w:pPr>
                    <w:widowControl/>
                    <w:spacing w:line="240" w:lineRule="atLeast"/>
                    <w:jc w:val="center"/>
                    <w:textAlignment w:val="center"/>
                    <w:rPr>
                      <w:color w:val="000000" w:themeColor="text1"/>
                      <w:sz w:val="18"/>
                      <w:szCs w:val="18"/>
                      <w14:textFill>
                        <w14:solidFill>
                          <w14:schemeClr w14:val="tx1"/>
                        </w14:solidFill>
                      </w14:textFill>
                    </w:rPr>
                  </w:pPr>
                </w:p>
              </w:tc>
              <w:tc>
                <w:tcPr>
                  <w:tcW w:w="1630" w:type="dxa"/>
                  <w:tcBorders>
                    <w:top w:val="single" w:color="auto" w:sz="12" w:space="0"/>
                    <w:left w:val="single" w:color="auto" w:sz="12" w:space="0"/>
                    <w:bottom w:val="single" w:color="auto" w:sz="12" w:space="0"/>
                    <w:right w:val="single" w:color="auto" w:sz="12" w:space="0"/>
                  </w:tcBorders>
                  <w:shd w:val="clear" w:color="auto" w:fill="FFFFFF"/>
                  <w:vAlign w:val="center"/>
                </w:tcPr>
                <w:p w14:paraId="4C15298D">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BOD5</w:t>
                  </w:r>
                </w:p>
              </w:tc>
              <w:tc>
                <w:tcPr>
                  <w:tcW w:w="2393" w:type="dxa"/>
                  <w:tcBorders>
                    <w:top w:val="single" w:color="auto" w:sz="12" w:space="0"/>
                    <w:left w:val="single" w:color="auto" w:sz="12" w:space="0"/>
                    <w:bottom w:val="single" w:color="auto" w:sz="12" w:space="0"/>
                    <w:right w:val="single" w:color="auto" w:sz="12" w:space="0"/>
                  </w:tcBorders>
                  <w:shd w:val="clear" w:color="auto" w:fill="FFFFFF"/>
                  <w:vAlign w:val="center"/>
                </w:tcPr>
                <w:p w14:paraId="62E7DA24">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300</w:t>
                  </w:r>
                </w:p>
              </w:tc>
            </w:tr>
            <w:tr w14:paraId="04FD6BD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472" w:type="dxa"/>
                  <w:vMerge w:val="continue"/>
                  <w:tcBorders>
                    <w:left w:val="single" w:color="auto" w:sz="12" w:space="0"/>
                    <w:right w:val="single" w:color="auto" w:sz="12" w:space="0"/>
                  </w:tcBorders>
                  <w:vAlign w:val="center"/>
                </w:tcPr>
                <w:p w14:paraId="22849C13">
                  <w:pPr>
                    <w:widowControl/>
                    <w:jc w:val="center"/>
                    <w:rPr>
                      <w:color w:val="000000" w:themeColor="text1"/>
                      <w:sz w:val="18"/>
                      <w:szCs w:val="18"/>
                      <w14:textFill>
                        <w14:solidFill>
                          <w14:schemeClr w14:val="tx1"/>
                        </w14:solidFill>
                      </w14:textFill>
                    </w:rPr>
                  </w:pPr>
                </w:p>
              </w:tc>
              <w:tc>
                <w:tcPr>
                  <w:tcW w:w="1216" w:type="dxa"/>
                  <w:vMerge w:val="continue"/>
                  <w:tcBorders>
                    <w:left w:val="single" w:color="auto" w:sz="12" w:space="0"/>
                    <w:right w:val="single" w:color="auto" w:sz="12" w:space="0"/>
                  </w:tcBorders>
                  <w:vAlign w:val="center"/>
                </w:tcPr>
                <w:p w14:paraId="54645C0B">
                  <w:pPr>
                    <w:widowControl/>
                    <w:jc w:val="center"/>
                    <w:rPr>
                      <w:color w:val="000000" w:themeColor="text1"/>
                      <w:sz w:val="18"/>
                      <w:szCs w:val="18"/>
                      <w14:textFill>
                        <w14:solidFill>
                          <w14:schemeClr w14:val="tx1"/>
                        </w14:solidFill>
                      </w14:textFill>
                    </w:rPr>
                  </w:pPr>
                </w:p>
              </w:tc>
              <w:tc>
                <w:tcPr>
                  <w:tcW w:w="2273" w:type="dxa"/>
                  <w:vMerge w:val="continue"/>
                  <w:tcBorders>
                    <w:left w:val="single" w:color="auto" w:sz="12" w:space="0"/>
                    <w:right w:val="single" w:color="auto" w:sz="12" w:space="0"/>
                  </w:tcBorders>
                  <w:vAlign w:val="center"/>
                </w:tcPr>
                <w:p w14:paraId="292BF55A">
                  <w:pPr>
                    <w:widowControl/>
                    <w:jc w:val="center"/>
                    <w:rPr>
                      <w:color w:val="000000" w:themeColor="text1"/>
                      <w:sz w:val="18"/>
                      <w:szCs w:val="18"/>
                      <w14:textFill>
                        <w14:solidFill>
                          <w14:schemeClr w14:val="tx1"/>
                        </w14:solidFill>
                      </w14:textFill>
                    </w:rPr>
                  </w:pPr>
                </w:p>
              </w:tc>
              <w:tc>
                <w:tcPr>
                  <w:tcW w:w="1875" w:type="dxa"/>
                  <w:vMerge w:val="continue"/>
                  <w:tcBorders>
                    <w:left w:val="single" w:color="auto" w:sz="12" w:space="0"/>
                    <w:right w:val="single" w:color="auto" w:sz="12" w:space="0"/>
                  </w:tcBorders>
                  <w:vAlign w:val="center"/>
                </w:tcPr>
                <w:p w14:paraId="167051FE">
                  <w:pPr>
                    <w:widowControl/>
                    <w:jc w:val="center"/>
                    <w:rPr>
                      <w:color w:val="000000" w:themeColor="text1"/>
                      <w:sz w:val="18"/>
                      <w:szCs w:val="18"/>
                      <w14:textFill>
                        <w14:solidFill>
                          <w14:schemeClr w14:val="tx1"/>
                        </w14:solidFill>
                      </w14:textFill>
                    </w:rPr>
                  </w:pPr>
                </w:p>
              </w:tc>
              <w:tc>
                <w:tcPr>
                  <w:tcW w:w="1317" w:type="dxa"/>
                  <w:vMerge w:val="continue"/>
                  <w:tcBorders>
                    <w:left w:val="single" w:color="auto" w:sz="12" w:space="0"/>
                    <w:right w:val="single" w:color="auto" w:sz="12" w:space="0"/>
                  </w:tcBorders>
                  <w:vAlign w:val="center"/>
                </w:tcPr>
                <w:p w14:paraId="6E063E02">
                  <w:pPr>
                    <w:widowControl/>
                    <w:jc w:val="center"/>
                    <w:rPr>
                      <w:color w:val="000000" w:themeColor="text1"/>
                      <w:sz w:val="18"/>
                      <w:szCs w:val="18"/>
                      <w14:textFill>
                        <w14:solidFill>
                          <w14:schemeClr w14:val="tx1"/>
                        </w14:solidFill>
                      </w14:textFill>
                    </w:rPr>
                  </w:pPr>
                </w:p>
              </w:tc>
              <w:tc>
                <w:tcPr>
                  <w:tcW w:w="861" w:type="dxa"/>
                  <w:vMerge w:val="continue"/>
                  <w:tcBorders>
                    <w:left w:val="single" w:color="auto" w:sz="12" w:space="0"/>
                    <w:right w:val="single" w:color="auto" w:sz="12" w:space="0"/>
                  </w:tcBorders>
                  <w:vAlign w:val="center"/>
                </w:tcPr>
                <w:p w14:paraId="0085D089">
                  <w:pPr>
                    <w:widowControl/>
                    <w:jc w:val="center"/>
                    <w:rPr>
                      <w:color w:val="000000" w:themeColor="text1"/>
                      <w:sz w:val="18"/>
                      <w:szCs w:val="18"/>
                      <w14:textFill>
                        <w14:solidFill>
                          <w14:schemeClr w14:val="tx1"/>
                        </w14:solidFill>
                      </w14:textFill>
                    </w:rPr>
                  </w:pPr>
                </w:p>
              </w:tc>
              <w:tc>
                <w:tcPr>
                  <w:tcW w:w="857" w:type="dxa"/>
                  <w:vMerge w:val="continue"/>
                  <w:tcBorders>
                    <w:left w:val="single" w:color="auto" w:sz="12" w:space="0"/>
                    <w:right w:val="single" w:color="auto" w:sz="12" w:space="0"/>
                  </w:tcBorders>
                  <w:vAlign w:val="center"/>
                </w:tcPr>
                <w:p w14:paraId="289DCA59">
                  <w:pPr>
                    <w:widowControl/>
                    <w:jc w:val="center"/>
                    <w:rPr>
                      <w:color w:val="000000" w:themeColor="text1"/>
                      <w:sz w:val="18"/>
                      <w:szCs w:val="18"/>
                      <w14:textFill>
                        <w14:solidFill>
                          <w14:schemeClr w14:val="tx1"/>
                        </w14:solidFill>
                      </w14:textFill>
                    </w:rPr>
                  </w:pPr>
                </w:p>
              </w:tc>
              <w:tc>
                <w:tcPr>
                  <w:tcW w:w="1133" w:type="dxa"/>
                  <w:vMerge w:val="continue"/>
                  <w:tcBorders>
                    <w:left w:val="single" w:color="auto" w:sz="12" w:space="0"/>
                    <w:right w:val="single" w:color="auto" w:sz="12" w:space="0"/>
                  </w:tcBorders>
                  <w:vAlign w:val="center"/>
                </w:tcPr>
                <w:p w14:paraId="4868831D">
                  <w:pPr>
                    <w:widowControl/>
                    <w:jc w:val="center"/>
                    <w:rPr>
                      <w:color w:val="000000" w:themeColor="text1"/>
                      <w:sz w:val="18"/>
                      <w:szCs w:val="18"/>
                      <w14:textFill>
                        <w14:solidFill>
                          <w14:schemeClr w14:val="tx1"/>
                        </w14:solidFill>
                      </w14:textFill>
                    </w:rPr>
                  </w:pPr>
                </w:p>
              </w:tc>
              <w:tc>
                <w:tcPr>
                  <w:tcW w:w="1630" w:type="dxa"/>
                  <w:tcBorders>
                    <w:top w:val="single" w:color="auto" w:sz="12" w:space="0"/>
                    <w:left w:val="single" w:color="auto" w:sz="12" w:space="0"/>
                    <w:bottom w:val="single" w:color="auto" w:sz="12" w:space="0"/>
                    <w:right w:val="single" w:color="auto" w:sz="12" w:space="0"/>
                  </w:tcBorders>
                  <w:shd w:val="clear" w:color="auto" w:fill="FFFFFF"/>
                  <w:vAlign w:val="center"/>
                </w:tcPr>
                <w:p w14:paraId="6C7AB926">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氨氮</w:t>
                  </w:r>
                </w:p>
              </w:tc>
              <w:tc>
                <w:tcPr>
                  <w:tcW w:w="2393" w:type="dxa"/>
                  <w:tcBorders>
                    <w:top w:val="single" w:color="auto" w:sz="12" w:space="0"/>
                    <w:left w:val="single" w:color="auto" w:sz="12" w:space="0"/>
                    <w:bottom w:val="single" w:color="auto" w:sz="12" w:space="0"/>
                    <w:right w:val="single" w:color="auto" w:sz="12" w:space="0"/>
                  </w:tcBorders>
                  <w:shd w:val="clear" w:color="auto" w:fill="FFFFFF"/>
                  <w:vAlign w:val="center"/>
                </w:tcPr>
                <w:p w14:paraId="3B1DE595">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r>
            <w:tr w14:paraId="6898D7E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472" w:type="dxa"/>
                  <w:vMerge w:val="continue"/>
                  <w:tcBorders>
                    <w:left w:val="single" w:color="auto" w:sz="12" w:space="0"/>
                    <w:right w:val="single" w:color="auto" w:sz="12" w:space="0"/>
                  </w:tcBorders>
                  <w:vAlign w:val="center"/>
                </w:tcPr>
                <w:p w14:paraId="091F8B86">
                  <w:pPr>
                    <w:widowControl/>
                    <w:jc w:val="center"/>
                    <w:rPr>
                      <w:color w:val="000000" w:themeColor="text1"/>
                      <w:sz w:val="18"/>
                      <w:szCs w:val="18"/>
                      <w14:textFill>
                        <w14:solidFill>
                          <w14:schemeClr w14:val="tx1"/>
                        </w14:solidFill>
                      </w14:textFill>
                    </w:rPr>
                  </w:pPr>
                </w:p>
              </w:tc>
              <w:tc>
                <w:tcPr>
                  <w:tcW w:w="1216" w:type="dxa"/>
                  <w:vMerge w:val="continue"/>
                  <w:tcBorders>
                    <w:left w:val="single" w:color="auto" w:sz="12" w:space="0"/>
                    <w:right w:val="single" w:color="auto" w:sz="12" w:space="0"/>
                  </w:tcBorders>
                  <w:vAlign w:val="center"/>
                </w:tcPr>
                <w:p w14:paraId="1A385ACA">
                  <w:pPr>
                    <w:widowControl/>
                    <w:jc w:val="center"/>
                    <w:rPr>
                      <w:color w:val="000000" w:themeColor="text1"/>
                      <w:sz w:val="18"/>
                      <w:szCs w:val="18"/>
                      <w14:textFill>
                        <w14:solidFill>
                          <w14:schemeClr w14:val="tx1"/>
                        </w14:solidFill>
                      </w14:textFill>
                    </w:rPr>
                  </w:pPr>
                </w:p>
              </w:tc>
              <w:tc>
                <w:tcPr>
                  <w:tcW w:w="2273" w:type="dxa"/>
                  <w:vMerge w:val="continue"/>
                  <w:tcBorders>
                    <w:left w:val="single" w:color="auto" w:sz="12" w:space="0"/>
                    <w:right w:val="single" w:color="auto" w:sz="12" w:space="0"/>
                  </w:tcBorders>
                  <w:vAlign w:val="center"/>
                </w:tcPr>
                <w:p w14:paraId="7EFFB951">
                  <w:pPr>
                    <w:widowControl/>
                    <w:jc w:val="center"/>
                    <w:rPr>
                      <w:color w:val="000000" w:themeColor="text1"/>
                      <w:sz w:val="18"/>
                      <w:szCs w:val="18"/>
                      <w14:textFill>
                        <w14:solidFill>
                          <w14:schemeClr w14:val="tx1"/>
                        </w14:solidFill>
                      </w14:textFill>
                    </w:rPr>
                  </w:pPr>
                </w:p>
              </w:tc>
              <w:tc>
                <w:tcPr>
                  <w:tcW w:w="1875" w:type="dxa"/>
                  <w:vMerge w:val="continue"/>
                  <w:tcBorders>
                    <w:left w:val="single" w:color="auto" w:sz="12" w:space="0"/>
                    <w:right w:val="single" w:color="auto" w:sz="12" w:space="0"/>
                  </w:tcBorders>
                  <w:vAlign w:val="center"/>
                </w:tcPr>
                <w:p w14:paraId="337552A3">
                  <w:pPr>
                    <w:widowControl/>
                    <w:jc w:val="center"/>
                    <w:rPr>
                      <w:color w:val="000000" w:themeColor="text1"/>
                      <w:sz w:val="18"/>
                      <w:szCs w:val="18"/>
                      <w14:textFill>
                        <w14:solidFill>
                          <w14:schemeClr w14:val="tx1"/>
                        </w14:solidFill>
                      </w14:textFill>
                    </w:rPr>
                  </w:pPr>
                </w:p>
              </w:tc>
              <w:tc>
                <w:tcPr>
                  <w:tcW w:w="1317" w:type="dxa"/>
                  <w:vMerge w:val="continue"/>
                  <w:tcBorders>
                    <w:left w:val="single" w:color="auto" w:sz="12" w:space="0"/>
                    <w:right w:val="single" w:color="auto" w:sz="12" w:space="0"/>
                  </w:tcBorders>
                  <w:vAlign w:val="center"/>
                </w:tcPr>
                <w:p w14:paraId="36EFF495">
                  <w:pPr>
                    <w:widowControl/>
                    <w:jc w:val="center"/>
                    <w:rPr>
                      <w:color w:val="000000" w:themeColor="text1"/>
                      <w:sz w:val="18"/>
                      <w:szCs w:val="18"/>
                      <w14:textFill>
                        <w14:solidFill>
                          <w14:schemeClr w14:val="tx1"/>
                        </w14:solidFill>
                      </w14:textFill>
                    </w:rPr>
                  </w:pPr>
                </w:p>
              </w:tc>
              <w:tc>
                <w:tcPr>
                  <w:tcW w:w="861" w:type="dxa"/>
                  <w:vMerge w:val="continue"/>
                  <w:tcBorders>
                    <w:left w:val="single" w:color="auto" w:sz="12" w:space="0"/>
                    <w:right w:val="single" w:color="auto" w:sz="12" w:space="0"/>
                  </w:tcBorders>
                  <w:vAlign w:val="center"/>
                </w:tcPr>
                <w:p w14:paraId="2E86C8E7">
                  <w:pPr>
                    <w:widowControl/>
                    <w:jc w:val="center"/>
                    <w:rPr>
                      <w:color w:val="000000" w:themeColor="text1"/>
                      <w:sz w:val="18"/>
                      <w:szCs w:val="18"/>
                      <w14:textFill>
                        <w14:solidFill>
                          <w14:schemeClr w14:val="tx1"/>
                        </w14:solidFill>
                      </w14:textFill>
                    </w:rPr>
                  </w:pPr>
                </w:p>
              </w:tc>
              <w:tc>
                <w:tcPr>
                  <w:tcW w:w="857" w:type="dxa"/>
                  <w:vMerge w:val="continue"/>
                  <w:tcBorders>
                    <w:left w:val="single" w:color="auto" w:sz="12" w:space="0"/>
                    <w:right w:val="single" w:color="auto" w:sz="12" w:space="0"/>
                  </w:tcBorders>
                  <w:vAlign w:val="center"/>
                </w:tcPr>
                <w:p w14:paraId="03D6186B">
                  <w:pPr>
                    <w:widowControl/>
                    <w:jc w:val="center"/>
                    <w:rPr>
                      <w:color w:val="000000" w:themeColor="text1"/>
                      <w:sz w:val="18"/>
                      <w:szCs w:val="18"/>
                      <w14:textFill>
                        <w14:solidFill>
                          <w14:schemeClr w14:val="tx1"/>
                        </w14:solidFill>
                      </w14:textFill>
                    </w:rPr>
                  </w:pPr>
                </w:p>
              </w:tc>
              <w:tc>
                <w:tcPr>
                  <w:tcW w:w="1133" w:type="dxa"/>
                  <w:vMerge w:val="continue"/>
                  <w:tcBorders>
                    <w:left w:val="single" w:color="auto" w:sz="12" w:space="0"/>
                    <w:right w:val="single" w:color="auto" w:sz="12" w:space="0"/>
                  </w:tcBorders>
                  <w:vAlign w:val="center"/>
                </w:tcPr>
                <w:p w14:paraId="477373D2">
                  <w:pPr>
                    <w:widowControl/>
                    <w:jc w:val="center"/>
                    <w:rPr>
                      <w:color w:val="000000" w:themeColor="text1"/>
                      <w:sz w:val="18"/>
                      <w:szCs w:val="18"/>
                      <w14:textFill>
                        <w14:solidFill>
                          <w14:schemeClr w14:val="tx1"/>
                        </w14:solidFill>
                      </w14:textFill>
                    </w:rPr>
                  </w:pPr>
                </w:p>
              </w:tc>
              <w:tc>
                <w:tcPr>
                  <w:tcW w:w="1630" w:type="dxa"/>
                  <w:tcBorders>
                    <w:top w:val="single" w:color="auto" w:sz="12" w:space="0"/>
                    <w:left w:val="single" w:color="auto" w:sz="12" w:space="0"/>
                    <w:bottom w:val="single" w:color="auto" w:sz="12" w:space="0"/>
                    <w:right w:val="single" w:color="auto" w:sz="12" w:space="0"/>
                  </w:tcBorders>
                  <w:shd w:val="clear" w:color="auto" w:fill="FFFFFF"/>
                  <w:vAlign w:val="center"/>
                </w:tcPr>
                <w:p w14:paraId="332F2CE9">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SS</w:t>
                  </w:r>
                </w:p>
              </w:tc>
              <w:tc>
                <w:tcPr>
                  <w:tcW w:w="2393" w:type="dxa"/>
                  <w:tcBorders>
                    <w:top w:val="single" w:color="auto" w:sz="12" w:space="0"/>
                    <w:left w:val="single" w:color="auto" w:sz="12" w:space="0"/>
                    <w:bottom w:val="single" w:color="auto" w:sz="12" w:space="0"/>
                    <w:right w:val="single" w:color="auto" w:sz="12" w:space="0"/>
                  </w:tcBorders>
                  <w:shd w:val="clear" w:color="auto" w:fill="FFFFFF"/>
                  <w:vAlign w:val="center"/>
                </w:tcPr>
                <w:p w14:paraId="33DAB685">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400</w:t>
                  </w:r>
                </w:p>
              </w:tc>
            </w:tr>
            <w:tr w14:paraId="04D8CF0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472" w:type="dxa"/>
                  <w:vMerge w:val="continue"/>
                  <w:tcBorders>
                    <w:left w:val="single" w:color="auto" w:sz="12" w:space="0"/>
                    <w:right w:val="single" w:color="auto" w:sz="12" w:space="0"/>
                  </w:tcBorders>
                  <w:vAlign w:val="center"/>
                </w:tcPr>
                <w:p w14:paraId="4AA036C6">
                  <w:pPr>
                    <w:widowControl/>
                    <w:jc w:val="center"/>
                    <w:rPr>
                      <w:color w:val="000000" w:themeColor="text1"/>
                      <w:sz w:val="18"/>
                      <w:szCs w:val="18"/>
                      <w14:textFill>
                        <w14:solidFill>
                          <w14:schemeClr w14:val="tx1"/>
                        </w14:solidFill>
                      </w14:textFill>
                    </w:rPr>
                  </w:pPr>
                </w:p>
              </w:tc>
              <w:tc>
                <w:tcPr>
                  <w:tcW w:w="1216" w:type="dxa"/>
                  <w:vMerge w:val="continue"/>
                  <w:tcBorders>
                    <w:left w:val="single" w:color="auto" w:sz="12" w:space="0"/>
                    <w:right w:val="single" w:color="auto" w:sz="12" w:space="0"/>
                  </w:tcBorders>
                  <w:vAlign w:val="center"/>
                </w:tcPr>
                <w:p w14:paraId="7F62330D">
                  <w:pPr>
                    <w:widowControl/>
                    <w:jc w:val="center"/>
                    <w:rPr>
                      <w:color w:val="000000" w:themeColor="text1"/>
                      <w:sz w:val="18"/>
                      <w:szCs w:val="18"/>
                      <w14:textFill>
                        <w14:solidFill>
                          <w14:schemeClr w14:val="tx1"/>
                        </w14:solidFill>
                      </w14:textFill>
                    </w:rPr>
                  </w:pPr>
                </w:p>
              </w:tc>
              <w:tc>
                <w:tcPr>
                  <w:tcW w:w="2273" w:type="dxa"/>
                  <w:vMerge w:val="continue"/>
                  <w:tcBorders>
                    <w:left w:val="single" w:color="auto" w:sz="12" w:space="0"/>
                    <w:right w:val="single" w:color="auto" w:sz="12" w:space="0"/>
                  </w:tcBorders>
                  <w:vAlign w:val="center"/>
                </w:tcPr>
                <w:p w14:paraId="754D73DA">
                  <w:pPr>
                    <w:widowControl/>
                    <w:jc w:val="center"/>
                    <w:rPr>
                      <w:color w:val="000000" w:themeColor="text1"/>
                      <w:sz w:val="18"/>
                      <w:szCs w:val="18"/>
                      <w14:textFill>
                        <w14:solidFill>
                          <w14:schemeClr w14:val="tx1"/>
                        </w14:solidFill>
                      </w14:textFill>
                    </w:rPr>
                  </w:pPr>
                </w:p>
              </w:tc>
              <w:tc>
                <w:tcPr>
                  <w:tcW w:w="1875" w:type="dxa"/>
                  <w:vMerge w:val="continue"/>
                  <w:tcBorders>
                    <w:left w:val="single" w:color="auto" w:sz="12" w:space="0"/>
                    <w:right w:val="single" w:color="auto" w:sz="12" w:space="0"/>
                  </w:tcBorders>
                  <w:vAlign w:val="center"/>
                </w:tcPr>
                <w:p w14:paraId="37627565">
                  <w:pPr>
                    <w:widowControl/>
                    <w:jc w:val="center"/>
                    <w:rPr>
                      <w:color w:val="000000" w:themeColor="text1"/>
                      <w:sz w:val="18"/>
                      <w:szCs w:val="18"/>
                      <w14:textFill>
                        <w14:solidFill>
                          <w14:schemeClr w14:val="tx1"/>
                        </w14:solidFill>
                      </w14:textFill>
                    </w:rPr>
                  </w:pPr>
                </w:p>
              </w:tc>
              <w:tc>
                <w:tcPr>
                  <w:tcW w:w="1317" w:type="dxa"/>
                  <w:vMerge w:val="continue"/>
                  <w:tcBorders>
                    <w:left w:val="single" w:color="auto" w:sz="12" w:space="0"/>
                    <w:right w:val="single" w:color="auto" w:sz="12" w:space="0"/>
                  </w:tcBorders>
                  <w:vAlign w:val="center"/>
                </w:tcPr>
                <w:p w14:paraId="573E7FA1">
                  <w:pPr>
                    <w:widowControl/>
                    <w:jc w:val="center"/>
                    <w:rPr>
                      <w:color w:val="000000" w:themeColor="text1"/>
                      <w:sz w:val="18"/>
                      <w:szCs w:val="18"/>
                      <w14:textFill>
                        <w14:solidFill>
                          <w14:schemeClr w14:val="tx1"/>
                        </w14:solidFill>
                      </w14:textFill>
                    </w:rPr>
                  </w:pPr>
                </w:p>
              </w:tc>
              <w:tc>
                <w:tcPr>
                  <w:tcW w:w="861" w:type="dxa"/>
                  <w:vMerge w:val="continue"/>
                  <w:tcBorders>
                    <w:left w:val="single" w:color="auto" w:sz="12" w:space="0"/>
                    <w:right w:val="single" w:color="auto" w:sz="12" w:space="0"/>
                  </w:tcBorders>
                  <w:vAlign w:val="center"/>
                </w:tcPr>
                <w:p w14:paraId="13B31876">
                  <w:pPr>
                    <w:widowControl/>
                    <w:jc w:val="center"/>
                    <w:rPr>
                      <w:color w:val="000000" w:themeColor="text1"/>
                      <w:sz w:val="18"/>
                      <w:szCs w:val="18"/>
                      <w14:textFill>
                        <w14:solidFill>
                          <w14:schemeClr w14:val="tx1"/>
                        </w14:solidFill>
                      </w14:textFill>
                    </w:rPr>
                  </w:pPr>
                </w:p>
              </w:tc>
              <w:tc>
                <w:tcPr>
                  <w:tcW w:w="857" w:type="dxa"/>
                  <w:vMerge w:val="continue"/>
                  <w:tcBorders>
                    <w:left w:val="single" w:color="auto" w:sz="12" w:space="0"/>
                    <w:right w:val="single" w:color="auto" w:sz="12" w:space="0"/>
                  </w:tcBorders>
                  <w:vAlign w:val="center"/>
                </w:tcPr>
                <w:p w14:paraId="58BE1998">
                  <w:pPr>
                    <w:widowControl/>
                    <w:jc w:val="center"/>
                    <w:rPr>
                      <w:color w:val="000000" w:themeColor="text1"/>
                      <w:sz w:val="18"/>
                      <w:szCs w:val="18"/>
                      <w14:textFill>
                        <w14:solidFill>
                          <w14:schemeClr w14:val="tx1"/>
                        </w14:solidFill>
                      </w14:textFill>
                    </w:rPr>
                  </w:pPr>
                </w:p>
              </w:tc>
              <w:tc>
                <w:tcPr>
                  <w:tcW w:w="1133" w:type="dxa"/>
                  <w:vMerge w:val="continue"/>
                  <w:tcBorders>
                    <w:left w:val="single" w:color="auto" w:sz="12" w:space="0"/>
                    <w:right w:val="single" w:color="auto" w:sz="12" w:space="0"/>
                  </w:tcBorders>
                  <w:vAlign w:val="center"/>
                </w:tcPr>
                <w:p w14:paraId="0FE8B4F0">
                  <w:pPr>
                    <w:widowControl/>
                    <w:jc w:val="center"/>
                    <w:rPr>
                      <w:color w:val="000000" w:themeColor="text1"/>
                      <w:sz w:val="18"/>
                      <w:szCs w:val="18"/>
                      <w14:textFill>
                        <w14:solidFill>
                          <w14:schemeClr w14:val="tx1"/>
                        </w14:solidFill>
                      </w14:textFill>
                    </w:rPr>
                  </w:pPr>
                </w:p>
              </w:tc>
              <w:tc>
                <w:tcPr>
                  <w:tcW w:w="1630" w:type="dxa"/>
                  <w:tcBorders>
                    <w:top w:val="single" w:color="auto" w:sz="12" w:space="0"/>
                    <w:left w:val="single" w:color="auto" w:sz="12" w:space="0"/>
                    <w:bottom w:val="single" w:color="auto" w:sz="12" w:space="0"/>
                    <w:right w:val="single" w:color="auto" w:sz="12" w:space="0"/>
                  </w:tcBorders>
                  <w:shd w:val="clear" w:color="auto" w:fill="FFFFFF"/>
                  <w:vAlign w:val="center"/>
                </w:tcPr>
                <w:p w14:paraId="6D72110F">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T</w:t>
                  </w:r>
                  <w:r>
                    <w:rPr>
                      <w:color w:val="000000" w:themeColor="text1"/>
                      <w:sz w:val="18"/>
                      <w:szCs w:val="18"/>
                      <w14:textFill>
                        <w14:solidFill>
                          <w14:schemeClr w14:val="tx1"/>
                        </w14:solidFill>
                      </w14:textFill>
                    </w:rPr>
                    <w:t>N</w:t>
                  </w:r>
                </w:p>
              </w:tc>
              <w:tc>
                <w:tcPr>
                  <w:tcW w:w="2393" w:type="dxa"/>
                  <w:tcBorders>
                    <w:top w:val="single" w:color="auto" w:sz="12" w:space="0"/>
                    <w:left w:val="single" w:color="auto" w:sz="12" w:space="0"/>
                    <w:bottom w:val="single" w:color="auto" w:sz="12" w:space="0"/>
                    <w:right w:val="single" w:color="auto" w:sz="12" w:space="0"/>
                  </w:tcBorders>
                  <w:shd w:val="clear" w:color="auto" w:fill="FFFFFF"/>
                  <w:vAlign w:val="center"/>
                </w:tcPr>
                <w:p w14:paraId="4C055D4A">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r>
            <w:tr w14:paraId="1B6A0C4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472" w:type="dxa"/>
                  <w:vMerge w:val="continue"/>
                  <w:tcBorders>
                    <w:left w:val="single" w:color="auto" w:sz="12" w:space="0"/>
                    <w:right w:val="single" w:color="auto" w:sz="12" w:space="0"/>
                  </w:tcBorders>
                  <w:vAlign w:val="center"/>
                </w:tcPr>
                <w:p w14:paraId="0C8A1B27">
                  <w:pPr>
                    <w:widowControl/>
                    <w:jc w:val="center"/>
                    <w:rPr>
                      <w:color w:val="000000" w:themeColor="text1"/>
                      <w:sz w:val="18"/>
                      <w:szCs w:val="18"/>
                      <w14:textFill>
                        <w14:solidFill>
                          <w14:schemeClr w14:val="tx1"/>
                        </w14:solidFill>
                      </w14:textFill>
                    </w:rPr>
                  </w:pPr>
                </w:p>
              </w:tc>
              <w:tc>
                <w:tcPr>
                  <w:tcW w:w="1216" w:type="dxa"/>
                  <w:vMerge w:val="continue"/>
                  <w:tcBorders>
                    <w:left w:val="single" w:color="auto" w:sz="12" w:space="0"/>
                    <w:right w:val="single" w:color="auto" w:sz="12" w:space="0"/>
                  </w:tcBorders>
                  <w:vAlign w:val="center"/>
                </w:tcPr>
                <w:p w14:paraId="29406D14">
                  <w:pPr>
                    <w:widowControl/>
                    <w:jc w:val="center"/>
                    <w:rPr>
                      <w:color w:val="000000" w:themeColor="text1"/>
                      <w:sz w:val="18"/>
                      <w:szCs w:val="18"/>
                      <w14:textFill>
                        <w14:solidFill>
                          <w14:schemeClr w14:val="tx1"/>
                        </w14:solidFill>
                      </w14:textFill>
                    </w:rPr>
                  </w:pPr>
                </w:p>
              </w:tc>
              <w:tc>
                <w:tcPr>
                  <w:tcW w:w="2273" w:type="dxa"/>
                  <w:vMerge w:val="continue"/>
                  <w:tcBorders>
                    <w:left w:val="single" w:color="auto" w:sz="12" w:space="0"/>
                    <w:right w:val="single" w:color="auto" w:sz="12" w:space="0"/>
                  </w:tcBorders>
                  <w:vAlign w:val="center"/>
                </w:tcPr>
                <w:p w14:paraId="27A55DCD">
                  <w:pPr>
                    <w:widowControl/>
                    <w:jc w:val="center"/>
                    <w:rPr>
                      <w:color w:val="000000" w:themeColor="text1"/>
                      <w:sz w:val="18"/>
                      <w:szCs w:val="18"/>
                      <w14:textFill>
                        <w14:solidFill>
                          <w14:schemeClr w14:val="tx1"/>
                        </w14:solidFill>
                      </w14:textFill>
                    </w:rPr>
                  </w:pPr>
                </w:p>
              </w:tc>
              <w:tc>
                <w:tcPr>
                  <w:tcW w:w="1875" w:type="dxa"/>
                  <w:vMerge w:val="continue"/>
                  <w:tcBorders>
                    <w:left w:val="single" w:color="auto" w:sz="12" w:space="0"/>
                    <w:right w:val="single" w:color="auto" w:sz="12" w:space="0"/>
                  </w:tcBorders>
                  <w:vAlign w:val="center"/>
                </w:tcPr>
                <w:p w14:paraId="0E0C4A88">
                  <w:pPr>
                    <w:widowControl/>
                    <w:jc w:val="center"/>
                    <w:rPr>
                      <w:color w:val="000000" w:themeColor="text1"/>
                      <w:sz w:val="18"/>
                      <w:szCs w:val="18"/>
                      <w14:textFill>
                        <w14:solidFill>
                          <w14:schemeClr w14:val="tx1"/>
                        </w14:solidFill>
                      </w14:textFill>
                    </w:rPr>
                  </w:pPr>
                </w:p>
              </w:tc>
              <w:tc>
                <w:tcPr>
                  <w:tcW w:w="1317" w:type="dxa"/>
                  <w:vMerge w:val="continue"/>
                  <w:tcBorders>
                    <w:left w:val="single" w:color="auto" w:sz="12" w:space="0"/>
                    <w:right w:val="single" w:color="auto" w:sz="12" w:space="0"/>
                  </w:tcBorders>
                  <w:vAlign w:val="center"/>
                </w:tcPr>
                <w:p w14:paraId="0893FAB5">
                  <w:pPr>
                    <w:widowControl/>
                    <w:jc w:val="center"/>
                    <w:rPr>
                      <w:color w:val="000000" w:themeColor="text1"/>
                      <w:sz w:val="18"/>
                      <w:szCs w:val="18"/>
                      <w14:textFill>
                        <w14:solidFill>
                          <w14:schemeClr w14:val="tx1"/>
                        </w14:solidFill>
                      </w14:textFill>
                    </w:rPr>
                  </w:pPr>
                </w:p>
              </w:tc>
              <w:tc>
                <w:tcPr>
                  <w:tcW w:w="861" w:type="dxa"/>
                  <w:vMerge w:val="continue"/>
                  <w:tcBorders>
                    <w:left w:val="single" w:color="auto" w:sz="12" w:space="0"/>
                    <w:right w:val="single" w:color="auto" w:sz="12" w:space="0"/>
                  </w:tcBorders>
                  <w:vAlign w:val="center"/>
                </w:tcPr>
                <w:p w14:paraId="3005A72E">
                  <w:pPr>
                    <w:widowControl/>
                    <w:jc w:val="center"/>
                    <w:rPr>
                      <w:color w:val="000000" w:themeColor="text1"/>
                      <w:sz w:val="18"/>
                      <w:szCs w:val="18"/>
                      <w14:textFill>
                        <w14:solidFill>
                          <w14:schemeClr w14:val="tx1"/>
                        </w14:solidFill>
                      </w14:textFill>
                    </w:rPr>
                  </w:pPr>
                </w:p>
              </w:tc>
              <w:tc>
                <w:tcPr>
                  <w:tcW w:w="857" w:type="dxa"/>
                  <w:vMerge w:val="continue"/>
                  <w:tcBorders>
                    <w:left w:val="single" w:color="auto" w:sz="12" w:space="0"/>
                    <w:right w:val="single" w:color="auto" w:sz="12" w:space="0"/>
                  </w:tcBorders>
                  <w:vAlign w:val="center"/>
                </w:tcPr>
                <w:p w14:paraId="63EB56BE">
                  <w:pPr>
                    <w:widowControl/>
                    <w:jc w:val="center"/>
                    <w:rPr>
                      <w:color w:val="000000" w:themeColor="text1"/>
                      <w:sz w:val="18"/>
                      <w:szCs w:val="18"/>
                      <w14:textFill>
                        <w14:solidFill>
                          <w14:schemeClr w14:val="tx1"/>
                        </w14:solidFill>
                      </w14:textFill>
                    </w:rPr>
                  </w:pPr>
                </w:p>
              </w:tc>
              <w:tc>
                <w:tcPr>
                  <w:tcW w:w="1133" w:type="dxa"/>
                  <w:vMerge w:val="continue"/>
                  <w:tcBorders>
                    <w:left w:val="single" w:color="auto" w:sz="12" w:space="0"/>
                    <w:right w:val="single" w:color="auto" w:sz="12" w:space="0"/>
                  </w:tcBorders>
                  <w:vAlign w:val="center"/>
                </w:tcPr>
                <w:p w14:paraId="566B985B">
                  <w:pPr>
                    <w:widowControl/>
                    <w:jc w:val="center"/>
                    <w:rPr>
                      <w:color w:val="000000" w:themeColor="text1"/>
                      <w:sz w:val="18"/>
                      <w:szCs w:val="18"/>
                      <w14:textFill>
                        <w14:solidFill>
                          <w14:schemeClr w14:val="tx1"/>
                        </w14:solidFill>
                      </w14:textFill>
                    </w:rPr>
                  </w:pPr>
                </w:p>
              </w:tc>
              <w:tc>
                <w:tcPr>
                  <w:tcW w:w="1630" w:type="dxa"/>
                  <w:tcBorders>
                    <w:top w:val="single" w:color="auto" w:sz="12" w:space="0"/>
                    <w:left w:val="single" w:color="auto" w:sz="12" w:space="0"/>
                    <w:bottom w:val="single" w:color="auto" w:sz="12" w:space="0"/>
                    <w:right w:val="single" w:color="auto" w:sz="12" w:space="0"/>
                  </w:tcBorders>
                  <w:shd w:val="clear" w:color="auto" w:fill="FFFFFF"/>
                  <w:vAlign w:val="center"/>
                </w:tcPr>
                <w:p w14:paraId="78C0B305">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T</w:t>
                  </w:r>
                  <w:r>
                    <w:rPr>
                      <w:color w:val="000000" w:themeColor="text1"/>
                      <w:sz w:val="18"/>
                      <w:szCs w:val="18"/>
                      <w14:textFill>
                        <w14:solidFill>
                          <w14:schemeClr w14:val="tx1"/>
                        </w14:solidFill>
                      </w14:textFill>
                    </w:rPr>
                    <w:t>P</w:t>
                  </w:r>
                </w:p>
              </w:tc>
              <w:tc>
                <w:tcPr>
                  <w:tcW w:w="2393" w:type="dxa"/>
                  <w:tcBorders>
                    <w:top w:val="single" w:color="auto" w:sz="12" w:space="0"/>
                    <w:left w:val="single" w:color="auto" w:sz="12" w:space="0"/>
                    <w:bottom w:val="single" w:color="auto" w:sz="12" w:space="0"/>
                    <w:right w:val="single" w:color="auto" w:sz="12" w:space="0"/>
                  </w:tcBorders>
                  <w:shd w:val="clear" w:color="auto" w:fill="FFFFFF"/>
                  <w:vAlign w:val="center"/>
                </w:tcPr>
                <w:p w14:paraId="13A0D076">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r>
            <w:tr w14:paraId="1FE9DDC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472" w:type="dxa"/>
                  <w:vMerge w:val="continue"/>
                  <w:tcBorders>
                    <w:left w:val="single" w:color="auto" w:sz="12" w:space="0"/>
                    <w:right w:val="single" w:color="auto" w:sz="12" w:space="0"/>
                  </w:tcBorders>
                  <w:vAlign w:val="center"/>
                </w:tcPr>
                <w:p w14:paraId="4E657EE5">
                  <w:pPr>
                    <w:widowControl/>
                    <w:jc w:val="center"/>
                    <w:rPr>
                      <w:color w:val="000000" w:themeColor="text1"/>
                      <w:sz w:val="18"/>
                      <w:szCs w:val="18"/>
                      <w14:textFill>
                        <w14:solidFill>
                          <w14:schemeClr w14:val="tx1"/>
                        </w14:solidFill>
                      </w14:textFill>
                    </w:rPr>
                  </w:pPr>
                </w:p>
              </w:tc>
              <w:tc>
                <w:tcPr>
                  <w:tcW w:w="1216" w:type="dxa"/>
                  <w:vMerge w:val="continue"/>
                  <w:tcBorders>
                    <w:left w:val="single" w:color="auto" w:sz="12" w:space="0"/>
                    <w:right w:val="single" w:color="auto" w:sz="12" w:space="0"/>
                  </w:tcBorders>
                  <w:vAlign w:val="center"/>
                </w:tcPr>
                <w:p w14:paraId="26C1EA24">
                  <w:pPr>
                    <w:widowControl/>
                    <w:jc w:val="center"/>
                    <w:rPr>
                      <w:color w:val="000000" w:themeColor="text1"/>
                      <w:sz w:val="18"/>
                      <w:szCs w:val="18"/>
                      <w14:textFill>
                        <w14:solidFill>
                          <w14:schemeClr w14:val="tx1"/>
                        </w14:solidFill>
                      </w14:textFill>
                    </w:rPr>
                  </w:pPr>
                </w:p>
              </w:tc>
              <w:tc>
                <w:tcPr>
                  <w:tcW w:w="2273" w:type="dxa"/>
                  <w:vMerge w:val="continue"/>
                  <w:tcBorders>
                    <w:left w:val="single" w:color="auto" w:sz="12" w:space="0"/>
                    <w:right w:val="single" w:color="auto" w:sz="12" w:space="0"/>
                  </w:tcBorders>
                  <w:vAlign w:val="center"/>
                </w:tcPr>
                <w:p w14:paraId="78401D79">
                  <w:pPr>
                    <w:widowControl/>
                    <w:jc w:val="center"/>
                    <w:rPr>
                      <w:color w:val="000000" w:themeColor="text1"/>
                      <w:sz w:val="18"/>
                      <w:szCs w:val="18"/>
                      <w14:textFill>
                        <w14:solidFill>
                          <w14:schemeClr w14:val="tx1"/>
                        </w14:solidFill>
                      </w14:textFill>
                    </w:rPr>
                  </w:pPr>
                </w:p>
              </w:tc>
              <w:tc>
                <w:tcPr>
                  <w:tcW w:w="1875" w:type="dxa"/>
                  <w:vMerge w:val="continue"/>
                  <w:tcBorders>
                    <w:left w:val="single" w:color="auto" w:sz="12" w:space="0"/>
                    <w:right w:val="single" w:color="auto" w:sz="12" w:space="0"/>
                  </w:tcBorders>
                  <w:vAlign w:val="center"/>
                </w:tcPr>
                <w:p w14:paraId="4EB7A637">
                  <w:pPr>
                    <w:widowControl/>
                    <w:jc w:val="center"/>
                    <w:rPr>
                      <w:color w:val="000000" w:themeColor="text1"/>
                      <w:sz w:val="18"/>
                      <w:szCs w:val="18"/>
                      <w14:textFill>
                        <w14:solidFill>
                          <w14:schemeClr w14:val="tx1"/>
                        </w14:solidFill>
                      </w14:textFill>
                    </w:rPr>
                  </w:pPr>
                </w:p>
              </w:tc>
              <w:tc>
                <w:tcPr>
                  <w:tcW w:w="1317" w:type="dxa"/>
                  <w:vMerge w:val="continue"/>
                  <w:tcBorders>
                    <w:left w:val="single" w:color="auto" w:sz="12" w:space="0"/>
                    <w:right w:val="single" w:color="auto" w:sz="12" w:space="0"/>
                  </w:tcBorders>
                  <w:vAlign w:val="center"/>
                </w:tcPr>
                <w:p w14:paraId="76705E2C">
                  <w:pPr>
                    <w:widowControl/>
                    <w:jc w:val="center"/>
                    <w:rPr>
                      <w:color w:val="000000" w:themeColor="text1"/>
                      <w:sz w:val="18"/>
                      <w:szCs w:val="18"/>
                      <w14:textFill>
                        <w14:solidFill>
                          <w14:schemeClr w14:val="tx1"/>
                        </w14:solidFill>
                      </w14:textFill>
                    </w:rPr>
                  </w:pPr>
                </w:p>
              </w:tc>
              <w:tc>
                <w:tcPr>
                  <w:tcW w:w="861" w:type="dxa"/>
                  <w:vMerge w:val="continue"/>
                  <w:tcBorders>
                    <w:left w:val="single" w:color="auto" w:sz="12" w:space="0"/>
                    <w:right w:val="single" w:color="auto" w:sz="12" w:space="0"/>
                  </w:tcBorders>
                  <w:vAlign w:val="center"/>
                </w:tcPr>
                <w:p w14:paraId="4FD9C827">
                  <w:pPr>
                    <w:widowControl/>
                    <w:jc w:val="center"/>
                    <w:rPr>
                      <w:color w:val="000000" w:themeColor="text1"/>
                      <w:sz w:val="18"/>
                      <w:szCs w:val="18"/>
                      <w14:textFill>
                        <w14:solidFill>
                          <w14:schemeClr w14:val="tx1"/>
                        </w14:solidFill>
                      </w14:textFill>
                    </w:rPr>
                  </w:pPr>
                </w:p>
              </w:tc>
              <w:tc>
                <w:tcPr>
                  <w:tcW w:w="857" w:type="dxa"/>
                  <w:vMerge w:val="continue"/>
                  <w:tcBorders>
                    <w:left w:val="single" w:color="auto" w:sz="12" w:space="0"/>
                    <w:right w:val="single" w:color="auto" w:sz="12" w:space="0"/>
                  </w:tcBorders>
                  <w:vAlign w:val="center"/>
                </w:tcPr>
                <w:p w14:paraId="70E057E8">
                  <w:pPr>
                    <w:widowControl/>
                    <w:jc w:val="center"/>
                    <w:rPr>
                      <w:color w:val="000000" w:themeColor="text1"/>
                      <w:sz w:val="18"/>
                      <w:szCs w:val="18"/>
                      <w14:textFill>
                        <w14:solidFill>
                          <w14:schemeClr w14:val="tx1"/>
                        </w14:solidFill>
                      </w14:textFill>
                    </w:rPr>
                  </w:pPr>
                </w:p>
              </w:tc>
              <w:tc>
                <w:tcPr>
                  <w:tcW w:w="1133" w:type="dxa"/>
                  <w:vMerge w:val="continue"/>
                  <w:tcBorders>
                    <w:left w:val="single" w:color="auto" w:sz="12" w:space="0"/>
                    <w:right w:val="single" w:color="auto" w:sz="12" w:space="0"/>
                  </w:tcBorders>
                  <w:vAlign w:val="center"/>
                </w:tcPr>
                <w:p w14:paraId="69995404">
                  <w:pPr>
                    <w:widowControl/>
                    <w:jc w:val="center"/>
                    <w:rPr>
                      <w:color w:val="000000" w:themeColor="text1"/>
                      <w:sz w:val="18"/>
                      <w:szCs w:val="18"/>
                      <w14:textFill>
                        <w14:solidFill>
                          <w14:schemeClr w14:val="tx1"/>
                        </w14:solidFill>
                      </w14:textFill>
                    </w:rPr>
                  </w:pPr>
                </w:p>
              </w:tc>
              <w:tc>
                <w:tcPr>
                  <w:tcW w:w="1630" w:type="dxa"/>
                  <w:tcBorders>
                    <w:top w:val="single" w:color="auto" w:sz="12" w:space="0"/>
                    <w:left w:val="single" w:color="auto" w:sz="12" w:space="0"/>
                    <w:bottom w:val="single" w:color="auto" w:sz="12" w:space="0"/>
                    <w:right w:val="single" w:color="auto" w:sz="12" w:space="0"/>
                  </w:tcBorders>
                  <w:shd w:val="clear" w:color="auto" w:fill="FFFFFF"/>
                  <w:vAlign w:val="center"/>
                </w:tcPr>
                <w:p w14:paraId="3A391DA8">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TN</w:t>
                  </w:r>
                </w:p>
              </w:tc>
              <w:tc>
                <w:tcPr>
                  <w:tcW w:w="2393" w:type="dxa"/>
                  <w:tcBorders>
                    <w:top w:val="single" w:color="auto" w:sz="12" w:space="0"/>
                    <w:left w:val="single" w:color="auto" w:sz="12" w:space="0"/>
                    <w:bottom w:val="single" w:color="auto" w:sz="12" w:space="0"/>
                    <w:right w:val="single" w:color="auto" w:sz="12" w:space="0"/>
                  </w:tcBorders>
                  <w:shd w:val="clear" w:color="auto" w:fill="FFFFFF"/>
                </w:tcPr>
                <w:p w14:paraId="3C3387B4">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r>
            <w:tr w14:paraId="50776C3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472" w:type="dxa"/>
                  <w:vMerge w:val="continue"/>
                  <w:tcBorders>
                    <w:left w:val="single" w:color="auto" w:sz="12" w:space="0"/>
                    <w:right w:val="single" w:color="auto" w:sz="12" w:space="0"/>
                  </w:tcBorders>
                  <w:vAlign w:val="center"/>
                </w:tcPr>
                <w:p w14:paraId="69EE0FE1">
                  <w:pPr>
                    <w:widowControl/>
                    <w:jc w:val="center"/>
                    <w:rPr>
                      <w:color w:val="000000" w:themeColor="text1"/>
                      <w:sz w:val="18"/>
                      <w:szCs w:val="18"/>
                      <w14:textFill>
                        <w14:solidFill>
                          <w14:schemeClr w14:val="tx1"/>
                        </w14:solidFill>
                      </w14:textFill>
                    </w:rPr>
                  </w:pPr>
                </w:p>
              </w:tc>
              <w:tc>
                <w:tcPr>
                  <w:tcW w:w="1216" w:type="dxa"/>
                  <w:vMerge w:val="continue"/>
                  <w:tcBorders>
                    <w:left w:val="single" w:color="auto" w:sz="12" w:space="0"/>
                    <w:right w:val="single" w:color="auto" w:sz="12" w:space="0"/>
                  </w:tcBorders>
                  <w:vAlign w:val="center"/>
                </w:tcPr>
                <w:p w14:paraId="6CE41CDA">
                  <w:pPr>
                    <w:widowControl/>
                    <w:jc w:val="center"/>
                    <w:rPr>
                      <w:color w:val="000000" w:themeColor="text1"/>
                      <w:sz w:val="18"/>
                      <w:szCs w:val="18"/>
                      <w14:textFill>
                        <w14:solidFill>
                          <w14:schemeClr w14:val="tx1"/>
                        </w14:solidFill>
                      </w14:textFill>
                    </w:rPr>
                  </w:pPr>
                </w:p>
              </w:tc>
              <w:tc>
                <w:tcPr>
                  <w:tcW w:w="2273" w:type="dxa"/>
                  <w:vMerge w:val="continue"/>
                  <w:tcBorders>
                    <w:left w:val="single" w:color="auto" w:sz="12" w:space="0"/>
                    <w:right w:val="single" w:color="auto" w:sz="12" w:space="0"/>
                  </w:tcBorders>
                  <w:vAlign w:val="center"/>
                </w:tcPr>
                <w:p w14:paraId="0633C98A">
                  <w:pPr>
                    <w:widowControl/>
                    <w:jc w:val="center"/>
                    <w:rPr>
                      <w:color w:val="000000" w:themeColor="text1"/>
                      <w:sz w:val="18"/>
                      <w:szCs w:val="18"/>
                      <w14:textFill>
                        <w14:solidFill>
                          <w14:schemeClr w14:val="tx1"/>
                        </w14:solidFill>
                      </w14:textFill>
                    </w:rPr>
                  </w:pPr>
                </w:p>
              </w:tc>
              <w:tc>
                <w:tcPr>
                  <w:tcW w:w="1875" w:type="dxa"/>
                  <w:vMerge w:val="continue"/>
                  <w:tcBorders>
                    <w:left w:val="single" w:color="auto" w:sz="12" w:space="0"/>
                    <w:right w:val="single" w:color="auto" w:sz="12" w:space="0"/>
                  </w:tcBorders>
                  <w:vAlign w:val="center"/>
                </w:tcPr>
                <w:p w14:paraId="0BC76DCE">
                  <w:pPr>
                    <w:widowControl/>
                    <w:jc w:val="center"/>
                    <w:rPr>
                      <w:color w:val="000000" w:themeColor="text1"/>
                      <w:sz w:val="18"/>
                      <w:szCs w:val="18"/>
                      <w14:textFill>
                        <w14:solidFill>
                          <w14:schemeClr w14:val="tx1"/>
                        </w14:solidFill>
                      </w14:textFill>
                    </w:rPr>
                  </w:pPr>
                </w:p>
              </w:tc>
              <w:tc>
                <w:tcPr>
                  <w:tcW w:w="1317" w:type="dxa"/>
                  <w:vMerge w:val="continue"/>
                  <w:tcBorders>
                    <w:left w:val="single" w:color="auto" w:sz="12" w:space="0"/>
                    <w:right w:val="single" w:color="auto" w:sz="12" w:space="0"/>
                  </w:tcBorders>
                  <w:vAlign w:val="center"/>
                </w:tcPr>
                <w:p w14:paraId="7CCC33ED">
                  <w:pPr>
                    <w:widowControl/>
                    <w:jc w:val="center"/>
                    <w:rPr>
                      <w:color w:val="000000" w:themeColor="text1"/>
                      <w:sz w:val="18"/>
                      <w:szCs w:val="18"/>
                      <w14:textFill>
                        <w14:solidFill>
                          <w14:schemeClr w14:val="tx1"/>
                        </w14:solidFill>
                      </w14:textFill>
                    </w:rPr>
                  </w:pPr>
                </w:p>
              </w:tc>
              <w:tc>
                <w:tcPr>
                  <w:tcW w:w="861" w:type="dxa"/>
                  <w:vMerge w:val="continue"/>
                  <w:tcBorders>
                    <w:left w:val="single" w:color="auto" w:sz="12" w:space="0"/>
                    <w:right w:val="single" w:color="auto" w:sz="12" w:space="0"/>
                  </w:tcBorders>
                  <w:vAlign w:val="center"/>
                </w:tcPr>
                <w:p w14:paraId="40F0FEDD">
                  <w:pPr>
                    <w:widowControl/>
                    <w:jc w:val="center"/>
                    <w:rPr>
                      <w:color w:val="000000" w:themeColor="text1"/>
                      <w:sz w:val="18"/>
                      <w:szCs w:val="18"/>
                      <w14:textFill>
                        <w14:solidFill>
                          <w14:schemeClr w14:val="tx1"/>
                        </w14:solidFill>
                      </w14:textFill>
                    </w:rPr>
                  </w:pPr>
                </w:p>
              </w:tc>
              <w:tc>
                <w:tcPr>
                  <w:tcW w:w="857" w:type="dxa"/>
                  <w:vMerge w:val="continue"/>
                  <w:tcBorders>
                    <w:left w:val="single" w:color="auto" w:sz="12" w:space="0"/>
                    <w:right w:val="single" w:color="auto" w:sz="12" w:space="0"/>
                  </w:tcBorders>
                  <w:vAlign w:val="center"/>
                </w:tcPr>
                <w:p w14:paraId="786E302F">
                  <w:pPr>
                    <w:widowControl/>
                    <w:jc w:val="center"/>
                    <w:rPr>
                      <w:color w:val="000000" w:themeColor="text1"/>
                      <w:sz w:val="18"/>
                      <w:szCs w:val="18"/>
                      <w14:textFill>
                        <w14:solidFill>
                          <w14:schemeClr w14:val="tx1"/>
                        </w14:solidFill>
                      </w14:textFill>
                    </w:rPr>
                  </w:pPr>
                </w:p>
              </w:tc>
              <w:tc>
                <w:tcPr>
                  <w:tcW w:w="1133" w:type="dxa"/>
                  <w:vMerge w:val="continue"/>
                  <w:tcBorders>
                    <w:left w:val="single" w:color="auto" w:sz="12" w:space="0"/>
                    <w:right w:val="single" w:color="auto" w:sz="12" w:space="0"/>
                  </w:tcBorders>
                  <w:vAlign w:val="center"/>
                </w:tcPr>
                <w:p w14:paraId="363B7B5A">
                  <w:pPr>
                    <w:widowControl/>
                    <w:jc w:val="center"/>
                    <w:rPr>
                      <w:color w:val="000000" w:themeColor="text1"/>
                      <w:sz w:val="18"/>
                      <w:szCs w:val="18"/>
                      <w14:textFill>
                        <w14:solidFill>
                          <w14:schemeClr w14:val="tx1"/>
                        </w14:solidFill>
                      </w14:textFill>
                    </w:rPr>
                  </w:pPr>
                </w:p>
              </w:tc>
              <w:tc>
                <w:tcPr>
                  <w:tcW w:w="1630" w:type="dxa"/>
                  <w:tcBorders>
                    <w:top w:val="single" w:color="auto" w:sz="12" w:space="0"/>
                    <w:left w:val="single" w:color="auto" w:sz="12" w:space="0"/>
                    <w:bottom w:val="single" w:color="auto" w:sz="12" w:space="0"/>
                    <w:right w:val="single" w:color="auto" w:sz="12" w:space="0"/>
                  </w:tcBorders>
                  <w:shd w:val="clear" w:color="auto" w:fill="FFFFFF"/>
                  <w:vAlign w:val="center"/>
                </w:tcPr>
                <w:p w14:paraId="22F80456">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动植物油</w:t>
                  </w:r>
                </w:p>
              </w:tc>
              <w:tc>
                <w:tcPr>
                  <w:tcW w:w="2393" w:type="dxa"/>
                  <w:tcBorders>
                    <w:top w:val="single" w:color="auto" w:sz="12" w:space="0"/>
                    <w:left w:val="single" w:color="auto" w:sz="12" w:space="0"/>
                    <w:bottom w:val="single" w:color="auto" w:sz="12" w:space="0"/>
                    <w:right w:val="single" w:color="auto" w:sz="12" w:space="0"/>
                  </w:tcBorders>
                  <w:shd w:val="clear" w:color="auto" w:fill="FFFFFF"/>
                </w:tcPr>
                <w:p w14:paraId="1FCB2C83">
                  <w:pPr>
                    <w:widowControl/>
                    <w:spacing w:line="240" w:lineRule="atLeast"/>
                    <w:jc w:val="center"/>
                    <w:textAlignment w:val="center"/>
                    <w:rPr>
                      <w:rFonts w:hint="default" w:eastAsia="宋体"/>
                      <w:color w:val="000000" w:themeColor="text1"/>
                      <w:sz w:val="18"/>
                      <w:szCs w:val="18"/>
                      <w:lang w:val="en-US" w:eastAsia="zh-CN"/>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100</w:t>
                  </w:r>
                </w:p>
              </w:tc>
            </w:tr>
          </w:tbl>
          <w:p w14:paraId="107E5C09">
            <w:pPr>
              <w:spacing w:line="360" w:lineRule="auto"/>
              <w:ind w:firstLine="482" w:firstLineChars="200"/>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废水污染源源强核算：</w:t>
            </w:r>
          </w:p>
          <w:p w14:paraId="5A9D7CA4">
            <w:pPr>
              <w:widowControl/>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本项目无生产废水外排，生产废水（过水清洗废水、车辆清洗废水、地面拖洗废水）经</w:t>
            </w:r>
            <w:r>
              <w:rPr>
                <w:rFonts w:hint="eastAsia"/>
                <w:bCs/>
                <w:color w:val="000000" w:themeColor="text1"/>
                <w:sz w:val="24"/>
                <w14:textFill>
                  <w14:solidFill>
                    <w14:schemeClr w14:val="tx1"/>
                  </w14:solidFill>
                </w14:textFill>
              </w:rPr>
              <w:t>沉淀池</w:t>
            </w:r>
            <w:r>
              <w:rPr>
                <w:rFonts w:hint="eastAsia"/>
                <w:color w:val="000000" w:themeColor="text1"/>
                <w:sz w:val="24"/>
                <w14:textFill>
                  <w14:solidFill>
                    <w14:schemeClr w14:val="tx1"/>
                  </w14:solidFill>
                </w14:textFill>
              </w:rPr>
              <w:t>处理后达到《城市污水再生利用 工业用水水质》（GBT19923-2024）中表1洗涤用水标准后循环利用不外排，抑尘用水进入产品中；生活污水经隔油池+化粪池处理后达到《污水综合排放标准》（</w:t>
            </w:r>
            <w:r>
              <w:rPr>
                <w:color w:val="000000" w:themeColor="text1"/>
                <w:sz w:val="24"/>
                <w14:textFill>
                  <w14:solidFill>
                    <w14:schemeClr w14:val="tx1"/>
                  </w14:solidFill>
                </w14:textFill>
              </w:rPr>
              <w:t>GB 8978-1996</w:t>
            </w:r>
            <w:r>
              <w:rPr>
                <w:rFonts w:hint="eastAsia"/>
                <w:color w:val="000000" w:themeColor="text1"/>
                <w:sz w:val="24"/>
                <w14:textFill>
                  <w14:solidFill>
                    <w14:schemeClr w14:val="tx1"/>
                  </w14:solidFill>
                </w14:textFill>
              </w:rPr>
              <w:t>）三级标准后，通过园区污水管网排放至金山工业园污水处理厂进一步处理。</w:t>
            </w:r>
          </w:p>
          <w:p w14:paraId="66C38255">
            <w:pPr>
              <w:widowControl/>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（1）生活污水</w:t>
            </w:r>
          </w:p>
          <w:p w14:paraId="756BE026">
            <w:pPr>
              <w:widowControl/>
              <w:adjustRightInd w:val="0"/>
              <w:snapToGrid w:val="0"/>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根据</w:t>
            </w:r>
            <w:r>
              <w:rPr>
                <w:rFonts w:hint="eastAsia"/>
                <w:color w:val="000000" w:themeColor="text1"/>
                <w:sz w:val="24"/>
                <w14:textFill>
                  <w14:solidFill>
                    <w14:schemeClr w14:val="tx1"/>
                  </w14:solidFill>
                </w14:textFill>
              </w:rPr>
              <w:t>水平衡，本项目生活污水产生量为576</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/a（</w:t>
            </w:r>
            <w:r>
              <w:rPr>
                <w:rFonts w:hint="eastAsia"/>
                <w:color w:val="000000" w:themeColor="text1"/>
                <w:sz w:val="24"/>
                <w14:textFill>
                  <w14:solidFill>
                    <w14:schemeClr w14:val="tx1"/>
                  </w14:solidFill>
                </w14:textFill>
              </w:rPr>
              <w:t>1.9</w:t>
            </w:r>
            <w:r>
              <w:rPr>
                <w:rFonts w:hint="eastAsia"/>
                <w:color w:val="000000" w:themeColor="text1"/>
                <w:sz w:val="24"/>
                <w:lang w:val="en-US" w:eastAsia="zh-CN"/>
                <w14:textFill>
                  <w14:solidFill>
                    <w14:schemeClr w14:val="tx1"/>
                  </w14:solidFill>
                </w14:textFill>
              </w:rPr>
              <w:t>2</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，参考城市生活污水经验参数，生活污水污染源强定为：CODcr250mg/L、BOD</w:t>
            </w:r>
            <w:r>
              <w:rPr>
                <w:rFonts w:hint="eastAsia"/>
                <w:color w:val="000000" w:themeColor="text1"/>
                <w:sz w:val="24"/>
                <w:vertAlign w:val="subscript"/>
                <w14:textFill>
                  <w14:solidFill>
                    <w14:schemeClr w14:val="tx1"/>
                  </w14:solidFill>
                </w14:textFill>
              </w:rPr>
              <w:t>5</w:t>
            </w:r>
            <w:r>
              <w:rPr>
                <w:rFonts w:hint="eastAsia"/>
                <w:color w:val="000000" w:themeColor="text1"/>
                <w:sz w:val="24"/>
                <w14:textFill>
                  <w14:solidFill>
                    <w14:schemeClr w14:val="tx1"/>
                  </w14:solidFill>
                </w14:textFill>
              </w:rPr>
              <w:t>150 mg/L、氨氮25 mg/L、TP 2 mg/L、SS200 mg/L、TN40mg/L、动植物油30 mg/L</w:t>
            </w:r>
            <w:r>
              <w:rPr>
                <w:color w:val="000000" w:themeColor="text1"/>
                <w:sz w:val="24"/>
                <w14:textFill>
                  <w14:solidFill>
                    <w14:schemeClr w14:val="tx1"/>
                  </w14:solidFill>
                </w14:textFill>
              </w:rPr>
              <w:t>。</w:t>
            </w:r>
          </w:p>
          <w:p w14:paraId="468319E0">
            <w:pPr>
              <w:widowControl/>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（2）过水池清洗废水</w:t>
            </w:r>
          </w:p>
          <w:p w14:paraId="2E847AD2">
            <w:pPr>
              <w:widowControl/>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根据水平衡，过水池清洗用于循环使用的回水量为2760.546m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/d(828164m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/a)，车辆清洗废水主要污染因子为SS，浓度为1000mg/L。洗车废水经沉淀池</w:t>
            </w:r>
            <w:r>
              <w:rPr>
                <w:rFonts w:hint="eastAsia"/>
                <w:color w:val="000000" w:themeColor="text1"/>
                <w:sz w:val="24"/>
                <w:lang w:eastAsia="zh-CN"/>
                <w14:textFill>
                  <w14:solidFill>
                    <w14:schemeClr w14:val="tx1"/>
                  </w14:solidFill>
                </w14:textFill>
              </w:rPr>
              <w:t>（</w:t>
            </w:r>
            <w:r>
              <w:rPr>
                <w:rFonts w:hint="eastAsia"/>
                <w:color w:val="000000" w:themeColor="text1"/>
                <w:sz w:val="24"/>
                <w:lang w:val="en-US" w:eastAsia="zh-CN"/>
                <w14:textFill>
                  <w14:solidFill>
                    <w14:schemeClr w14:val="tx1"/>
                  </w14:solidFill>
                </w14:textFill>
              </w:rPr>
              <w:t>三级沉淀</w:t>
            </w:r>
            <w:r>
              <w:rPr>
                <w:rFonts w:hint="eastAsia"/>
                <w:color w:val="000000" w:themeColor="text1"/>
                <w:sz w:val="24"/>
                <w:lang w:eastAsia="zh-CN"/>
                <w14:textFill>
                  <w14:solidFill>
                    <w14:schemeClr w14:val="tx1"/>
                  </w14:solidFill>
                </w14:textFill>
              </w:rPr>
              <w:t>）</w:t>
            </w:r>
            <w:r>
              <w:rPr>
                <w:rFonts w:hint="eastAsia"/>
                <w:color w:val="000000" w:themeColor="text1"/>
                <w:sz w:val="24"/>
                <w14:textFill>
                  <w14:solidFill>
                    <w14:schemeClr w14:val="tx1"/>
                  </w14:solidFill>
                </w14:textFill>
              </w:rPr>
              <w:t>沉淀处理达到《城市污水再生利用 工业用水水质》（GBT19923-2024）中表1洗涤用水标准后回用于车辆清洗，不外排。</w:t>
            </w:r>
          </w:p>
          <w:p w14:paraId="2B6898F7">
            <w:pPr>
              <w:widowControl/>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（4）车辆清洗废水</w:t>
            </w:r>
          </w:p>
          <w:p w14:paraId="66C10AED">
            <w:pPr>
              <w:widowControl/>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根据水平衡，车辆清洗用于循环使用的回水量为5.76m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/d(1728m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/a)，车辆清洗废水主要污染因子为SS，浓度为800mg/L。洗车废水经沉淀池沉淀处理达到《城市污水再生利用 工业用水水质》（GBT19923-2024）中表1洗涤用水标准后回用于车辆清洗，不外排。</w:t>
            </w:r>
          </w:p>
          <w:p w14:paraId="16CD2614">
            <w:pPr>
              <w:widowControl/>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（5）地面拖洗废水</w:t>
            </w:r>
          </w:p>
          <w:p w14:paraId="573A8A08">
            <w:pPr>
              <w:widowControl/>
              <w:adjustRightInd w:val="0"/>
              <w:snapToGrid w:val="0"/>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根据水平衡，地面拖洗废水产生量约1600</w:t>
            </w:r>
            <w:r>
              <w:rPr>
                <w:color w:val="000000" w:themeColor="text1"/>
                <w:sz w:val="24"/>
                <w14:textFill>
                  <w14:solidFill>
                    <w14:schemeClr w14:val="tx1"/>
                  </w14:solidFill>
                </w14:textFill>
              </w:rPr>
              <w:t xml:space="preserve"> m</w:t>
            </w:r>
            <w:r>
              <w:rPr>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/a(5.333m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/d)，地面清洗废水主要污染因子为SS，其浓度约400mg/L，经沉淀池</w:t>
            </w:r>
            <w:r>
              <w:rPr>
                <w:rFonts w:hint="eastAsia" w:eastAsia="宋体"/>
                <w:color w:val="000000" w:themeColor="text1"/>
                <w:sz w:val="24"/>
                <w:lang w:eastAsia="zh-CN"/>
                <w14:textFill>
                  <w14:solidFill>
                    <w14:schemeClr w14:val="tx1"/>
                  </w14:solidFill>
                </w14:textFill>
              </w:rPr>
              <w:t>（</w:t>
            </w:r>
            <w:r>
              <w:rPr>
                <w:rFonts w:hint="eastAsia" w:ascii="Times New Roman" w:eastAsia="宋体"/>
                <w:color w:val="000000" w:themeColor="text1"/>
                <w:sz w:val="24"/>
                <w:lang w:val="en-US" w:eastAsia="zh-CN"/>
                <w14:textFill>
                  <w14:solidFill>
                    <w14:schemeClr w14:val="tx1"/>
                  </w14:solidFill>
                </w14:textFill>
              </w:rPr>
              <w:t>三级沉淀</w:t>
            </w:r>
            <w:r>
              <w:rPr>
                <w:rFonts w:hint="eastAsia" w:eastAsia="宋体"/>
                <w:color w:val="000000" w:themeColor="text1"/>
                <w:sz w:val="24"/>
                <w:lang w:eastAsia="zh-CN"/>
                <w14:textFill>
                  <w14:solidFill>
                    <w14:schemeClr w14:val="tx1"/>
                  </w14:solidFill>
                </w14:textFill>
              </w:rPr>
              <w:t>）</w:t>
            </w:r>
            <w:r>
              <w:rPr>
                <w:rFonts w:hint="eastAsia"/>
                <w:color w:val="000000" w:themeColor="text1"/>
                <w:sz w:val="24"/>
                <w14:textFill>
                  <w14:solidFill>
                    <w14:schemeClr w14:val="tx1"/>
                  </w14:solidFill>
                </w14:textFill>
              </w:rPr>
              <w:t>沉淀处理达《城市污水再生利用 工业用水水质》（GBT19923-2024）中表1洗涤用水标准后循环利用，不外排。</w:t>
            </w:r>
          </w:p>
          <w:p w14:paraId="7BCE3AA8">
            <w:pPr>
              <w:pStyle w:val="337"/>
              <w:ind w:firstLine="482"/>
              <w:rPr>
                <w:rFonts w:eastAsia="新宋体" w:cs="Times New Roman"/>
                <w:b/>
                <w:color w:val="000000" w:themeColor="text1"/>
                <w:sz w:val="24"/>
                <w:szCs w:val="24"/>
                <w14:textFill>
                  <w14:solidFill>
                    <w14:schemeClr w14:val="tx1"/>
                  </w14:solidFill>
                </w14:textFill>
              </w:rPr>
            </w:pPr>
            <w:r>
              <w:rPr>
                <w:rFonts w:eastAsia="新宋体" w:cs="Times New Roman"/>
                <w:b/>
                <w:color w:val="000000" w:themeColor="text1"/>
                <w:sz w:val="24"/>
                <w:szCs w:val="24"/>
                <w14:textFill>
                  <w14:solidFill>
                    <w14:schemeClr w14:val="tx1"/>
                  </w14:solidFill>
                </w14:textFill>
              </w:rPr>
              <w:t>2、依托集中污水处理厂可行性分析</w:t>
            </w:r>
          </w:p>
          <w:p w14:paraId="31AD327F">
            <w:pPr>
              <w:jc w:val="center"/>
              <w:rPr>
                <w:b/>
                <w:bCs/>
                <w:color w:val="000000" w:themeColor="text1"/>
                <w:kern w:val="21"/>
                <w:sz w:val="24"/>
                <w14:textFill>
                  <w14:solidFill>
                    <w14:schemeClr w14:val="tx1"/>
                  </w14:solidFill>
                </w14:textFill>
              </w:rPr>
            </w:pPr>
            <w:r>
              <w:rPr>
                <w:b/>
                <w:bCs/>
                <w:color w:val="000000" w:themeColor="text1"/>
                <w:kern w:val="21"/>
                <w:sz w:val="24"/>
                <w14:textFill>
                  <w14:solidFill>
                    <w14:schemeClr w14:val="tx1"/>
                  </w14:solidFill>
                </w14:textFill>
              </w:rPr>
              <w:t>表4-</w:t>
            </w:r>
            <w:r>
              <w:rPr>
                <w:rFonts w:hint="eastAsia"/>
                <w:b/>
                <w:bCs/>
                <w:color w:val="000000" w:themeColor="text1"/>
                <w:kern w:val="21"/>
                <w:sz w:val="24"/>
                <w14:textFill>
                  <w14:solidFill>
                    <w14:schemeClr w14:val="tx1"/>
                  </w14:solidFill>
                </w14:textFill>
              </w:rPr>
              <w:t>13</w:t>
            </w:r>
            <w:r>
              <w:rPr>
                <w:b/>
                <w:bCs/>
                <w:color w:val="000000" w:themeColor="text1"/>
                <w:kern w:val="21"/>
                <w:sz w:val="24"/>
                <w14:textFill>
                  <w14:solidFill>
                    <w14:schemeClr w14:val="tx1"/>
                  </w14:solidFill>
                </w14:textFill>
              </w:rPr>
              <w:t xml:space="preserve">  依托集中污水处理厂可行分析（pH无量纲）</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 w:type="dxa"/>
                <w:bottom w:w="0" w:type="dxa"/>
                <w:right w:w="10" w:type="dxa"/>
              </w:tblCellMar>
            </w:tblPr>
            <w:tblGrid>
              <w:gridCol w:w="604"/>
              <w:gridCol w:w="1236"/>
              <w:gridCol w:w="2093"/>
              <w:gridCol w:w="1979"/>
              <w:gridCol w:w="2052"/>
              <w:gridCol w:w="1541"/>
              <w:gridCol w:w="2128"/>
              <w:gridCol w:w="1976"/>
            </w:tblGrid>
            <w:tr w14:paraId="36953C8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222" w:type="pct"/>
                  <w:vMerge w:val="restart"/>
                  <w:tcBorders>
                    <w:top w:val="single" w:color="auto" w:sz="12" w:space="0"/>
                    <w:left w:val="single" w:color="auto" w:sz="12" w:space="0"/>
                    <w:bottom w:val="single" w:color="auto" w:sz="12" w:space="0"/>
                    <w:right w:val="single" w:color="auto" w:sz="12" w:space="0"/>
                  </w:tcBorders>
                  <w:shd w:val="clear" w:color="auto" w:fill="FFFFFF"/>
                  <w:vAlign w:val="center"/>
                </w:tcPr>
                <w:p w14:paraId="5C770887">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序</w:t>
                  </w:r>
                </w:p>
                <w:p w14:paraId="5D8F0D71">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号</w:t>
                  </w:r>
                </w:p>
              </w:tc>
              <w:tc>
                <w:tcPr>
                  <w:tcW w:w="454" w:type="pct"/>
                  <w:vMerge w:val="restart"/>
                  <w:tcBorders>
                    <w:top w:val="single" w:color="auto" w:sz="12" w:space="0"/>
                    <w:left w:val="single" w:color="auto" w:sz="12" w:space="0"/>
                    <w:bottom w:val="single" w:color="auto" w:sz="12" w:space="0"/>
                    <w:right w:val="single" w:color="auto" w:sz="12" w:space="0"/>
                  </w:tcBorders>
                  <w:shd w:val="clear" w:color="auto" w:fill="FFFFFF"/>
                  <w:vAlign w:val="center"/>
                </w:tcPr>
                <w:p w14:paraId="54037F31">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污染物</w:t>
                  </w:r>
                </w:p>
                <w:p w14:paraId="25335E28">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种类</w:t>
                  </w:r>
                </w:p>
              </w:tc>
              <w:tc>
                <w:tcPr>
                  <w:tcW w:w="1496" w:type="pct"/>
                  <w:gridSpan w:val="2"/>
                  <w:tcBorders>
                    <w:top w:val="single" w:color="auto" w:sz="12" w:space="0"/>
                    <w:left w:val="single" w:color="auto" w:sz="12" w:space="0"/>
                    <w:bottom w:val="single" w:color="auto" w:sz="12" w:space="0"/>
                    <w:right w:val="single" w:color="auto" w:sz="12" w:space="0"/>
                  </w:tcBorders>
                  <w:shd w:val="clear" w:color="auto" w:fill="FFFFFF"/>
                  <w:vAlign w:val="center"/>
                </w:tcPr>
                <w:p w14:paraId="3EAFF8D3">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处理能力</w:t>
                  </w:r>
                </w:p>
              </w:tc>
              <w:tc>
                <w:tcPr>
                  <w:tcW w:w="754" w:type="pct"/>
                  <w:tcBorders>
                    <w:top w:val="single" w:color="auto" w:sz="12" w:space="0"/>
                    <w:left w:val="single" w:color="auto" w:sz="12" w:space="0"/>
                    <w:bottom w:val="single" w:color="auto" w:sz="12" w:space="0"/>
                    <w:right w:val="single" w:color="auto" w:sz="4" w:space="0"/>
                  </w:tcBorders>
                  <w:shd w:val="clear" w:color="auto" w:fill="FFFFFF"/>
                  <w:vAlign w:val="center"/>
                </w:tcPr>
                <w:p w14:paraId="7FE99DC0">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受纳污水处理厂处理工艺</w:t>
                  </w:r>
                </w:p>
              </w:tc>
              <w:tc>
                <w:tcPr>
                  <w:tcW w:w="2074" w:type="pct"/>
                  <w:gridSpan w:val="3"/>
                  <w:tcBorders>
                    <w:top w:val="single" w:color="auto" w:sz="12" w:space="0"/>
                    <w:left w:val="single" w:color="auto" w:sz="4" w:space="0"/>
                    <w:bottom w:val="single" w:color="auto" w:sz="12" w:space="0"/>
                    <w:right w:val="single" w:color="auto" w:sz="12" w:space="0"/>
                  </w:tcBorders>
                  <w:shd w:val="clear" w:color="auto" w:fill="FFFFFF"/>
                  <w:vAlign w:val="center"/>
                </w:tcPr>
                <w:p w14:paraId="4055CC8E">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本项目、受纳污水处理厂进出水要求</w:t>
                  </w:r>
                </w:p>
              </w:tc>
            </w:tr>
            <w:tr w14:paraId="7677C77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222" w:type="pct"/>
                  <w:vMerge w:val="continue"/>
                  <w:tcBorders>
                    <w:top w:val="single" w:color="auto" w:sz="12" w:space="0"/>
                    <w:left w:val="single" w:color="auto" w:sz="12" w:space="0"/>
                    <w:bottom w:val="single" w:color="auto" w:sz="12" w:space="0"/>
                    <w:right w:val="single" w:color="auto" w:sz="12" w:space="0"/>
                  </w:tcBorders>
                  <w:vAlign w:val="center"/>
                </w:tcPr>
                <w:p w14:paraId="163FD1D3">
                  <w:pPr>
                    <w:widowControl/>
                    <w:jc w:val="center"/>
                    <w:rPr>
                      <w:color w:val="000000" w:themeColor="text1"/>
                      <w:sz w:val="18"/>
                      <w:szCs w:val="18"/>
                      <w14:textFill>
                        <w14:solidFill>
                          <w14:schemeClr w14:val="tx1"/>
                        </w14:solidFill>
                      </w14:textFill>
                    </w:rPr>
                  </w:pPr>
                </w:p>
              </w:tc>
              <w:tc>
                <w:tcPr>
                  <w:tcW w:w="454" w:type="pct"/>
                  <w:vMerge w:val="continue"/>
                  <w:tcBorders>
                    <w:top w:val="single" w:color="auto" w:sz="12" w:space="0"/>
                    <w:left w:val="single" w:color="auto" w:sz="12" w:space="0"/>
                    <w:bottom w:val="single" w:color="auto" w:sz="12" w:space="0"/>
                    <w:right w:val="single" w:color="auto" w:sz="12" w:space="0"/>
                  </w:tcBorders>
                  <w:vAlign w:val="center"/>
                </w:tcPr>
                <w:p w14:paraId="296149C5">
                  <w:pPr>
                    <w:widowControl/>
                    <w:jc w:val="center"/>
                    <w:rPr>
                      <w:color w:val="000000" w:themeColor="text1"/>
                      <w:sz w:val="18"/>
                      <w:szCs w:val="18"/>
                      <w14:textFill>
                        <w14:solidFill>
                          <w14:schemeClr w14:val="tx1"/>
                        </w14:solidFill>
                      </w14:textFill>
                    </w:rPr>
                  </w:pPr>
                </w:p>
              </w:tc>
              <w:tc>
                <w:tcPr>
                  <w:tcW w:w="769" w:type="pct"/>
                  <w:tcBorders>
                    <w:top w:val="single" w:color="auto" w:sz="12" w:space="0"/>
                    <w:left w:val="single" w:color="auto" w:sz="12" w:space="0"/>
                    <w:bottom w:val="single" w:color="auto" w:sz="12" w:space="0"/>
                    <w:right w:val="single" w:color="auto" w:sz="12" w:space="0"/>
                  </w:tcBorders>
                  <w:shd w:val="clear" w:color="auto" w:fill="FFFFFF"/>
                  <w:vAlign w:val="center"/>
                </w:tcPr>
                <w:p w14:paraId="1457D44D">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集中污水处理厂</w:t>
                  </w:r>
                </w:p>
                <w:p w14:paraId="08783743">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现有处理能力</w:t>
                  </w:r>
                </w:p>
              </w:tc>
              <w:tc>
                <w:tcPr>
                  <w:tcW w:w="727" w:type="pct"/>
                  <w:tcBorders>
                    <w:top w:val="single" w:color="auto" w:sz="4" w:space="0"/>
                    <w:left w:val="single" w:color="auto" w:sz="12" w:space="0"/>
                    <w:bottom w:val="single" w:color="auto" w:sz="12" w:space="0"/>
                    <w:right w:val="single" w:color="auto" w:sz="12" w:space="0"/>
                  </w:tcBorders>
                  <w:shd w:val="clear" w:color="auto" w:fill="FFFFFF"/>
                  <w:vAlign w:val="center"/>
                </w:tcPr>
                <w:p w14:paraId="06ECBC0B">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本项目排水量</w:t>
                  </w:r>
                </w:p>
              </w:tc>
              <w:tc>
                <w:tcPr>
                  <w:tcW w:w="754" w:type="pct"/>
                  <w:vMerge w:val="restart"/>
                  <w:tcBorders>
                    <w:top w:val="single" w:color="auto" w:sz="12" w:space="0"/>
                    <w:left w:val="single" w:color="auto" w:sz="12" w:space="0"/>
                    <w:right w:val="single" w:color="auto" w:sz="4" w:space="0"/>
                  </w:tcBorders>
                  <w:shd w:val="clear" w:color="auto" w:fill="FFFFFF"/>
                  <w:vAlign w:val="center"/>
                </w:tcPr>
                <w:p w14:paraId="42F69609">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处理工艺大体流程：调节池-厌氧池-缺氧池-好氧池-混凝反应池-斜管沉淀池-生物滤池-紫外消毒</w:t>
                  </w:r>
                </w:p>
              </w:tc>
              <w:tc>
                <w:tcPr>
                  <w:tcW w:w="566" w:type="pct"/>
                  <w:tcBorders>
                    <w:top w:val="single" w:color="auto" w:sz="12" w:space="0"/>
                    <w:left w:val="single" w:color="auto" w:sz="4" w:space="0"/>
                    <w:bottom w:val="single" w:color="auto" w:sz="12" w:space="0"/>
                    <w:right w:val="single" w:color="auto" w:sz="4" w:space="0"/>
                  </w:tcBorders>
                  <w:shd w:val="clear" w:color="auto" w:fill="FFFFFF"/>
                  <w:vAlign w:val="center"/>
                </w:tcPr>
                <w:p w14:paraId="08E6BF46">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本项目出水(mg/L)</w:t>
                  </w:r>
                </w:p>
              </w:tc>
              <w:tc>
                <w:tcPr>
                  <w:tcW w:w="782" w:type="pct"/>
                  <w:tcBorders>
                    <w:top w:val="single" w:color="auto" w:sz="12" w:space="0"/>
                    <w:left w:val="single" w:color="auto" w:sz="4" w:space="0"/>
                    <w:bottom w:val="single" w:color="auto" w:sz="12" w:space="0"/>
                    <w:right w:val="single" w:color="auto" w:sz="4" w:space="0"/>
                  </w:tcBorders>
                  <w:shd w:val="clear" w:color="auto" w:fill="FFFFFF"/>
                  <w:vAlign w:val="center"/>
                </w:tcPr>
                <w:p w14:paraId="17449867">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污水处理厂进水要求(mg/L)</w:t>
                  </w:r>
                </w:p>
              </w:tc>
              <w:tc>
                <w:tcPr>
                  <w:tcW w:w="726" w:type="pct"/>
                  <w:tcBorders>
                    <w:top w:val="single" w:color="auto" w:sz="12" w:space="0"/>
                    <w:left w:val="single" w:color="auto" w:sz="4" w:space="0"/>
                    <w:bottom w:val="single" w:color="auto" w:sz="12" w:space="0"/>
                    <w:right w:val="single" w:color="auto" w:sz="12" w:space="0"/>
                  </w:tcBorders>
                  <w:shd w:val="clear" w:color="auto" w:fill="FFFFFF"/>
                  <w:vAlign w:val="center"/>
                </w:tcPr>
                <w:p w14:paraId="3D977532">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污水处理厂出水要求(mg/L)</w:t>
                  </w:r>
                </w:p>
              </w:tc>
            </w:tr>
            <w:tr w14:paraId="78D8FDF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trHeight w:val="227" w:hRule="atLeast"/>
                <w:jc w:val="center"/>
              </w:trPr>
              <w:tc>
                <w:tcPr>
                  <w:tcW w:w="222" w:type="pct"/>
                  <w:vMerge w:val="restart"/>
                  <w:tcBorders>
                    <w:top w:val="single" w:color="auto" w:sz="12" w:space="0"/>
                    <w:left w:val="single" w:color="auto" w:sz="12" w:space="0"/>
                    <w:right w:val="single" w:color="auto" w:sz="12" w:space="0"/>
                  </w:tcBorders>
                  <w:shd w:val="clear" w:color="auto" w:fill="FFFFFF"/>
                  <w:vAlign w:val="center"/>
                </w:tcPr>
                <w:p w14:paraId="6C2C2B4C">
                  <w:pPr>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p>
              </w:tc>
              <w:tc>
                <w:tcPr>
                  <w:tcW w:w="454" w:type="pct"/>
                  <w:tcBorders>
                    <w:top w:val="single" w:color="auto" w:sz="12" w:space="0"/>
                    <w:left w:val="single" w:color="auto" w:sz="12" w:space="0"/>
                    <w:bottom w:val="single" w:color="auto" w:sz="12" w:space="0"/>
                    <w:right w:val="single" w:color="auto" w:sz="12" w:space="0"/>
                  </w:tcBorders>
                  <w:shd w:val="clear" w:color="auto" w:fill="FFFFFF"/>
                  <w:vAlign w:val="center"/>
                </w:tcPr>
                <w:p w14:paraId="7585E13E">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p</w:t>
                  </w:r>
                  <w:r>
                    <w:rPr>
                      <w:color w:val="000000" w:themeColor="text1"/>
                      <w:sz w:val="18"/>
                      <w:szCs w:val="18"/>
                      <w14:textFill>
                        <w14:solidFill>
                          <w14:schemeClr w14:val="tx1"/>
                        </w14:solidFill>
                      </w14:textFill>
                    </w:rPr>
                    <w:t>H</w:t>
                  </w:r>
                </w:p>
              </w:tc>
              <w:tc>
                <w:tcPr>
                  <w:tcW w:w="769" w:type="pct"/>
                  <w:vMerge w:val="restart"/>
                  <w:tcBorders>
                    <w:top w:val="single" w:color="auto" w:sz="12" w:space="0"/>
                    <w:left w:val="single" w:color="auto" w:sz="12" w:space="0"/>
                    <w:right w:val="single" w:color="auto" w:sz="12" w:space="0"/>
                  </w:tcBorders>
                  <w:shd w:val="clear" w:color="auto" w:fill="FFFFFF"/>
                  <w:vAlign w:val="center"/>
                </w:tcPr>
                <w:p w14:paraId="2C1EF140">
                  <w:pPr>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500</w:t>
                  </w:r>
                  <w:r>
                    <w:rPr>
                      <w:color w:val="000000" w:themeColor="text1"/>
                      <w:sz w:val="18"/>
                      <w:szCs w:val="18"/>
                      <w14:textFill>
                        <w14:solidFill>
                          <w14:schemeClr w14:val="tx1"/>
                        </w14:solidFill>
                      </w14:textFill>
                    </w:rPr>
                    <w:t>m</w:t>
                  </w:r>
                  <w:r>
                    <w:rPr>
                      <w:color w:val="000000" w:themeColor="text1"/>
                      <w:sz w:val="18"/>
                      <w:szCs w:val="18"/>
                      <w:vertAlign w:val="superscript"/>
                      <w14:textFill>
                        <w14:solidFill>
                          <w14:schemeClr w14:val="tx1"/>
                        </w14:solidFill>
                      </w14:textFill>
                    </w:rPr>
                    <w:t>3</w:t>
                  </w:r>
                  <w:r>
                    <w:rPr>
                      <w:color w:val="000000" w:themeColor="text1"/>
                      <w:sz w:val="18"/>
                      <w:szCs w:val="18"/>
                      <w14:textFill>
                        <w14:solidFill>
                          <w14:schemeClr w14:val="tx1"/>
                        </w14:solidFill>
                      </w14:textFill>
                    </w:rPr>
                    <w:t>/d</w:t>
                  </w:r>
                </w:p>
              </w:tc>
              <w:tc>
                <w:tcPr>
                  <w:tcW w:w="727" w:type="pct"/>
                  <w:vMerge w:val="restart"/>
                  <w:tcBorders>
                    <w:top w:val="single" w:color="auto" w:sz="12" w:space="0"/>
                    <w:left w:val="single" w:color="auto" w:sz="12" w:space="0"/>
                    <w:right w:val="single" w:color="auto" w:sz="12" w:space="0"/>
                  </w:tcBorders>
                  <w:shd w:val="clear" w:color="auto" w:fill="FFFFFF"/>
                  <w:vAlign w:val="center"/>
                </w:tcPr>
                <w:p w14:paraId="3A19E31E">
                  <w:pPr>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576m</w:t>
                  </w:r>
                  <w:r>
                    <w:rPr>
                      <w:color w:val="000000" w:themeColor="text1"/>
                      <w:sz w:val="18"/>
                      <w:szCs w:val="18"/>
                      <w:vertAlign w:val="superscript"/>
                      <w14:textFill>
                        <w14:solidFill>
                          <w14:schemeClr w14:val="tx1"/>
                        </w14:solidFill>
                      </w14:textFill>
                    </w:rPr>
                    <w:t>3</w:t>
                  </w:r>
                  <w:r>
                    <w:rPr>
                      <w:color w:val="000000" w:themeColor="text1"/>
                      <w:sz w:val="18"/>
                      <w:szCs w:val="18"/>
                      <w14:textFill>
                        <w14:solidFill>
                          <w14:schemeClr w14:val="tx1"/>
                        </w14:solidFill>
                      </w14:textFill>
                    </w:rPr>
                    <w:t>/a（</w:t>
                  </w:r>
                  <w:r>
                    <w:rPr>
                      <w:rFonts w:hint="eastAsia"/>
                      <w:color w:val="000000" w:themeColor="text1"/>
                      <w:sz w:val="18"/>
                      <w:szCs w:val="18"/>
                      <w14:textFill>
                        <w14:solidFill>
                          <w14:schemeClr w14:val="tx1"/>
                        </w14:solidFill>
                      </w14:textFill>
                    </w:rPr>
                    <w:t>1.9</w:t>
                  </w:r>
                  <w:r>
                    <w:rPr>
                      <w:rFonts w:hint="eastAsia"/>
                      <w:color w:val="000000" w:themeColor="text1"/>
                      <w:sz w:val="18"/>
                      <w:szCs w:val="18"/>
                      <w:lang w:val="en-US" w:eastAsia="zh-CN"/>
                      <w14:textFill>
                        <w14:solidFill>
                          <w14:schemeClr w14:val="tx1"/>
                        </w14:solidFill>
                      </w14:textFill>
                    </w:rPr>
                    <w:t>2</w:t>
                  </w:r>
                  <w:r>
                    <w:rPr>
                      <w:color w:val="000000" w:themeColor="text1"/>
                      <w:sz w:val="18"/>
                      <w:szCs w:val="18"/>
                      <w14:textFill>
                        <w14:solidFill>
                          <w14:schemeClr w14:val="tx1"/>
                        </w14:solidFill>
                      </w14:textFill>
                    </w:rPr>
                    <w:t>m</w:t>
                  </w:r>
                  <w:r>
                    <w:rPr>
                      <w:color w:val="000000" w:themeColor="text1"/>
                      <w:sz w:val="18"/>
                      <w:szCs w:val="18"/>
                      <w:vertAlign w:val="superscript"/>
                      <w14:textFill>
                        <w14:solidFill>
                          <w14:schemeClr w14:val="tx1"/>
                        </w14:solidFill>
                      </w14:textFill>
                    </w:rPr>
                    <w:t>3</w:t>
                  </w:r>
                  <w:r>
                    <w:rPr>
                      <w:color w:val="000000" w:themeColor="text1"/>
                      <w:sz w:val="18"/>
                      <w:szCs w:val="18"/>
                      <w14:textFill>
                        <w14:solidFill>
                          <w14:schemeClr w14:val="tx1"/>
                        </w14:solidFill>
                      </w14:textFill>
                    </w:rPr>
                    <w:t>/d）</w:t>
                  </w:r>
                </w:p>
              </w:tc>
              <w:tc>
                <w:tcPr>
                  <w:tcW w:w="754" w:type="pct"/>
                  <w:vMerge w:val="continue"/>
                  <w:tcBorders>
                    <w:left w:val="single" w:color="auto" w:sz="12" w:space="0"/>
                    <w:right w:val="single" w:color="auto" w:sz="4" w:space="0"/>
                  </w:tcBorders>
                  <w:vAlign w:val="center"/>
                </w:tcPr>
                <w:p w14:paraId="0E2AB897">
                  <w:pPr>
                    <w:widowControl/>
                    <w:jc w:val="center"/>
                    <w:rPr>
                      <w:color w:val="000000" w:themeColor="text1"/>
                      <w:sz w:val="18"/>
                      <w:szCs w:val="18"/>
                      <w14:textFill>
                        <w14:solidFill>
                          <w14:schemeClr w14:val="tx1"/>
                        </w14:solidFill>
                      </w14:textFill>
                    </w:rPr>
                  </w:pPr>
                </w:p>
              </w:tc>
              <w:tc>
                <w:tcPr>
                  <w:tcW w:w="566" w:type="pct"/>
                  <w:tcBorders>
                    <w:top w:val="single" w:color="auto" w:sz="12" w:space="0"/>
                    <w:left w:val="single" w:color="auto" w:sz="4" w:space="0"/>
                    <w:bottom w:val="single" w:color="auto" w:sz="12" w:space="0"/>
                    <w:right w:val="single" w:color="auto" w:sz="4" w:space="0"/>
                  </w:tcBorders>
                  <w:shd w:val="clear" w:color="auto" w:fill="FFFFFF"/>
                  <w:vAlign w:val="center"/>
                </w:tcPr>
                <w:p w14:paraId="17F81F4C">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6-9</w:t>
                  </w:r>
                </w:p>
              </w:tc>
              <w:tc>
                <w:tcPr>
                  <w:tcW w:w="782" w:type="pct"/>
                  <w:tcBorders>
                    <w:top w:val="single" w:color="auto" w:sz="12" w:space="0"/>
                    <w:left w:val="single" w:color="auto" w:sz="4" w:space="0"/>
                    <w:bottom w:val="single" w:color="auto" w:sz="12" w:space="0"/>
                    <w:right w:val="single" w:color="auto" w:sz="4" w:space="0"/>
                  </w:tcBorders>
                  <w:shd w:val="clear" w:color="auto" w:fill="FFFFFF"/>
                  <w:vAlign w:val="center"/>
                </w:tcPr>
                <w:p w14:paraId="24D5610E">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6-9</w:t>
                  </w:r>
                </w:p>
              </w:tc>
              <w:tc>
                <w:tcPr>
                  <w:tcW w:w="726" w:type="pct"/>
                  <w:tcBorders>
                    <w:top w:val="single" w:color="auto" w:sz="12" w:space="0"/>
                    <w:left w:val="single" w:color="auto" w:sz="4" w:space="0"/>
                    <w:bottom w:val="single" w:color="auto" w:sz="12" w:space="0"/>
                    <w:right w:val="single" w:color="auto" w:sz="12" w:space="0"/>
                  </w:tcBorders>
                  <w:shd w:val="clear" w:color="auto" w:fill="FFFFFF"/>
                  <w:vAlign w:val="center"/>
                </w:tcPr>
                <w:p w14:paraId="28F923A3">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6</w:t>
                  </w:r>
                  <w:r>
                    <w:rPr>
                      <w:color w:val="000000" w:themeColor="text1"/>
                      <w:sz w:val="18"/>
                      <w:szCs w:val="18"/>
                      <w14:textFill>
                        <w14:solidFill>
                          <w14:schemeClr w14:val="tx1"/>
                        </w14:solidFill>
                      </w14:textFill>
                    </w:rPr>
                    <w:t>~9</w:t>
                  </w:r>
                </w:p>
              </w:tc>
            </w:tr>
            <w:tr w14:paraId="4138920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trHeight w:val="227" w:hRule="atLeast"/>
                <w:jc w:val="center"/>
              </w:trPr>
              <w:tc>
                <w:tcPr>
                  <w:tcW w:w="222" w:type="pct"/>
                  <w:vMerge w:val="continue"/>
                  <w:tcBorders>
                    <w:left w:val="single" w:color="auto" w:sz="12" w:space="0"/>
                    <w:right w:val="single" w:color="auto" w:sz="12" w:space="0"/>
                  </w:tcBorders>
                  <w:shd w:val="clear" w:color="auto" w:fill="FFFFFF"/>
                  <w:vAlign w:val="center"/>
                </w:tcPr>
                <w:p w14:paraId="379450E3">
                  <w:pPr>
                    <w:widowControl/>
                    <w:spacing w:line="240" w:lineRule="atLeast"/>
                    <w:jc w:val="center"/>
                    <w:textAlignment w:val="center"/>
                    <w:rPr>
                      <w:color w:val="000000" w:themeColor="text1"/>
                      <w:sz w:val="18"/>
                      <w:szCs w:val="18"/>
                      <w14:textFill>
                        <w14:solidFill>
                          <w14:schemeClr w14:val="tx1"/>
                        </w14:solidFill>
                      </w14:textFill>
                    </w:rPr>
                  </w:pPr>
                </w:p>
              </w:tc>
              <w:tc>
                <w:tcPr>
                  <w:tcW w:w="454" w:type="pct"/>
                  <w:tcBorders>
                    <w:top w:val="single" w:color="auto" w:sz="12" w:space="0"/>
                    <w:left w:val="single" w:color="auto" w:sz="12" w:space="0"/>
                    <w:bottom w:val="single" w:color="auto" w:sz="12" w:space="0"/>
                    <w:right w:val="single" w:color="auto" w:sz="12" w:space="0"/>
                  </w:tcBorders>
                  <w:shd w:val="clear" w:color="auto" w:fill="FFFFFF"/>
                  <w:vAlign w:val="center"/>
                </w:tcPr>
                <w:p w14:paraId="4FEFF20D">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COD</w:t>
                  </w:r>
                  <w:r>
                    <w:rPr>
                      <w:rFonts w:hint="eastAsia"/>
                      <w:color w:val="000000" w:themeColor="text1"/>
                      <w:sz w:val="18"/>
                      <w:szCs w:val="18"/>
                      <w14:textFill>
                        <w14:solidFill>
                          <w14:schemeClr w14:val="tx1"/>
                        </w14:solidFill>
                      </w14:textFill>
                    </w:rPr>
                    <w:t>cr</w:t>
                  </w:r>
                </w:p>
              </w:tc>
              <w:tc>
                <w:tcPr>
                  <w:tcW w:w="769" w:type="pct"/>
                  <w:vMerge w:val="continue"/>
                  <w:tcBorders>
                    <w:left w:val="single" w:color="auto" w:sz="12" w:space="0"/>
                    <w:right w:val="single" w:color="auto" w:sz="12" w:space="0"/>
                  </w:tcBorders>
                  <w:shd w:val="clear" w:color="auto" w:fill="FFFFFF"/>
                  <w:vAlign w:val="center"/>
                </w:tcPr>
                <w:p w14:paraId="4325B18B">
                  <w:pPr>
                    <w:widowControl/>
                    <w:spacing w:line="240" w:lineRule="atLeast"/>
                    <w:jc w:val="center"/>
                    <w:textAlignment w:val="center"/>
                    <w:rPr>
                      <w:color w:val="000000" w:themeColor="text1"/>
                      <w:sz w:val="18"/>
                      <w:szCs w:val="18"/>
                      <w14:textFill>
                        <w14:solidFill>
                          <w14:schemeClr w14:val="tx1"/>
                        </w14:solidFill>
                      </w14:textFill>
                    </w:rPr>
                  </w:pPr>
                </w:p>
              </w:tc>
              <w:tc>
                <w:tcPr>
                  <w:tcW w:w="727" w:type="pct"/>
                  <w:vMerge w:val="continue"/>
                  <w:tcBorders>
                    <w:left w:val="single" w:color="auto" w:sz="12" w:space="0"/>
                    <w:right w:val="single" w:color="auto" w:sz="12" w:space="0"/>
                  </w:tcBorders>
                  <w:shd w:val="clear" w:color="auto" w:fill="FFFFFF"/>
                  <w:vAlign w:val="center"/>
                </w:tcPr>
                <w:p w14:paraId="1818ECA7">
                  <w:pPr>
                    <w:widowControl/>
                    <w:spacing w:line="240" w:lineRule="atLeast"/>
                    <w:jc w:val="center"/>
                    <w:textAlignment w:val="center"/>
                    <w:rPr>
                      <w:color w:val="000000" w:themeColor="text1"/>
                      <w:sz w:val="18"/>
                      <w:szCs w:val="18"/>
                      <w14:textFill>
                        <w14:solidFill>
                          <w14:schemeClr w14:val="tx1"/>
                        </w14:solidFill>
                      </w14:textFill>
                    </w:rPr>
                  </w:pPr>
                </w:p>
              </w:tc>
              <w:tc>
                <w:tcPr>
                  <w:tcW w:w="754" w:type="pct"/>
                  <w:vMerge w:val="continue"/>
                  <w:tcBorders>
                    <w:left w:val="single" w:color="auto" w:sz="12" w:space="0"/>
                    <w:right w:val="single" w:color="auto" w:sz="4" w:space="0"/>
                  </w:tcBorders>
                  <w:vAlign w:val="center"/>
                </w:tcPr>
                <w:p w14:paraId="0F3B7D44">
                  <w:pPr>
                    <w:widowControl/>
                    <w:jc w:val="center"/>
                    <w:rPr>
                      <w:color w:val="000000" w:themeColor="text1"/>
                      <w:sz w:val="18"/>
                      <w:szCs w:val="18"/>
                      <w14:textFill>
                        <w14:solidFill>
                          <w14:schemeClr w14:val="tx1"/>
                        </w14:solidFill>
                      </w14:textFill>
                    </w:rPr>
                  </w:pPr>
                </w:p>
              </w:tc>
              <w:tc>
                <w:tcPr>
                  <w:tcW w:w="566" w:type="pct"/>
                  <w:tcBorders>
                    <w:top w:val="nil"/>
                    <w:left w:val="nil"/>
                    <w:bottom w:val="single" w:color="auto" w:sz="12" w:space="0"/>
                    <w:right w:val="single" w:color="auto" w:sz="12" w:space="0"/>
                  </w:tcBorders>
                  <w:vAlign w:val="center"/>
                </w:tcPr>
                <w:p w14:paraId="78414ED3">
                  <w:pPr>
                    <w:widowControl/>
                    <w:jc w:val="center"/>
                    <w:rPr>
                      <w:color w:val="000000" w:themeColor="text1"/>
                      <w:sz w:val="18"/>
                      <w:szCs w:val="18"/>
                      <w14:textFill>
                        <w14:solidFill>
                          <w14:schemeClr w14:val="tx1"/>
                        </w14:solidFill>
                      </w14:textFill>
                    </w:rPr>
                  </w:pPr>
                  <w:r>
                    <w:rPr>
                      <w:rFonts w:eastAsia="等线"/>
                      <w:color w:val="000000" w:themeColor="text1"/>
                      <w:sz w:val="18"/>
                      <w:szCs w:val="18"/>
                      <w14:textFill>
                        <w14:solidFill>
                          <w14:schemeClr w14:val="tx1"/>
                        </w14:solidFill>
                      </w14:textFill>
                    </w:rPr>
                    <w:t>200</w:t>
                  </w:r>
                </w:p>
              </w:tc>
              <w:tc>
                <w:tcPr>
                  <w:tcW w:w="782" w:type="pct"/>
                  <w:tcBorders>
                    <w:top w:val="single" w:color="auto" w:sz="12" w:space="0"/>
                    <w:left w:val="single" w:color="auto" w:sz="4" w:space="0"/>
                    <w:bottom w:val="single" w:color="auto" w:sz="12" w:space="0"/>
                    <w:right w:val="single" w:color="auto" w:sz="4" w:space="0"/>
                  </w:tcBorders>
                  <w:shd w:val="clear" w:color="auto" w:fill="FFFFFF"/>
                  <w:vAlign w:val="center"/>
                </w:tcPr>
                <w:p w14:paraId="7C79EC89">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500</w:t>
                  </w:r>
                </w:p>
              </w:tc>
              <w:tc>
                <w:tcPr>
                  <w:tcW w:w="726" w:type="pct"/>
                  <w:tcBorders>
                    <w:top w:val="single" w:color="auto" w:sz="12" w:space="0"/>
                    <w:left w:val="single" w:color="auto" w:sz="4" w:space="0"/>
                    <w:bottom w:val="single" w:color="auto" w:sz="12" w:space="0"/>
                    <w:right w:val="single" w:color="auto" w:sz="12" w:space="0"/>
                  </w:tcBorders>
                  <w:shd w:val="clear" w:color="auto" w:fill="FFFFFF"/>
                  <w:vAlign w:val="center"/>
                </w:tcPr>
                <w:p w14:paraId="6C743595">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50</w:t>
                  </w:r>
                </w:p>
              </w:tc>
            </w:tr>
            <w:tr w14:paraId="1C1324D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222" w:type="pct"/>
                  <w:vMerge w:val="continue"/>
                  <w:tcBorders>
                    <w:left w:val="single" w:color="auto" w:sz="12" w:space="0"/>
                    <w:right w:val="single" w:color="auto" w:sz="12" w:space="0"/>
                  </w:tcBorders>
                  <w:vAlign w:val="center"/>
                </w:tcPr>
                <w:p w14:paraId="32473551">
                  <w:pPr>
                    <w:widowControl/>
                    <w:jc w:val="center"/>
                    <w:rPr>
                      <w:color w:val="000000" w:themeColor="text1"/>
                      <w:sz w:val="18"/>
                      <w:szCs w:val="18"/>
                      <w14:textFill>
                        <w14:solidFill>
                          <w14:schemeClr w14:val="tx1"/>
                        </w14:solidFill>
                      </w14:textFill>
                    </w:rPr>
                  </w:pPr>
                </w:p>
              </w:tc>
              <w:tc>
                <w:tcPr>
                  <w:tcW w:w="454" w:type="pct"/>
                  <w:tcBorders>
                    <w:top w:val="single" w:color="auto" w:sz="12" w:space="0"/>
                    <w:left w:val="single" w:color="auto" w:sz="12" w:space="0"/>
                    <w:bottom w:val="single" w:color="auto" w:sz="12" w:space="0"/>
                    <w:right w:val="single" w:color="auto" w:sz="12" w:space="0"/>
                  </w:tcBorders>
                  <w:shd w:val="clear" w:color="auto" w:fill="FFFFFF"/>
                  <w:vAlign w:val="center"/>
                </w:tcPr>
                <w:p w14:paraId="70D53A4A">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BOD</w:t>
                  </w:r>
                  <w:r>
                    <w:rPr>
                      <w:color w:val="000000" w:themeColor="text1"/>
                      <w:sz w:val="18"/>
                      <w:szCs w:val="18"/>
                      <w:vertAlign w:val="subscript"/>
                      <w14:textFill>
                        <w14:solidFill>
                          <w14:schemeClr w14:val="tx1"/>
                        </w14:solidFill>
                      </w14:textFill>
                    </w:rPr>
                    <w:t>5</w:t>
                  </w:r>
                </w:p>
              </w:tc>
              <w:tc>
                <w:tcPr>
                  <w:tcW w:w="769" w:type="pct"/>
                  <w:vMerge w:val="continue"/>
                  <w:tcBorders>
                    <w:left w:val="single" w:color="auto" w:sz="12" w:space="0"/>
                    <w:right w:val="single" w:color="auto" w:sz="12" w:space="0"/>
                  </w:tcBorders>
                  <w:vAlign w:val="center"/>
                </w:tcPr>
                <w:p w14:paraId="3F2A2F3B">
                  <w:pPr>
                    <w:widowControl/>
                    <w:jc w:val="center"/>
                    <w:rPr>
                      <w:color w:val="000000" w:themeColor="text1"/>
                      <w:sz w:val="18"/>
                      <w:szCs w:val="18"/>
                      <w14:textFill>
                        <w14:solidFill>
                          <w14:schemeClr w14:val="tx1"/>
                        </w14:solidFill>
                      </w14:textFill>
                    </w:rPr>
                  </w:pPr>
                </w:p>
              </w:tc>
              <w:tc>
                <w:tcPr>
                  <w:tcW w:w="727" w:type="pct"/>
                  <w:vMerge w:val="continue"/>
                  <w:tcBorders>
                    <w:left w:val="single" w:color="auto" w:sz="12" w:space="0"/>
                    <w:right w:val="single" w:color="auto" w:sz="12" w:space="0"/>
                  </w:tcBorders>
                  <w:vAlign w:val="center"/>
                </w:tcPr>
                <w:p w14:paraId="5062B822">
                  <w:pPr>
                    <w:widowControl/>
                    <w:jc w:val="center"/>
                    <w:rPr>
                      <w:color w:val="000000" w:themeColor="text1"/>
                      <w:sz w:val="18"/>
                      <w:szCs w:val="18"/>
                      <w14:textFill>
                        <w14:solidFill>
                          <w14:schemeClr w14:val="tx1"/>
                        </w14:solidFill>
                      </w14:textFill>
                    </w:rPr>
                  </w:pPr>
                </w:p>
              </w:tc>
              <w:tc>
                <w:tcPr>
                  <w:tcW w:w="754" w:type="pct"/>
                  <w:vMerge w:val="continue"/>
                  <w:tcBorders>
                    <w:left w:val="single" w:color="auto" w:sz="12" w:space="0"/>
                    <w:right w:val="single" w:color="auto" w:sz="4" w:space="0"/>
                  </w:tcBorders>
                  <w:vAlign w:val="center"/>
                </w:tcPr>
                <w:p w14:paraId="763ED80D">
                  <w:pPr>
                    <w:widowControl/>
                    <w:jc w:val="center"/>
                    <w:rPr>
                      <w:color w:val="000000" w:themeColor="text1"/>
                      <w:sz w:val="18"/>
                      <w:szCs w:val="18"/>
                      <w14:textFill>
                        <w14:solidFill>
                          <w14:schemeClr w14:val="tx1"/>
                        </w14:solidFill>
                      </w14:textFill>
                    </w:rPr>
                  </w:pPr>
                </w:p>
              </w:tc>
              <w:tc>
                <w:tcPr>
                  <w:tcW w:w="566" w:type="pct"/>
                  <w:tcBorders>
                    <w:top w:val="nil"/>
                    <w:left w:val="nil"/>
                    <w:bottom w:val="single" w:color="auto" w:sz="12" w:space="0"/>
                    <w:right w:val="single" w:color="auto" w:sz="12" w:space="0"/>
                  </w:tcBorders>
                  <w:vAlign w:val="center"/>
                </w:tcPr>
                <w:p w14:paraId="63F3538C">
                  <w:pPr>
                    <w:widowControl/>
                    <w:jc w:val="center"/>
                    <w:rPr>
                      <w:color w:val="000000" w:themeColor="text1"/>
                      <w:sz w:val="18"/>
                      <w:szCs w:val="18"/>
                      <w14:textFill>
                        <w14:solidFill>
                          <w14:schemeClr w14:val="tx1"/>
                        </w14:solidFill>
                      </w14:textFill>
                    </w:rPr>
                  </w:pPr>
                  <w:r>
                    <w:rPr>
                      <w:rFonts w:eastAsia="等线"/>
                      <w:color w:val="000000" w:themeColor="text1"/>
                      <w:sz w:val="18"/>
                      <w:szCs w:val="18"/>
                      <w14:textFill>
                        <w14:solidFill>
                          <w14:schemeClr w14:val="tx1"/>
                        </w14:solidFill>
                      </w14:textFill>
                    </w:rPr>
                    <w:t>80</w:t>
                  </w:r>
                </w:p>
              </w:tc>
              <w:tc>
                <w:tcPr>
                  <w:tcW w:w="782" w:type="pct"/>
                  <w:tcBorders>
                    <w:top w:val="single" w:color="auto" w:sz="12" w:space="0"/>
                    <w:left w:val="single" w:color="auto" w:sz="4" w:space="0"/>
                    <w:bottom w:val="single" w:color="auto" w:sz="12" w:space="0"/>
                    <w:right w:val="single" w:color="auto" w:sz="4" w:space="0"/>
                  </w:tcBorders>
                  <w:shd w:val="clear" w:color="auto" w:fill="FFFFFF"/>
                  <w:vAlign w:val="center"/>
                </w:tcPr>
                <w:p w14:paraId="08D90033">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300</w:t>
                  </w:r>
                </w:p>
              </w:tc>
              <w:tc>
                <w:tcPr>
                  <w:tcW w:w="726" w:type="pct"/>
                  <w:tcBorders>
                    <w:top w:val="single" w:color="auto" w:sz="12" w:space="0"/>
                    <w:left w:val="single" w:color="auto" w:sz="4" w:space="0"/>
                    <w:bottom w:val="single" w:color="auto" w:sz="12" w:space="0"/>
                    <w:right w:val="single" w:color="auto" w:sz="12" w:space="0"/>
                  </w:tcBorders>
                  <w:shd w:val="clear" w:color="auto" w:fill="FFFFFF"/>
                  <w:vAlign w:val="center"/>
                </w:tcPr>
                <w:p w14:paraId="07E94BF2">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10</w:t>
                  </w:r>
                </w:p>
              </w:tc>
            </w:tr>
            <w:tr w14:paraId="6A341BF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trHeight w:val="193" w:hRule="atLeast"/>
                <w:jc w:val="center"/>
              </w:trPr>
              <w:tc>
                <w:tcPr>
                  <w:tcW w:w="222" w:type="pct"/>
                  <w:vMerge w:val="continue"/>
                  <w:tcBorders>
                    <w:left w:val="single" w:color="auto" w:sz="12" w:space="0"/>
                    <w:right w:val="single" w:color="auto" w:sz="12" w:space="0"/>
                  </w:tcBorders>
                  <w:vAlign w:val="center"/>
                </w:tcPr>
                <w:p w14:paraId="2579CA44">
                  <w:pPr>
                    <w:widowControl/>
                    <w:jc w:val="center"/>
                    <w:rPr>
                      <w:color w:val="000000" w:themeColor="text1"/>
                      <w:sz w:val="18"/>
                      <w:szCs w:val="18"/>
                      <w14:textFill>
                        <w14:solidFill>
                          <w14:schemeClr w14:val="tx1"/>
                        </w14:solidFill>
                      </w14:textFill>
                    </w:rPr>
                  </w:pPr>
                </w:p>
              </w:tc>
              <w:tc>
                <w:tcPr>
                  <w:tcW w:w="454" w:type="pct"/>
                  <w:tcBorders>
                    <w:top w:val="single" w:color="auto" w:sz="12" w:space="0"/>
                    <w:left w:val="single" w:color="auto" w:sz="12" w:space="0"/>
                    <w:bottom w:val="single" w:color="auto" w:sz="12" w:space="0"/>
                    <w:right w:val="single" w:color="auto" w:sz="12" w:space="0"/>
                  </w:tcBorders>
                  <w:shd w:val="clear" w:color="auto" w:fill="FFFFFF"/>
                  <w:vAlign w:val="center"/>
                </w:tcPr>
                <w:p w14:paraId="4C514AF9">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SS</w:t>
                  </w:r>
                </w:p>
              </w:tc>
              <w:tc>
                <w:tcPr>
                  <w:tcW w:w="769" w:type="pct"/>
                  <w:vMerge w:val="continue"/>
                  <w:tcBorders>
                    <w:left w:val="single" w:color="auto" w:sz="12" w:space="0"/>
                    <w:right w:val="single" w:color="auto" w:sz="12" w:space="0"/>
                  </w:tcBorders>
                  <w:vAlign w:val="center"/>
                </w:tcPr>
                <w:p w14:paraId="65B61C1B">
                  <w:pPr>
                    <w:widowControl/>
                    <w:jc w:val="center"/>
                    <w:rPr>
                      <w:color w:val="000000" w:themeColor="text1"/>
                      <w:sz w:val="18"/>
                      <w:szCs w:val="18"/>
                      <w14:textFill>
                        <w14:solidFill>
                          <w14:schemeClr w14:val="tx1"/>
                        </w14:solidFill>
                      </w14:textFill>
                    </w:rPr>
                  </w:pPr>
                </w:p>
              </w:tc>
              <w:tc>
                <w:tcPr>
                  <w:tcW w:w="727" w:type="pct"/>
                  <w:vMerge w:val="continue"/>
                  <w:tcBorders>
                    <w:left w:val="single" w:color="auto" w:sz="12" w:space="0"/>
                    <w:right w:val="single" w:color="auto" w:sz="12" w:space="0"/>
                  </w:tcBorders>
                  <w:vAlign w:val="center"/>
                </w:tcPr>
                <w:p w14:paraId="166115FF">
                  <w:pPr>
                    <w:widowControl/>
                    <w:jc w:val="center"/>
                    <w:rPr>
                      <w:color w:val="000000" w:themeColor="text1"/>
                      <w:sz w:val="18"/>
                      <w:szCs w:val="18"/>
                      <w14:textFill>
                        <w14:solidFill>
                          <w14:schemeClr w14:val="tx1"/>
                        </w14:solidFill>
                      </w14:textFill>
                    </w:rPr>
                  </w:pPr>
                </w:p>
              </w:tc>
              <w:tc>
                <w:tcPr>
                  <w:tcW w:w="754" w:type="pct"/>
                  <w:vMerge w:val="continue"/>
                  <w:tcBorders>
                    <w:left w:val="single" w:color="auto" w:sz="12" w:space="0"/>
                    <w:right w:val="single" w:color="auto" w:sz="4" w:space="0"/>
                  </w:tcBorders>
                  <w:vAlign w:val="center"/>
                </w:tcPr>
                <w:p w14:paraId="2595977A">
                  <w:pPr>
                    <w:widowControl/>
                    <w:jc w:val="center"/>
                    <w:rPr>
                      <w:color w:val="000000" w:themeColor="text1"/>
                      <w:sz w:val="18"/>
                      <w:szCs w:val="18"/>
                      <w14:textFill>
                        <w14:solidFill>
                          <w14:schemeClr w14:val="tx1"/>
                        </w14:solidFill>
                      </w14:textFill>
                    </w:rPr>
                  </w:pPr>
                </w:p>
              </w:tc>
              <w:tc>
                <w:tcPr>
                  <w:tcW w:w="566" w:type="pct"/>
                  <w:tcBorders>
                    <w:top w:val="nil"/>
                    <w:left w:val="nil"/>
                    <w:bottom w:val="single" w:color="auto" w:sz="12" w:space="0"/>
                    <w:right w:val="single" w:color="auto" w:sz="12" w:space="0"/>
                  </w:tcBorders>
                  <w:vAlign w:val="center"/>
                </w:tcPr>
                <w:p w14:paraId="76E0F3DD">
                  <w:pPr>
                    <w:widowControl/>
                    <w:jc w:val="center"/>
                    <w:rPr>
                      <w:color w:val="000000" w:themeColor="text1"/>
                      <w:sz w:val="18"/>
                      <w:szCs w:val="18"/>
                      <w14:textFill>
                        <w14:solidFill>
                          <w14:schemeClr w14:val="tx1"/>
                        </w14:solidFill>
                      </w14:textFill>
                    </w:rPr>
                  </w:pPr>
                  <w:r>
                    <w:rPr>
                      <w:rFonts w:eastAsia="等线"/>
                      <w:color w:val="000000" w:themeColor="text1"/>
                      <w:sz w:val="18"/>
                      <w:szCs w:val="18"/>
                      <w14:textFill>
                        <w14:solidFill>
                          <w14:schemeClr w14:val="tx1"/>
                        </w14:solidFill>
                      </w14:textFill>
                    </w:rPr>
                    <w:t>105</w:t>
                  </w:r>
                </w:p>
              </w:tc>
              <w:tc>
                <w:tcPr>
                  <w:tcW w:w="782" w:type="pct"/>
                  <w:tcBorders>
                    <w:top w:val="single" w:color="auto" w:sz="12" w:space="0"/>
                    <w:left w:val="single" w:color="auto" w:sz="4" w:space="0"/>
                    <w:bottom w:val="single" w:color="auto" w:sz="12" w:space="0"/>
                    <w:right w:val="single" w:color="auto" w:sz="4" w:space="0"/>
                  </w:tcBorders>
                  <w:shd w:val="clear" w:color="auto" w:fill="FFFFFF"/>
                  <w:vAlign w:val="center"/>
                </w:tcPr>
                <w:p w14:paraId="2EF86F9B">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726" w:type="pct"/>
                  <w:tcBorders>
                    <w:top w:val="single" w:color="auto" w:sz="12" w:space="0"/>
                    <w:left w:val="single" w:color="auto" w:sz="4" w:space="0"/>
                    <w:bottom w:val="single" w:color="auto" w:sz="12" w:space="0"/>
                    <w:right w:val="single" w:color="auto" w:sz="12" w:space="0"/>
                  </w:tcBorders>
                  <w:shd w:val="clear" w:color="auto" w:fill="FFFFFF"/>
                  <w:vAlign w:val="center"/>
                </w:tcPr>
                <w:p w14:paraId="0BDE4CC7">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w:t>
                  </w:r>
                </w:p>
              </w:tc>
            </w:tr>
            <w:tr w14:paraId="58BA494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222" w:type="pct"/>
                  <w:vMerge w:val="continue"/>
                  <w:tcBorders>
                    <w:left w:val="single" w:color="auto" w:sz="12" w:space="0"/>
                    <w:right w:val="single" w:color="auto" w:sz="12" w:space="0"/>
                  </w:tcBorders>
                  <w:vAlign w:val="center"/>
                </w:tcPr>
                <w:p w14:paraId="6C22FE32">
                  <w:pPr>
                    <w:widowControl/>
                    <w:jc w:val="center"/>
                    <w:rPr>
                      <w:color w:val="000000" w:themeColor="text1"/>
                      <w:sz w:val="18"/>
                      <w:szCs w:val="18"/>
                      <w14:textFill>
                        <w14:solidFill>
                          <w14:schemeClr w14:val="tx1"/>
                        </w14:solidFill>
                      </w14:textFill>
                    </w:rPr>
                  </w:pPr>
                </w:p>
              </w:tc>
              <w:tc>
                <w:tcPr>
                  <w:tcW w:w="454" w:type="pct"/>
                  <w:tcBorders>
                    <w:top w:val="single" w:color="auto" w:sz="12" w:space="0"/>
                    <w:left w:val="single" w:color="auto" w:sz="12" w:space="0"/>
                    <w:bottom w:val="single" w:color="auto" w:sz="12" w:space="0"/>
                    <w:right w:val="single" w:color="auto" w:sz="12" w:space="0"/>
                  </w:tcBorders>
                  <w:shd w:val="clear" w:color="auto" w:fill="FFFFFF"/>
                  <w:vAlign w:val="center"/>
                </w:tcPr>
                <w:p w14:paraId="157EA7F9">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氨氮</w:t>
                  </w:r>
                </w:p>
              </w:tc>
              <w:tc>
                <w:tcPr>
                  <w:tcW w:w="769" w:type="pct"/>
                  <w:vMerge w:val="continue"/>
                  <w:tcBorders>
                    <w:left w:val="single" w:color="auto" w:sz="12" w:space="0"/>
                    <w:right w:val="single" w:color="auto" w:sz="12" w:space="0"/>
                  </w:tcBorders>
                  <w:vAlign w:val="center"/>
                </w:tcPr>
                <w:p w14:paraId="36FEACD6">
                  <w:pPr>
                    <w:widowControl/>
                    <w:jc w:val="center"/>
                    <w:rPr>
                      <w:color w:val="000000" w:themeColor="text1"/>
                      <w:sz w:val="18"/>
                      <w:szCs w:val="18"/>
                      <w14:textFill>
                        <w14:solidFill>
                          <w14:schemeClr w14:val="tx1"/>
                        </w14:solidFill>
                      </w14:textFill>
                    </w:rPr>
                  </w:pPr>
                </w:p>
              </w:tc>
              <w:tc>
                <w:tcPr>
                  <w:tcW w:w="727" w:type="pct"/>
                  <w:vMerge w:val="continue"/>
                  <w:tcBorders>
                    <w:left w:val="single" w:color="auto" w:sz="12" w:space="0"/>
                    <w:right w:val="single" w:color="auto" w:sz="12" w:space="0"/>
                  </w:tcBorders>
                  <w:vAlign w:val="center"/>
                </w:tcPr>
                <w:p w14:paraId="63395C1E">
                  <w:pPr>
                    <w:widowControl/>
                    <w:jc w:val="center"/>
                    <w:rPr>
                      <w:color w:val="000000" w:themeColor="text1"/>
                      <w:sz w:val="18"/>
                      <w:szCs w:val="18"/>
                      <w14:textFill>
                        <w14:solidFill>
                          <w14:schemeClr w14:val="tx1"/>
                        </w14:solidFill>
                      </w14:textFill>
                    </w:rPr>
                  </w:pPr>
                </w:p>
              </w:tc>
              <w:tc>
                <w:tcPr>
                  <w:tcW w:w="754" w:type="pct"/>
                  <w:vMerge w:val="continue"/>
                  <w:tcBorders>
                    <w:left w:val="single" w:color="auto" w:sz="12" w:space="0"/>
                    <w:right w:val="single" w:color="auto" w:sz="4" w:space="0"/>
                  </w:tcBorders>
                  <w:vAlign w:val="center"/>
                </w:tcPr>
                <w:p w14:paraId="2A8FC497">
                  <w:pPr>
                    <w:widowControl/>
                    <w:jc w:val="center"/>
                    <w:rPr>
                      <w:color w:val="000000" w:themeColor="text1"/>
                      <w:sz w:val="18"/>
                      <w:szCs w:val="18"/>
                      <w14:textFill>
                        <w14:solidFill>
                          <w14:schemeClr w14:val="tx1"/>
                        </w14:solidFill>
                      </w14:textFill>
                    </w:rPr>
                  </w:pPr>
                </w:p>
              </w:tc>
              <w:tc>
                <w:tcPr>
                  <w:tcW w:w="566" w:type="pct"/>
                  <w:tcBorders>
                    <w:top w:val="nil"/>
                    <w:left w:val="nil"/>
                    <w:bottom w:val="single" w:color="auto" w:sz="12" w:space="0"/>
                    <w:right w:val="single" w:color="auto" w:sz="12" w:space="0"/>
                  </w:tcBorders>
                  <w:vAlign w:val="center"/>
                </w:tcPr>
                <w:p w14:paraId="68759897">
                  <w:pPr>
                    <w:widowControl/>
                    <w:jc w:val="center"/>
                    <w:rPr>
                      <w:color w:val="000000" w:themeColor="text1"/>
                      <w:sz w:val="18"/>
                      <w:szCs w:val="18"/>
                      <w14:textFill>
                        <w14:solidFill>
                          <w14:schemeClr w14:val="tx1"/>
                        </w14:solidFill>
                      </w14:textFill>
                    </w:rPr>
                  </w:pPr>
                  <w:r>
                    <w:rPr>
                      <w:rFonts w:eastAsia="等线"/>
                      <w:color w:val="000000" w:themeColor="text1"/>
                      <w:sz w:val="18"/>
                      <w:szCs w:val="18"/>
                      <w14:textFill>
                        <w14:solidFill>
                          <w14:schemeClr w14:val="tx1"/>
                        </w14:solidFill>
                      </w14:textFill>
                    </w:rPr>
                    <w:t>20</w:t>
                  </w:r>
                </w:p>
              </w:tc>
              <w:tc>
                <w:tcPr>
                  <w:tcW w:w="782" w:type="pct"/>
                  <w:tcBorders>
                    <w:top w:val="single" w:color="auto" w:sz="12" w:space="0"/>
                    <w:left w:val="single" w:color="auto" w:sz="4" w:space="0"/>
                    <w:bottom w:val="single" w:color="auto" w:sz="12" w:space="0"/>
                    <w:right w:val="single" w:color="auto" w:sz="4" w:space="0"/>
                  </w:tcBorders>
                  <w:shd w:val="clear" w:color="auto" w:fill="FFFFFF"/>
                  <w:vAlign w:val="center"/>
                </w:tcPr>
                <w:p w14:paraId="026BBA7E">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4</w:t>
                  </w:r>
                  <w:r>
                    <w:rPr>
                      <w:color w:val="000000" w:themeColor="text1"/>
                      <w:sz w:val="18"/>
                      <w:szCs w:val="18"/>
                      <w14:textFill>
                        <w14:solidFill>
                          <w14:schemeClr w14:val="tx1"/>
                        </w14:solidFill>
                      </w14:textFill>
                    </w:rPr>
                    <w:t>00</w:t>
                  </w:r>
                </w:p>
              </w:tc>
              <w:tc>
                <w:tcPr>
                  <w:tcW w:w="726" w:type="pct"/>
                  <w:tcBorders>
                    <w:top w:val="single" w:color="auto" w:sz="12" w:space="0"/>
                    <w:left w:val="single" w:color="auto" w:sz="4" w:space="0"/>
                    <w:bottom w:val="single" w:color="auto" w:sz="12" w:space="0"/>
                    <w:right w:val="single" w:color="auto" w:sz="12" w:space="0"/>
                  </w:tcBorders>
                  <w:shd w:val="clear" w:color="auto" w:fill="FFFFFF"/>
                  <w:vAlign w:val="center"/>
                </w:tcPr>
                <w:p w14:paraId="79DE1AE2">
                  <w:pPr>
                    <w:widowControl/>
                    <w:spacing w:line="240" w:lineRule="atLeast"/>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10</w:t>
                  </w:r>
                </w:p>
              </w:tc>
            </w:tr>
            <w:tr w14:paraId="29BEC56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222" w:type="pct"/>
                  <w:vMerge w:val="continue"/>
                  <w:tcBorders>
                    <w:left w:val="single" w:color="auto" w:sz="12" w:space="0"/>
                    <w:right w:val="single" w:color="auto" w:sz="12" w:space="0"/>
                  </w:tcBorders>
                  <w:vAlign w:val="center"/>
                </w:tcPr>
                <w:p w14:paraId="7D99752A">
                  <w:pPr>
                    <w:widowControl/>
                    <w:jc w:val="center"/>
                    <w:rPr>
                      <w:color w:val="000000" w:themeColor="text1"/>
                      <w:sz w:val="18"/>
                      <w:szCs w:val="18"/>
                      <w14:textFill>
                        <w14:solidFill>
                          <w14:schemeClr w14:val="tx1"/>
                        </w14:solidFill>
                      </w14:textFill>
                    </w:rPr>
                  </w:pPr>
                </w:p>
              </w:tc>
              <w:tc>
                <w:tcPr>
                  <w:tcW w:w="454" w:type="pct"/>
                  <w:tcBorders>
                    <w:top w:val="single" w:color="auto" w:sz="12" w:space="0"/>
                    <w:left w:val="single" w:color="auto" w:sz="12" w:space="0"/>
                    <w:bottom w:val="single" w:color="auto" w:sz="12" w:space="0"/>
                    <w:right w:val="single" w:color="auto" w:sz="12" w:space="0"/>
                  </w:tcBorders>
                  <w:shd w:val="clear" w:color="auto" w:fill="FFFFFF"/>
                  <w:vAlign w:val="center"/>
                </w:tcPr>
                <w:p w14:paraId="0330C6B2">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TP</w:t>
                  </w:r>
                </w:p>
              </w:tc>
              <w:tc>
                <w:tcPr>
                  <w:tcW w:w="769" w:type="pct"/>
                  <w:vMerge w:val="continue"/>
                  <w:tcBorders>
                    <w:left w:val="single" w:color="auto" w:sz="12" w:space="0"/>
                    <w:right w:val="single" w:color="auto" w:sz="12" w:space="0"/>
                  </w:tcBorders>
                  <w:vAlign w:val="center"/>
                </w:tcPr>
                <w:p w14:paraId="014346A7">
                  <w:pPr>
                    <w:widowControl/>
                    <w:jc w:val="center"/>
                    <w:rPr>
                      <w:color w:val="000000" w:themeColor="text1"/>
                      <w:sz w:val="18"/>
                      <w:szCs w:val="18"/>
                      <w14:textFill>
                        <w14:solidFill>
                          <w14:schemeClr w14:val="tx1"/>
                        </w14:solidFill>
                      </w14:textFill>
                    </w:rPr>
                  </w:pPr>
                </w:p>
              </w:tc>
              <w:tc>
                <w:tcPr>
                  <w:tcW w:w="727" w:type="pct"/>
                  <w:vMerge w:val="continue"/>
                  <w:tcBorders>
                    <w:left w:val="single" w:color="auto" w:sz="12" w:space="0"/>
                    <w:right w:val="single" w:color="auto" w:sz="12" w:space="0"/>
                  </w:tcBorders>
                  <w:vAlign w:val="center"/>
                </w:tcPr>
                <w:p w14:paraId="0CFA19B0">
                  <w:pPr>
                    <w:widowControl/>
                    <w:jc w:val="center"/>
                    <w:rPr>
                      <w:color w:val="000000" w:themeColor="text1"/>
                      <w:sz w:val="18"/>
                      <w:szCs w:val="18"/>
                      <w14:textFill>
                        <w14:solidFill>
                          <w14:schemeClr w14:val="tx1"/>
                        </w14:solidFill>
                      </w14:textFill>
                    </w:rPr>
                  </w:pPr>
                </w:p>
              </w:tc>
              <w:tc>
                <w:tcPr>
                  <w:tcW w:w="754" w:type="pct"/>
                  <w:vMerge w:val="continue"/>
                  <w:tcBorders>
                    <w:left w:val="single" w:color="auto" w:sz="12" w:space="0"/>
                    <w:right w:val="single" w:color="auto" w:sz="4" w:space="0"/>
                  </w:tcBorders>
                  <w:vAlign w:val="center"/>
                </w:tcPr>
                <w:p w14:paraId="71B83511">
                  <w:pPr>
                    <w:widowControl/>
                    <w:jc w:val="center"/>
                    <w:rPr>
                      <w:color w:val="000000" w:themeColor="text1"/>
                      <w:sz w:val="18"/>
                      <w:szCs w:val="18"/>
                      <w14:textFill>
                        <w14:solidFill>
                          <w14:schemeClr w14:val="tx1"/>
                        </w14:solidFill>
                      </w14:textFill>
                    </w:rPr>
                  </w:pPr>
                </w:p>
              </w:tc>
              <w:tc>
                <w:tcPr>
                  <w:tcW w:w="566" w:type="pct"/>
                  <w:tcBorders>
                    <w:top w:val="nil"/>
                    <w:left w:val="nil"/>
                    <w:bottom w:val="single" w:color="auto" w:sz="12" w:space="0"/>
                    <w:right w:val="single" w:color="auto" w:sz="12" w:space="0"/>
                  </w:tcBorders>
                  <w:vAlign w:val="center"/>
                </w:tcPr>
                <w:p w14:paraId="42D8CCD6">
                  <w:pPr>
                    <w:widowControl/>
                    <w:jc w:val="center"/>
                    <w:rPr>
                      <w:color w:val="000000" w:themeColor="text1"/>
                      <w:sz w:val="18"/>
                      <w:szCs w:val="18"/>
                      <w14:textFill>
                        <w14:solidFill>
                          <w14:schemeClr w14:val="tx1"/>
                        </w14:solidFill>
                      </w14:textFill>
                    </w:rPr>
                  </w:pPr>
                  <w:r>
                    <w:rPr>
                      <w:rFonts w:eastAsia="等线"/>
                      <w:color w:val="000000" w:themeColor="text1"/>
                      <w:sz w:val="18"/>
                      <w:szCs w:val="18"/>
                      <w14:textFill>
                        <w14:solidFill>
                          <w14:schemeClr w14:val="tx1"/>
                        </w14:solidFill>
                      </w14:textFill>
                    </w:rPr>
                    <w:t>4</w:t>
                  </w:r>
                </w:p>
              </w:tc>
              <w:tc>
                <w:tcPr>
                  <w:tcW w:w="782" w:type="pct"/>
                  <w:tcBorders>
                    <w:top w:val="single" w:color="auto" w:sz="12" w:space="0"/>
                    <w:left w:val="single" w:color="auto" w:sz="4" w:space="0"/>
                    <w:bottom w:val="single" w:color="auto" w:sz="12" w:space="0"/>
                    <w:right w:val="single" w:color="auto" w:sz="4" w:space="0"/>
                  </w:tcBorders>
                  <w:shd w:val="clear" w:color="auto" w:fill="FFFFFF"/>
                  <w:vAlign w:val="center"/>
                </w:tcPr>
                <w:p w14:paraId="1236FCF2">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726" w:type="pct"/>
                  <w:tcBorders>
                    <w:top w:val="single" w:color="auto" w:sz="12" w:space="0"/>
                    <w:left w:val="single" w:color="auto" w:sz="4" w:space="0"/>
                    <w:bottom w:val="single" w:color="auto" w:sz="12" w:space="0"/>
                    <w:right w:val="single" w:color="auto" w:sz="12" w:space="0"/>
                  </w:tcBorders>
                  <w:shd w:val="clear" w:color="auto" w:fill="FFFFFF"/>
                  <w:vAlign w:val="center"/>
                </w:tcPr>
                <w:p w14:paraId="6292832A">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15</w:t>
                  </w:r>
                </w:p>
              </w:tc>
            </w:tr>
            <w:tr w14:paraId="6DDCC72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222" w:type="pct"/>
                  <w:vMerge w:val="continue"/>
                  <w:tcBorders>
                    <w:left w:val="single" w:color="auto" w:sz="12" w:space="0"/>
                    <w:right w:val="single" w:color="auto" w:sz="12" w:space="0"/>
                  </w:tcBorders>
                  <w:vAlign w:val="center"/>
                </w:tcPr>
                <w:p w14:paraId="16A74CB8">
                  <w:pPr>
                    <w:widowControl/>
                    <w:jc w:val="center"/>
                    <w:rPr>
                      <w:color w:val="000000" w:themeColor="text1"/>
                      <w:sz w:val="18"/>
                      <w:szCs w:val="18"/>
                      <w14:textFill>
                        <w14:solidFill>
                          <w14:schemeClr w14:val="tx1"/>
                        </w14:solidFill>
                      </w14:textFill>
                    </w:rPr>
                  </w:pPr>
                </w:p>
              </w:tc>
              <w:tc>
                <w:tcPr>
                  <w:tcW w:w="454" w:type="pct"/>
                  <w:tcBorders>
                    <w:top w:val="single" w:color="auto" w:sz="12" w:space="0"/>
                    <w:left w:val="single" w:color="auto" w:sz="12" w:space="0"/>
                    <w:bottom w:val="single" w:color="auto" w:sz="12" w:space="0"/>
                    <w:right w:val="single" w:color="auto" w:sz="12" w:space="0"/>
                  </w:tcBorders>
                  <w:shd w:val="clear" w:color="auto" w:fill="FFFFFF"/>
                  <w:vAlign w:val="center"/>
                </w:tcPr>
                <w:p w14:paraId="2B36FBF2">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TN</w:t>
                  </w:r>
                </w:p>
              </w:tc>
              <w:tc>
                <w:tcPr>
                  <w:tcW w:w="769" w:type="pct"/>
                  <w:vMerge w:val="continue"/>
                  <w:tcBorders>
                    <w:left w:val="single" w:color="auto" w:sz="12" w:space="0"/>
                    <w:right w:val="single" w:color="auto" w:sz="12" w:space="0"/>
                  </w:tcBorders>
                  <w:vAlign w:val="center"/>
                </w:tcPr>
                <w:p w14:paraId="776C493A">
                  <w:pPr>
                    <w:widowControl/>
                    <w:jc w:val="center"/>
                    <w:rPr>
                      <w:color w:val="000000" w:themeColor="text1"/>
                      <w:sz w:val="18"/>
                      <w:szCs w:val="18"/>
                      <w14:textFill>
                        <w14:solidFill>
                          <w14:schemeClr w14:val="tx1"/>
                        </w14:solidFill>
                      </w14:textFill>
                    </w:rPr>
                  </w:pPr>
                </w:p>
              </w:tc>
              <w:tc>
                <w:tcPr>
                  <w:tcW w:w="727" w:type="pct"/>
                  <w:vMerge w:val="continue"/>
                  <w:tcBorders>
                    <w:left w:val="single" w:color="auto" w:sz="12" w:space="0"/>
                    <w:right w:val="single" w:color="auto" w:sz="12" w:space="0"/>
                  </w:tcBorders>
                  <w:vAlign w:val="center"/>
                </w:tcPr>
                <w:p w14:paraId="10423FDE">
                  <w:pPr>
                    <w:widowControl/>
                    <w:jc w:val="center"/>
                    <w:rPr>
                      <w:color w:val="000000" w:themeColor="text1"/>
                      <w:sz w:val="18"/>
                      <w:szCs w:val="18"/>
                      <w14:textFill>
                        <w14:solidFill>
                          <w14:schemeClr w14:val="tx1"/>
                        </w14:solidFill>
                      </w14:textFill>
                    </w:rPr>
                  </w:pPr>
                </w:p>
              </w:tc>
              <w:tc>
                <w:tcPr>
                  <w:tcW w:w="754" w:type="pct"/>
                  <w:vMerge w:val="continue"/>
                  <w:tcBorders>
                    <w:left w:val="single" w:color="auto" w:sz="12" w:space="0"/>
                    <w:right w:val="single" w:color="auto" w:sz="4" w:space="0"/>
                  </w:tcBorders>
                  <w:vAlign w:val="center"/>
                </w:tcPr>
                <w:p w14:paraId="5898DC9F">
                  <w:pPr>
                    <w:widowControl/>
                    <w:jc w:val="center"/>
                    <w:rPr>
                      <w:color w:val="000000" w:themeColor="text1"/>
                      <w:sz w:val="18"/>
                      <w:szCs w:val="18"/>
                      <w14:textFill>
                        <w14:solidFill>
                          <w14:schemeClr w14:val="tx1"/>
                        </w14:solidFill>
                      </w14:textFill>
                    </w:rPr>
                  </w:pPr>
                </w:p>
              </w:tc>
              <w:tc>
                <w:tcPr>
                  <w:tcW w:w="566" w:type="pct"/>
                  <w:tcBorders>
                    <w:top w:val="nil"/>
                    <w:left w:val="nil"/>
                    <w:bottom w:val="single" w:color="auto" w:sz="12" w:space="0"/>
                    <w:right w:val="single" w:color="auto" w:sz="12" w:space="0"/>
                  </w:tcBorders>
                  <w:vAlign w:val="center"/>
                </w:tcPr>
                <w:p w14:paraId="7B54A9B5">
                  <w:pPr>
                    <w:widowControl/>
                    <w:jc w:val="center"/>
                    <w:rPr>
                      <w:color w:val="000000" w:themeColor="text1"/>
                      <w:sz w:val="18"/>
                      <w:szCs w:val="18"/>
                      <w14:textFill>
                        <w14:solidFill>
                          <w14:schemeClr w14:val="tx1"/>
                        </w14:solidFill>
                      </w14:textFill>
                    </w:rPr>
                  </w:pPr>
                  <w:r>
                    <w:rPr>
                      <w:rFonts w:eastAsia="等线"/>
                      <w:color w:val="000000" w:themeColor="text1"/>
                      <w:sz w:val="18"/>
                      <w:szCs w:val="18"/>
                      <w14:textFill>
                        <w14:solidFill>
                          <w14:schemeClr w14:val="tx1"/>
                        </w14:solidFill>
                      </w14:textFill>
                    </w:rPr>
                    <w:t>32</w:t>
                  </w:r>
                </w:p>
              </w:tc>
              <w:tc>
                <w:tcPr>
                  <w:tcW w:w="782" w:type="pct"/>
                  <w:tcBorders>
                    <w:top w:val="single" w:color="auto" w:sz="12" w:space="0"/>
                    <w:left w:val="single" w:color="auto" w:sz="4" w:space="0"/>
                    <w:bottom w:val="single" w:color="auto" w:sz="12" w:space="0"/>
                    <w:right w:val="single" w:color="auto" w:sz="4" w:space="0"/>
                  </w:tcBorders>
                  <w:shd w:val="clear" w:color="auto" w:fill="FFFFFF"/>
                  <w:vAlign w:val="center"/>
                </w:tcPr>
                <w:p w14:paraId="79FF7ECF">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726" w:type="pct"/>
                  <w:tcBorders>
                    <w:top w:val="single" w:color="auto" w:sz="12" w:space="0"/>
                    <w:left w:val="single" w:color="auto" w:sz="4" w:space="0"/>
                    <w:bottom w:val="single" w:color="auto" w:sz="12" w:space="0"/>
                    <w:right w:val="single" w:color="auto" w:sz="12" w:space="0"/>
                  </w:tcBorders>
                  <w:shd w:val="clear" w:color="auto" w:fill="FFFFFF"/>
                  <w:vAlign w:val="center"/>
                </w:tcPr>
                <w:p w14:paraId="59B0C75B">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w:t>
                  </w:r>
                  <w:r>
                    <w:rPr>
                      <w:color w:val="000000" w:themeColor="text1"/>
                      <w:sz w:val="18"/>
                      <w:szCs w:val="18"/>
                      <w14:textFill>
                        <w14:solidFill>
                          <w14:schemeClr w14:val="tx1"/>
                        </w14:solidFill>
                      </w14:textFill>
                    </w:rPr>
                    <w:t>.5</w:t>
                  </w:r>
                </w:p>
              </w:tc>
            </w:tr>
            <w:tr w14:paraId="4D35090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 w:type="dxa"/>
                  <w:bottom w:w="0" w:type="dxa"/>
                  <w:right w:w="10" w:type="dxa"/>
                </w:tblCellMar>
              </w:tblPrEx>
              <w:trPr>
                <w:jc w:val="center"/>
              </w:trPr>
              <w:tc>
                <w:tcPr>
                  <w:tcW w:w="222" w:type="pct"/>
                  <w:vMerge w:val="continue"/>
                  <w:tcBorders>
                    <w:left w:val="single" w:color="auto" w:sz="12" w:space="0"/>
                    <w:right w:val="single" w:color="auto" w:sz="12" w:space="0"/>
                  </w:tcBorders>
                  <w:vAlign w:val="center"/>
                </w:tcPr>
                <w:p w14:paraId="49D0D585">
                  <w:pPr>
                    <w:widowControl/>
                    <w:jc w:val="center"/>
                    <w:rPr>
                      <w:color w:val="000000" w:themeColor="text1"/>
                      <w:sz w:val="18"/>
                      <w:szCs w:val="18"/>
                      <w14:textFill>
                        <w14:solidFill>
                          <w14:schemeClr w14:val="tx1"/>
                        </w14:solidFill>
                      </w14:textFill>
                    </w:rPr>
                  </w:pPr>
                </w:p>
              </w:tc>
              <w:tc>
                <w:tcPr>
                  <w:tcW w:w="454" w:type="pct"/>
                  <w:tcBorders>
                    <w:top w:val="single" w:color="auto" w:sz="12" w:space="0"/>
                    <w:left w:val="single" w:color="auto" w:sz="12" w:space="0"/>
                    <w:bottom w:val="single" w:color="auto" w:sz="12" w:space="0"/>
                    <w:right w:val="single" w:color="auto" w:sz="12" w:space="0"/>
                  </w:tcBorders>
                  <w:shd w:val="clear" w:color="auto" w:fill="FFFFFF"/>
                  <w:vAlign w:val="center"/>
                </w:tcPr>
                <w:p w14:paraId="6B9C2B8D">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动植物油</w:t>
                  </w:r>
                </w:p>
              </w:tc>
              <w:tc>
                <w:tcPr>
                  <w:tcW w:w="769" w:type="pct"/>
                  <w:vMerge w:val="continue"/>
                  <w:tcBorders>
                    <w:left w:val="single" w:color="auto" w:sz="12" w:space="0"/>
                    <w:right w:val="single" w:color="auto" w:sz="12" w:space="0"/>
                  </w:tcBorders>
                  <w:vAlign w:val="center"/>
                </w:tcPr>
                <w:p w14:paraId="613FB110">
                  <w:pPr>
                    <w:widowControl/>
                    <w:jc w:val="center"/>
                    <w:rPr>
                      <w:color w:val="000000" w:themeColor="text1"/>
                      <w:sz w:val="18"/>
                      <w:szCs w:val="18"/>
                      <w14:textFill>
                        <w14:solidFill>
                          <w14:schemeClr w14:val="tx1"/>
                        </w14:solidFill>
                      </w14:textFill>
                    </w:rPr>
                  </w:pPr>
                </w:p>
              </w:tc>
              <w:tc>
                <w:tcPr>
                  <w:tcW w:w="727" w:type="pct"/>
                  <w:vMerge w:val="continue"/>
                  <w:tcBorders>
                    <w:left w:val="single" w:color="auto" w:sz="12" w:space="0"/>
                    <w:right w:val="single" w:color="auto" w:sz="12" w:space="0"/>
                  </w:tcBorders>
                  <w:vAlign w:val="center"/>
                </w:tcPr>
                <w:p w14:paraId="6378A1EE">
                  <w:pPr>
                    <w:widowControl/>
                    <w:jc w:val="center"/>
                    <w:rPr>
                      <w:color w:val="000000" w:themeColor="text1"/>
                      <w:sz w:val="18"/>
                      <w:szCs w:val="18"/>
                      <w14:textFill>
                        <w14:solidFill>
                          <w14:schemeClr w14:val="tx1"/>
                        </w14:solidFill>
                      </w14:textFill>
                    </w:rPr>
                  </w:pPr>
                </w:p>
              </w:tc>
              <w:tc>
                <w:tcPr>
                  <w:tcW w:w="754" w:type="pct"/>
                  <w:vMerge w:val="continue"/>
                  <w:tcBorders>
                    <w:left w:val="single" w:color="auto" w:sz="12" w:space="0"/>
                    <w:right w:val="single" w:color="auto" w:sz="4" w:space="0"/>
                  </w:tcBorders>
                  <w:vAlign w:val="center"/>
                </w:tcPr>
                <w:p w14:paraId="25E90F9D">
                  <w:pPr>
                    <w:widowControl/>
                    <w:jc w:val="center"/>
                    <w:rPr>
                      <w:color w:val="000000" w:themeColor="text1"/>
                      <w:sz w:val="18"/>
                      <w:szCs w:val="18"/>
                      <w14:textFill>
                        <w14:solidFill>
                          <w14:schemeClr w14:val="tx1"/>
                        </w14:solidFill>
                      </w14:textFill>
                    </w:rPr>
                  </w:pPr>
                </w:p>
              </w:tc>
              <w:tc>
                <w:tcPr>
                  <w:tcW w:w="566" w:type="pct"/>
                  <w:tcBorders>
                    <w:top w:val="nil"/>
                    <w:left w:val="nil"/>
                    <w:bottom w:val="single" w:color="auto" w:sz="12" w:space="0"/>
                    <w:right w:val="single" w:color="auto" w:sz="12" w:space="0"/>
                  </w:tcBorders>
                  <w:vAlign w:val="center"/>
                </w:tcPr>
                <w:p w14:paraId="7908BFF1">
                  <w:pPr>
                    <w:widowControl/>
                    <w:jc w:val="center"/>
                    <w:rPr>
                      <w:color w:val="000000" w:themeColor="text1"/>
                      <w:sz w:val="18"/>
                      <w:szCs w:val="18"/>
                      <w14:textFill>
                        <w14:solidFill>
                          <w14:schemeClr w14:val="tx1"/>
                        </w14:solidFill>
                      </w14:textFill>
                    </w:rPr>
                  </w:pPr>
                  <w:r>
                    <w:rPr>
                      <w:rFonts w:eastAsia="等线"/>
                      <w:color w:val="000000" w:themeColor="text1"/>
                      <w:sz w:val="18"/>
                      <w:szCs w:val="18"/>
                      <w14:textFill>
                        <w14:solidFill>
                          <w14:schemeClr w14:val="tx1"/>
                        </w14:solidFill>
                      </w14:textFill>
                    </w:rPr>
                    <w:t>6</w:t>
                  </w:r>
                </w:p>
              </w:tc>
              <w:tc>
                <w:tcPr>
                  <w:tcW w:w="782" w:type="pct"/>
                  <w:tcBorders>
                    <w:top w:val="single" w:color="auto" w:sz="12" w:space="0"/>
                    <w:left w:val="single" w:color="auto" w:sz="4" w:space="0"/>
                    <w:bottom w:val="single" w:color="auto" w:sz="12" w:space="0"/>
                    <w:right w:val="single" w:color="auto" w:sz="4" w:space="0"/>
                  </w:tcBorders>
                  <w:shd w:val="clear" w:color="auto" w:fill="FFFFFF"/>
                  <w:vAlign w:val="center"/>
                </w:tcPr>
                <w:p w14:paraId="5FB86C72">
                  <w:pPr>
                    <w:widowControl/>
                    <w:jc w:val="center"/>
                    <w:rPr>
                      <w:rFonts w:hint="default" w:eastAsia="宋体"/>
                      <w:color w:val="000000" w:themeColor="text1"/>
                      <w:sz w:val="18"/>
                      <w:szCs w:val="18"/>
                      <w:lang w:val="en-US" w:eastAsia="zh-CN"/>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100</w:t>
                  </w:r>
                </w:p>
              </w:tc>
              <w:tc>
                <w:tcPr>
                  <w:tcW w:w="726" w:type="pct"/>
                  <w:tcBorders>
                    <w:top w:val="single" w:color="auto" w:sz="12" w:space="0"/>
                    <w:left w:val="single" w:color="auto" w:sz="4" w:space="0"/>
                    <w:bottom w:val="single" w:color="auto" w:sz="12" w:space="0"/>
                    <w:right w:val="single" w:color="auto" w:sz="12" w:space="0"/>
                  </w:tcBorders>
                  <w:shd w:val="clear" w:color="auto" w:fill="FFFFFF"/>
                  <w:vAlign w:val="center"/>
                </w:tcPr>
                <w:p w14:paraId="412540D5">
                  <w:pPr>
                    <w:widowControl/>
                    <w:spacing w:line="240" w:lineRule="atLeast"/>
                    <w:jc w:val="center"/>
                    <w:textAlignment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1.0</w:t>
                  </w:r>
                </w:p>
              </w:tc>
            </w:tr>
          </w:tbl>
          <w:p w14:paraId="06A8A06C">
            <w:pPr>
              <w:spacing w:line="360" w:lineRule="auto"/>
              <w:ind w:firstLine="480" w:firstLineChars="200"/>
              <w:rPr>
                <w:color w:val="000000" w:themeColor="text1"/>
                <w:sz w:val="24"/>
                <w:szCs w:val="20"/>
                <w14:textFill>
                  <w14:solidFill>
                    <w14:schemeClr w14:val="tx1"/>
                  </w14:solidFill>
                </w14:textFill>
              </w:rPr>
            </w:pPr>
            <w:r>
              <w:rPr>
                <w:color w:val="000000" w:themeColor="text1"/>
                <w:sz w:val="24"/>
                <w:szCs w:val="20"/>
                <w14:textFill>
                  <w14:solidFill>
                    <w14:schemeClr w14:val="tx1"/>
                  </w14:solidFill>
                </w14:textFill>
              </w:rPr>
              <w:t>（1）近期</w:t>
            </w:r>
          </w:p>
          <w:p w14:paraId="0E1F1645">
            <w:pPr>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①</w:t>
            </w:r>
            <w:r>
              <w:rPr>
                <w:color w:val="000000" w:themeColor="text1"/>
                <w:sz w:val="24"/>
                <w14:textFill>
                  <w14:solidFill>
                    <w14:schemeClr w14:val="tx1"/>
                  </w14:solidFill>
                </w14:textFill>
              </w:rPr>
              <w:t>废水水量依托可行性分析</w:t>
            </w:r>
          </w:p>
          <w:p w14:paraId="59A61009">
            <w:pPr>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金山工业园一期一体化污水处理站主要收集园区各企业的生活污水及生产废水，处理工艺为：调节池-厌氧池-缺氧池-好氧池-混凝反应池-斜管沉淀池-生物滤池-紫外消毒-达标排放。接水执行接管标准，出水执行《城镇污水处理厂污染物排放标准》（GB18918-2002）一级A标准，出水排入乐安河。金山工业园一期一体化污水处理站</w:t>
            </w:r>
            <w:r>
              <w:rPr>
                <w:color w:val="000000" w:themeColor="text1"/>
                <w:sz w:val="24"/>
                <w14:textFill>
                  <w14:solidFill>
                    <w14:schemeClr w14:val="tx1"/>
                  </w14:solidFill>
                </w14:textFill>
              </w:rPr>
              <w:t>目前</w:t>
            </w:r>
            <w:r>
              <w:rPr>
                <w:rFonts w:hint="eastAsia"/>
                <w:color w:val="000000" w:themeColor="text1"/>
                <w:sz w:val="24"/>
                <w14:textFill>
                  <w14:solidFill>
                    <w14:schemeClr w14:val="tx1"/>
                  </w14:solidFill>
                </w14:textFill>
              </w:rPr>
              <w:t>污水处理规模500m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/d，剩余处理能力为150m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/d，</w:t>
            </w:r>
            <w:r>
              <w:rPr>
                <w:color w:val="000000" w:themeColor="text1"/>
                <w:sz w:val="24"/>
                <w14:textFill>
                  <w14:solidFill>
                    <w14:schemeClr w14:val="tx1"/>
                  </w14:solidFill>
                </w14:textFill>
              </w:rPr>
              <w:t>本项目污水排放量</w:t>
            </w:r>
            <w:r>
              <w:rPr>
                <w:rFonts w:hint="eastAsia"/>
                <w:color w:val="000000" w:themeColor="text1"/>
                <w:sz w:val="24"/>
                <w14:textFill>
                  <w14:solidFill>
                    <w14:schemeClr w14:val="tx1"/>
                  </w14:solidFill>
                </w14:textFill>
              </w:rPr>
              <w:t>约为1.9</w:t>
            </w:r>
            <w:r>
              <w:rPr>
                <w:rFonts w:hint="eastAsia"/>
                <w:color w:val="000000" w:themeColor="text1"/>
                <w:sz w:val="24"/>
                <w:lang w:val="en-US" w:eastAsia="zh-CN"/>
                <w14:textFill>
                  <w14:solidFill>
                    <w14:schemeClr w14:val="tx1"/>
                  </w14:solidFill>
                </w14:textFill>
              </w:rPr>
              <w:t>2</w:t>
            </w:r>
            <w:r>
              <w:rPr>
                <w:color w:val="000000" w:themeColor="text1"/>
                <w:sz w:val="24"/>
                <w14:textFill>
                  <w14:solidFill>
                    <w14:schemeClr w14:val="tx1"/>
                  </w14:solidFill>
                </w14:textFill>
              </w:rPr>
              <w:t>t/d，</w:t>
            </w:r>
            <w:r>
              <w:rPr>
                <w:rFonts w:hint="eastAsia"/>
                <w:color w:val="000000" w:themeColor="text1"/>
                <w:sz w:val="24"/>
                <w14:textFill>
                  <w14:solidFill>
                    <w14:schemeClr w14:val="tx1"/>
                  </w14:solidFill>
                </w14:textFill>
              </w:rPr>
              <w:t>已纳入金山工业园一期一体化污水处理站处理，</w:t>
            </w:r>
            <w:r>
              <w:rPr>
                <w:color w:val="000000" w:themeColor="text1"/>
                <w:sz w:val="24"/>
                <w14:textFill>
                  <w14:solidFill>
                    <w14:schemeClr w14:val="tx1"/>
                  </w14:solidFill>
                </w14:textFill>
              </w:rPr>
              <w:t>占</w:t>
            </w:r>
            <w:r>
              <w:rPr>
                <w:rFonts w:hint="eastAsia"/>
                <w:color w:val="000000" w:themeColor="text1"/>
                <w:sz w:val="24"/>
                <w14:textFill>
                  <w14:solidFill>
                    <w14:schemeClr w14:val="tx1"/>
                  </w14:solidFill>
                </w14:textFill>
              </w:rPr>
              <w:t>剩余处理</w:t>
            </w:r>
            <w:r>
              <w:rPr>
                <w:color w:val="000000" w:themeColor="text1"/>
                <w:sz w:val="24"/>
                <w14:textFill>
                  <w14:solidFill>
                    <w14:schemeClr w14:val="tx1"/>
                  </w14:solidFill>
                </w14:textFill>
              </w:rPr>
              <w:t>水量的</w:t>
            </w:r>
            <w:r>
              <w:rPr>
                <w:rFonts w:hint="eastAsia"/>
                <w:color w:val="000000" w:themeColor="text1"/>
                <w:sz w:val="24"/>
                <w14:textFill>
                  <w14:solidFill>
                    <w14:schemeClr w14:val="tx1"/>
                  </w14:solidFill>
                </w14:textFill>
              </w:rPr>
              <w:t>1.31%</w:t>
            </w:r>
            <w:r>
              <w:rPr>
                <w:color w:val="000000" w:themeColor="text1"/>
                <w:sz w:val="24"/>
                <w14:textFill>
                  <w14:solidFill>
                    <w14:schemeClr w14:val="tx1"/>
                  </w14:solidFill>
                </w14:textFill>
              </w:rPr>
              <w:t>。本项目废水不会对</w:t>
            </w:r>
            <w:r>
              <w:rPr>
                <w:rFonts w:hint="eastAsia"/>
                <w:color w:val="000000" w:themeColor="text1"/>
                <w:sz w:val="24"/>
                <w14:textFill>
                  <w14:solidFill>
                    <w14:schemeClr w14:val="tx1"/>
                  </w14:solidFill>
                </w14:textFill>
              </w:rPr>
              <w:t>乐平市金山工业园一期一体化污水处理站</w:t>
            </w:r>
            <w:r>
              <w:rPr>
                <w:color w:val="000000" w:themeColor="text1"/>
                <w:sz w:val="24"/>
                <w14:textFill>
                  <w14:solidFill>
                    <w14:schemeClr w14:val="tx1"/>
                  </w14:solidFill>
                </w14:textFill>
              </w:rPr>
              <w:t>处理工艺带来较大冲击，该污水处理</w:t>
            </w:r>
            <w:r>
              <w:rPr>
                <w:rFonts w:hint="eastAsia"/>
                <w:color w:val="000000" w:themeColor="text1"/>
                <w:sz w:val="24"/>
                <w14:textFill>
                  <w14:solidFill>
                    <w14:schemeClr w14:val="tx1"/>
                  </w14:solidFill>
                </w14:textFill>
              </w:rPr>
              <w:t>站</w:t>
            </w:r>
            <w:r>
              <w:rPr>
                <w:color w:val="000000" w:themeColor="text1"/>
                <w:sz w:val="24"/>
                <w14:textFill>
                  <w14:solidFill>
                    <w14:schemeClr w14:val="tx1"/>
                  </w14:solidFill>
                </w14:textFill>
              </w:rPr>
              <w:t>有余量接纳本项目废水。</w:t>
            </w:r>
          </w:p>
          <w:p w14:paraId="52C2013C">
            <w:pPr>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②</w:t>
            </w:r>
            <w:r>
              <w:rPr>
                <w:color w:val="000000" w:themeColor="text1"/>
                <w:sz w:val="24"/>
                <w14:textFill>
                  <w14:solidFill>
                    <w14:schemeClr w14:val="tx1"/>
                  </w14:solidFill>
                </w14:textFill>
              </w:rPr>
              <w:t>废水水质接纳可行性分析</w:t>
            </w:r>
          </w:p>
          <w:p w14:paraId="77B63E13">
            <w:pPr>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本项目</w:t>
            </w:r>
            <w:r>
              <w:rPr>
                <w:rFonts w:hint="eastAsia"/>
                <w:color w:val="000000" w:themeColor="text1"/>
                <w:sz w:val="24"/>
                <w14:textFill>
                  <w14:solidFill>
                    <w14:schemeClr w14:val="tx1"/>
                  </w14:solidFill>
                </w14:textFill>
              </w:rPr>
              <w:t>生活污水</w:t>
            </w:r>
            <w:r>
              <w:rPr>
                <w:color w:val="000000" w:themeColor="text1"/>
                <w:sz w:val="24"/>
                <w14:textFill>
                  <w14:solidFill>
                    <w14:schemeClr w14:val="tx1"/>
                  </w14:solidFill>
                </w14:textFill>
              </w:rPr>
              <w:t>经处理后，水质能达到</w:t>
            </w:r>
            <w:r>
              <w:rPr>
                <w:rFonts w:hint="eastAsia"/>
                <w:color w:val="000000" w:themeColor="text1"/>
                <w:sz w:val="24"/>
                <w14:textFill>
                  <w14:solidFill>
                    <w14:schemeClr w14:val="tx1"/>
                  </w14:solidFill>
                </w14:textFill>
              </w:rPr>
              <w:t>乐平市工业污水处理厂</w:t>
            </w:r>
            <w:r>
              <w:rPr>
                <w:color w:val="000000" w:themeColor="text1"/>
                <w:sz w:val="24"/>
                <w14:textFill>
                  <w14:solidFill>
                    <w14:schemeClr w14:val="tx1"/>
                  </w14:solidFill>
                </w14:textFill>
              </w:rPr>
              <w:t>接管标准，符合接管要求。</w:t>
            </w:r>
          </w:p>
          <w:p w14:paraId="25785298">
            <w:pPr>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③管网配套可行性</w:t>
            </w:r>
          </w:p>
          <w:p w14:paraId="14055615">
            <w:pPr>
              <w:spacing w:line="360" w:lineRule="auto"/>
              <w:ind w:firstLine="480" w:firstLineChars="20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项目处于金山工业园一期一体化污水处理站纳污范围内，且管网已经铺设完毕</w:t>
            </w:r>
            <w:r>
              <w:rPr>
                <w:color w:val="000000" w:themeColor="text1"/>
                <w:sz w:val="24"/>
                <w14:textFill>
                  <w14:solidFill>
                    <w14:schemeClr w14:val="tx1"/>
                  </w14:solidFill>
                </w14:textFill>
              </w:rPr>
              <w:t>。因此，本项目</w:t>
            </w:r>
            <w:r>
              <w:rPr>
                <w:rFonts w:hint="eastAsia"/>
                <w:color w:val="000000" w:themeColor="text1"/>
                <w:sz w:val="24"/>
                <w14:textFill>
                  <w14:solidFill>
                    <w14:schemeClr w14:val="tx1"/>
                  </w14:solidFill>
                </w14:textFill>
              </w:rPr>
              <w:t>生活污水进</w:t>
            </w:r>
            <w:r>
              <w:rPr>
                <w:color w:val="000000" w:themeColor="text1"/>
                <w:sz w:val="24"/>
                <w14:textFill>
                  <w14:solidFill>
                    <w14:schemeClr w14:val="tx1"/>
                  </w14:solidFill>
                </w14:textFill>
              </w:rPr>
              <w:t>入</w:t>
            </w:r>
            <w:r>
              <w:rPr>
                <w:rFonts w:hint="eastAsia"/>
                <w:color w:val="000000" w:themeColor="text1"/>
                <w:sz w:val="24"/>
                <w14:textFill>
                  <w14:solidFill>
                    <w14:schemeClr w14:val="tx1"/>
                  </w14:solidFill>
                </w14:textFill>
              </w:rPr>
              <w:t>乐平市金山工业园一期一体化污水处理站</w:t>
            </w:r>
            <w:r>
              <w:rPr>
                <w:color w:val="000000" w:themeColor="text1"/>
                <w:sz w:val="24"/>
                <w14:textFill>
                  <w14:solidFill>
                    <w14:schemeClr w14:val="tx1"/>
                  </w14:solidFill>
                </w14:textFill>
              </w:rPr>
              <w:t>集中处理是可行的</w:t>
            </w:r>
            <w:r>
              <w:rPr>
                <w:rFonts w:hint="eastAsia"/>
                <w:color w:val="000000" w:themeColor="text1"/>
                <w:sz w:val="24"/>
                <w14:textFill>
                  <w14:solidFill>
                    <w14:schemeClr w14:val="tx1"/>
                  </w14:solidFill>
                </w14:textFill>
              </w:rPr>
              <w:t>。</w:t>
            </w:r>
          </w:p>
          <w:p w14:paraId="2BC41455">
            <w:pPr>
              <w:spacing w:line="360" w:lineRule="auto"/>
              <w:ind w:firstLine="480" w:firstLineChars="200"/>
              <w:rPr>
                <w:color w:val="000000" w:themeColor="text1"/>
                <w:sz w:val="24"/>
                <w:szCs w:val="22"/>
                <w14:textFill>
                  <w14:solidFill>
                    <w14:schemeClr w14:val="tx1"/>
                  </w14:solidFill>
                </w14:textFill>
              </w:rPr>
            </w:pPr>
            <w:r>
              <w:rPr>
                <w:color w:val="000000" w:themeColor="text1"/>
                <w:sz w:val="24"/>
                <w:szCs w:val="22"/>
                <w14:textFill>
                  <w14:solidFill>
                    <w14:schemeClr w14:val="tx1"/>
                  </w14:solidFill>
                </w14:textFill>
              </w:rPr>
              <w:t>（2）远期</w:t>
            </w:r>
          </w:p>
          <w:p w14:paraId="1C4CDD45">
            <w:pPr>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根据规划环评，金山污水处理厂初步选址位于吴乐线和金环路西南侧，近期（2025年）设计规模1万t/d，尾水排放执行《城镇污水处理厂污染物排放标准》（GB18918-2002）一级A标准。本项目生活污水废水量为</w:t>
            </w:r>
            <w:r>
              <w:rPr>
                <w:rFonts w:hint="eastAsia"/>
                <w:color w:val="000000" w:themeColor="text1"/>
                <w:sz w:val="24"/>
                <w14:textFill>
                  <w14:solidFill>
                    <w14:schemeClr w14:val="tx1"/>
                  </w14:solidFill>
                </w14:textFill>
              </w:rPr>
              <w:t>1.9</w:t>
            </w:r>
            <w:r>
              <w:rPr>
                <w:rFonts w:hint="eastAsia"/>
                <w:color w:val="000000" w:themeColor="text1"/>
                <w:sz w:val="24"/>
                <w:lang w:val="en-US" w:eastAsia="zh-CN"/>
                <w14:textFill>
                  <w14:solidFill>
                    <w14:schemeClr w14:val="tx1"/>
                  </w14:solidFill>
                </w14:textFill>
              </w:rPr>
              <w:t>2</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/d，仅占该污水处理厂近期（2011-2030年）污水处理规模的0.0</w:t>
            </w:r>
            <w:r>
              <w:rPr>
                <w:rFonts w:hint="eastAsia"/>
                <w:color w:val="000000" w:themeColor="text1"/>
                <w:sz w:val="24"/>
                <w14:textFill>
                  <w14:solidFill>
                    <w14:schemeClr w14:val="tx1"/>
                  </w14:solidFill>
                </w14:textFill>
              </w:rPr>
              <w:t>196</w:t>
            </w:r>
            <w:r>
              <w:rPr>
                <w:color w:val="000000" w:themeColor="text1"/>
                <w:sz w:val="24"/>
                <w14:textFill>
                  <w14:solidFill>
                    <w14:schemeClr w14:val="tx1"/>
                  </w14:solidFill>
                </w14:textFill>
              </w:rPr>
              <w:t>%，金山污水处理厂完全有能力容纳项目废水。</w:t>
            </w:r>
          </w:p>
          <w:p w14:paraId="4BD1521E">
            <w:pPr>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目前相关工程正在规划设计阶段，暂未选址。</w:t>
            </w:r>
          </w:p>
          <w:p w14:paraId="38482FA0">
            <w:pPr>
              <w:spacing w:line="360" w:lineRule="auto"/>
              <w:ind w:firstLine="480" w:firstLineChars="200"/>
              <w:jc w:val="left"/>
              <w:rPr>
                <w:color w:val="000000" w:themeColor="text1"/>
                <w:sz w:val="24"/>
                <w14:textFill>
                  <w14:solidFill>
                    <w14:schemeClr w14:val="tx1"/>
                  </w14:solidFill>
                </w14:textFill>
              </w:rPr>
            </w:pPr>
            <w:r>
              <w:rPr>
                <w:rFonts w:hint="eastAsia" w:ascii="Cambria Math" w:hAnsi="Cambria Math" w:cs="Cambria Math"/>
                <w:color w:val="000000" w:themeColor="text1"/>
                <w:sz w:val="24"/>
                <w14:textFill>
                  <w14:solidFill>
                    <w14:schemeClr w14:val="tx1"/>
                  </w14:solidFill>
                </w14:textFill>
              </w:rPr>
              <w:t>①</w:t>
            </w:r>
            <w:r>
              <w:rPr>
                <w:color w:val="000000" w:themeColor="text1"/>
                <w:sz w:val="24"/>
                <w14:textFill>
                  <w14:solidFill>
                    <w14:schemeClr w14:val="tx1"/>
                  </w14:solidFill>
                </w14:textFill>
              </w:rPr>
              <w:t>从水质角度分析</w:t>
            </w:r>
          </w:p>
          <w:p w14:paraId="4457E817">
            <w:pPr>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本项目纳管排放的废水为生活污水，主要为污染物为COD</w:t>
            </w:r>
            <w:r>
              <w:rPr>
                <w:color w:val="000000" w:themeColor="text1"/>
                <w:sz w:val="24"/>
                <w:vertAlign w:val="subscript"/>
                <w14:textFill>
                  <w14:solidFill>
                    <w14:schemeClr w14:val="tx1"/>
                  </w14:solidFill>
                </w14:textFill>
              </w:rPr>
              <w:t>Cr</w:t>
            </w:r>
            <w:r>
              <w:rPr>
                <w:color w:val="000000" w:themeColor="text1"/>
                <w:sz w:val="24"/>
                <w14:textFill>
                  <w14:solidFill>
                    <w14:schemeClr w14:val="tx1"/>
                  </w14:solidFill>
                </w14:textFill>
              </w:rPr>
              <w:t>、BOD</w:t>
            </w:r>
            <w:r>
              <w:rPr>
                <w:color w:val="000000" w:themeColor="text1"/>
                <w:sz w:val="24"/>
                <w:vertAlign w:val="subscript"/>
                <w14:textFill>
                  <w14:solidFill>
                    <w14:schemeClr w14:val="tx1"/>
                  </w14:solidFill>
                </w14:textFill>
              </w:rPr>
              <w:t>5</w:t>
            </w:r>
            <w:r>
              <w:rPr>
                <w:color w:val="000000" w:themeColor="text1"/>
                <w:sz w:val="24"/>
                <w14:textFill>
                  <w14:solidFill>
                    <w14:schemeClr w14:val="tx1"/>
                  </w14:solidFill>
                </w14:textFill>
              </w:rPr>
              <w:t>、SS、NH</w:t>
            </w:r>
            <w:r>
              <w:rPr>
                <w:color w:val="000000" w:themeColor="text1"/>
                <w:sz w:val="24"/>
                <w:vertAlign w:val="subscript"/>
                <w14:textFill>
                  <w14:solidFill>
                    <w14:schemeClr w14:val="tx1"/>
                  </w14:solidFill>
                </w14:textFill>
              </w:rPr>
              <w:t>3</w:t>
            </w:r>
            <w:r>
              <w:rPr>
                <w:color w:val="000000" w:themeColor="text1"/>
                <w:sz w:val="24"/>
                <w14:textFill>
                  <w14:solidFill>
                    <w14:schemeClr w14:val="tx1"/>
                  </w14:solidFill>
                </w14:textFill>
              </w:rPr>
              <w:t>-N、TP</w:t>
            </w:r>
            <w:r>
              <w:rPr>
                <w:rFonts w:hint="eastAsia"/>
                <w:color w:val="000000" w:themeColor="text1"/>
                <w:sz w:val="24"/>
                <w14:textFill>
                  <w14:solidFill>
                    <w14:schemeClr w14:val="tx1"/>
                  </w14:solidFill>
                </w14:textFill>
              </w:rPr>
              <w:t>、TN、动植物油</w:t>
            </w:r>
            <w:r>
              <w:rPr>
                <w:color w:val="000000" w:themeColor="text1"/>
                <w:sz w:val="24"/>
                <w14:textFill>
                  <w14:solidFill>
                    <w14:schemeClr w14:val="tx1"/>
                  </w14:solidFill>
                </w14:textFill>
              </w:rPr>
              <w:t>，水质较简单，生活污水经化粪池预处理后能够满足金山工业园污水处理厂接管标准。因此，从水质角度分析，项目废水处置可行。</w:t>
            </w:r>
          </w:p>
          <w:p w14:paraId="7B6F8176">
            <w:pPr>
              <w:spacing w:line="360" w:lineRule="auto"/>
              <w:ind w:firstLine="480" w:firstLineChars="200"/>
              <w:jc w:val="left"/>
              <w:rPr>
                <w:color w:val="000000" w:themeColor="text1"/>
                <w:sz w:val="24"/>
                <w14:textFill>
                  <w14:solidFill>
                    <w14:schemeClr w14:val="tx1"/>
                  </w14:solidFill>
                </w14:textFill>
              </w:rPr>
            </w:pPr>
            <w:r>
              <w:rPr>
                <w:rFonts w:hint="eastAsia" w:ascii="Cambria Math" w:hAnsi="Cambria Math" w:cs="Cambria Math"/>
                <w:color w:val="000000" w:themeColor="text1"/>
                <w:sz w:val="24"/>
                <w14:textFill>
                  <w14:solidFill>
                    <w14:schemeClr w14:val="tx1"/>
                  </w14:solidFill>
                </w14:textFill>
              </w:rPr>
              <w:t>②</w:t>
            </w:r>
            <w:r>
              <w:rPr>
                <w:color w:val="000000" w:themeColor="text1"/>
                <w:sz w:val="24"/>
                <w14:textFill>
                  <w14:solidFill>
                    <w14:schemeClr w14:val="tx1"/>
                  </w14:solidFill>
                </w14:textFill>
              </w:rPr>
              <w:t>从纳污管网角度分析</w:t>
            </w:r>
          </w:p>
          <w:p w14:paraId="7FC6742A">
            <w:pPr>
              <w:spacing w:line="360" w:lineRule="auto"/>
              <w:ind w:firstLine="480" w:firstLineChars="200"/>
              <w:rPr>
                <w:color w:val="000000" w:themeColor="text1"/>
                <w:sz w:val="24"/>
                <w:szCs w:val="22"/>
                <w14:textFill>
                  <w14:solidFill>
                    <w14:schemeClr w14:val="tx1"/>
                  </w14:solidFill>
                </w14:textFill>
              </w:rPr>
            </w:pPr>
            <w:r>
              <w:rPr>
                <w:color w:val="000000" w:themeColor="text1"/>
                <w:sz w:val="24"/>
                <w14:textFill>
                  <w14:solidFill>
                    <w14:schemeClr w14:val="tx1"/>
                  </w14:solidFill>
                </w14:textFill>
              </w:rPr>
              <w:t>项目位于景德镇市乐平市金山工业园内，项目所在区域污水管网</w:t>
            </w:r>
            <w:r>
              <w:rPr>
                <w:rFonts w:hint="eastAsia"/>
                <w:color w:val="000000" w:themeColor="text1"/>
                <w:sz w:val="24"/>
                <w14:textFill>
                  <w14:solidFill>
                    <w14:schemeClr w14:val="tx1"/>
                  </w14:solidFill>
                </w14:textFill>
              </w:rPr>
              <w:t>已建设完成</w:t>
            </w:r>
            <w:r>
              <w:rPr>
                <w:color w:val="000000" w:themeColor="text1"/>
                <w:sz w:val="24"/>
                <w14:textFill>
                  <w14:solidFill>
                    <w14:schemeClr w14:val="tx1"/>
                  </w14:solidFill>
                </w14:textFill>
              </w:rPr>
              <w:t>，待</w:t>
            </w:r>
            <w:r>
              <w:rPr>
                <w:rFonts w:hint="eastAsia"/>
                <w:color w:val="000000" w:themeColor="text1"/>
                <w:sz w:val="24"/>
                <w14:textFill>
                  <w14:solidFill>
                    <w14:schemeClr w14:val="tx1"/>
                  </w14:solidFill>
                </w14:textFill>
              </w:rPr>
              <w:t>金山污水处理厂</w:t>
            </w:r>
            <w:r>
              <w:rPr>
                <w:color w:val="000000" w:themeColor="text1"/>
                <w:sz w:val="24"/>
                <w14:textFill>
                  <w14:solidFill>
                    <w14:schemeClr w14:val="tx1"/>
                  </w14:solidFill>
                </w14:textFill>
              </w:rPr>
              <w:t>投产时可覆盖至本项目区域，能够接纳本项目外排废水。因此，从纳污管网角度分析，本项目外排废水处置方式可行。</w:t>
            </w:r>
          </w:p>
          <w:p w14:paraId="7B636976">
            <w:pPr>
              <w:spacing w:line="360" w:lineRule="auto"/>
              <w:ind w:firstLine="482" w:firstLineChars="200"/>
              <w:jc w:val="left"/>
              <w:rPr>
                <w:b/>
                <w:bCs/>
                <w:snapToGrid w:val="0"/>
                <w:color w:val="000000" w:themeColor="text1"/>
                <w:spacing w:val="4"/>
                <w:sz w:val="24"/>
                <w14:textFill>
                  <w14:solidFill>
                    <w14:schemeClr w14:val="tx1"/>
                  </w14:solidFill>
                </w14:textFill>
              </w:rPr>
            </w:pPr>
            <w:r>
              <w:rPr>
                <w:rFonts w:hint="eastAsia"/>
                <w:b/>
                <w:color w:val="000000" w:themeColor="text1"/>
                <w:sz w:val="24"/>
                <w14:textFill>
                  <w14:solidFill>
                    <w14:schemeClr w14:val="tx1"/>
                  </w14:solidFill>
                </w14:textFill>
              </w:rPr>
              <w:t>3</w:t>
            </w:r>
            <w:r>
              <w:rPr>
                <w:b/>
                <w:color w:val="000000" w:themeColor="text1"/>
                <w:sz w:val="24"/>
                <w14:textFill>
                  <w14:solidFill>
                    <w14:schemeClr w14:val="tx1"/>
                  </w14:solidFill>
                </w14:textFill>
              </w:rPr>
              <w:t>、</w:t>
            </w:r>
            <w:r>
              <w:rPr>
                <w:b/>
                <w:bCs/>
                <w:snapToGrid w:val="0"/>
                <w:color w:val="000000" w:themeColor="text1"/>
                <w:spacing w:val="4"/>
                <w:sz w:val="24"/>
                <w14:textFill>
                  <w14:solidFill>
                    <w14:schemeClr w14:val="tx1"/>
                  </w14:solidFill>
                </w14:textFill>
              </w:rPr>
              <w:t>环保措施可行性</w:t>
            </w:r>
          </w:p>
          <w:p w14:paraId="2FD1DDF6">
            <w:pPr>
              <w:autoSpaceDE w:val="0"/>
              <w:autoSpaceDN w:val="0"/>
              <w:adjustRightInd w:val="0"/>
              <w:spacing w:line="360" w:lineRule="auto"/>
              <w:ind w:firstLine="48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（1）生活污水</w:t>
            </w:r>
          </w:p>
          <w:p w14:paraId="213CF738">
            <w:pPr>
              <w:autoSpaceDE w:val="0"/>
              <w:autoSpaceDN w:val="0"/>
              <w:adjustRightInd w:val="0"/>
              <w:spacing w:line="360" w:lineRule="auto"/>
              <w:ind w:firstLine="48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根据“《排污许可证申请与核发技术规范 总则》（HJ 942-2018）中4.5.3.1”，生活污水防治工艺为“过滤、沉淀-活性污泥法、生物接触氧化、其他”等处理技术或其他。本项目生活污水处理工艺为隔油池+化粪池。</w:t>
            </w:r>
          </w:p>
          <w:p w14:paraId="3AE4D272">
            <w:pPr>
              <w:autoSpaceDE w:val="0"/>
              <w:autoSpaceDN w:val="0"/>
              <w:adjustRightInd w:val="0"/>
              <w:spacing w:line="360" w:lineRule="auto"/>
              <w:ind w:firstLine="48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化粪池是一种利用沉淀和厌氧发酵的原理，去除生活污水中悬浮性有机物的处理设施，属于初级的过渡性生活处理构筑物。污水进入化粪池经过12~24h的沉淀，可去除50%~60%的悬浮物。沉淀下来的污泥经过3个月以上的厌氧发酵分解，使污泥中的有机物分解成稳定的无机物，易腐败的生污泥转化为稳定的熟污泥，改变了污泥的结构，降低了污泥的含水率。定期将污泥清掏外运，填埋或用作肥料，属于可行性技术。</w:t>
            </w:r>
          </w:p>
          <w:p w14:paraId="776A349B">
            <w:pPr>
              <w:autoSpaceDE w:val="0"/>
              <w:autoSpaceDN w:val="0"/>
              <w:adjustRightInd w:val="0"/>
              <w:spacing w:line="360" w:lineRule="auto"/>
              <w:ind w:firstLine="48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隔油池是利用油滴与水的密度差产生上浮作用来去除含油废水中可浮性油类物质的一种废水预处理构筑物。隔油池的构造多采用平流式，含油废水通过配水槽进入平面为矩形的隔油池，沿水平方向缓慢流动，在流动中油品上浮水面，由集油管或设置在池面的刮油机推送到集油管中流入脱水罐。在隔油池中沉淀下来的重油及其他杂质，积聚到池底污泥斗中，通过排泥管进入污泥管。</w:t>
            </w:r>
          </w:p>
          <w:p w14:paraId="40710C4E">
            <w:pPr>
              <w:spacing w:line="360" w:lineRule="auto"/>
              <w:ind w:firstLine="48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（2）工艺废水</w:t>
            </w:r>
          </w:p>
          <w:p w14:paraId="02FA8239">
            <w:pPr>
              <w:spacing w:line="360" w:lineRule="auto"/>
              <w:ind w:firstLine="480"/>
              <w:jc w:val="left"/>
              <w:rPr>
                <w:rFonts w:hint="default" w:eastAsia="宋体"/>
                <w:color w:val="000000" w:themeColor="text1"/>
                <w:sz w:val="24"/>
                <w:lang w:val="en-US" w:eastAsia="zh-CN"/>
                <w14:textFill>
                  <w14:solidFill>
                    <w14:schemeClr w14:val="tx1"/>
                  </w14:solidFill>
                </w14:textFill>
              </w:rPr>
            </w:pPr>
            <w:r>
              <w:rPr>
                <w:rFonts w:hint="eastAsia"/>
                <w:color w:val="000000" w:themeColor="text1"/>
                <w:sz w:val="24"/>
                <w14:textFill>
                  <w14:solidFill>
                    <w14:schemeClr w14:val="tx1"/>
                  </w14:solidFill>
                </w14:textFill>
              </w:rPr>
              <w:t>项目</w:t>
            </w:r>
            <w:r>
              <w:rPr>
                <w:rFonts w:hint="eastAsia"/>
                <w:color w:val="000000" w:themeColor="text1"/>
                <w:sz w:val="24"/>
                <w:lang w:val="en-US" w:eastAsia="zh-CN"/>
                <w14:textFill>
                  <w14:solidFill>
                    <w14:schemeClr w14:val="tx1"/>
                  </w14:solidFill>
                </w14:textFill>
              </w:rPr>
              <w:t>生产废水（</w:t>
            </w:r>
            <w:r>
              <w:rPr>
                <w:rFonts w:hint="eastAsia"/>
                <w:color w:val="000000" w:themeColor="text1"/>
                <w:sz w:val="24"/>
                <w14:textFill>
                  <w14:solidFill>
                    <w14:schemeClr w14:val="tx1"/>
                  </w14:solidFill>
                </w14:textFill>
              </w:rPr>
              <w:t>过水池清洗废水、车辆清洗废水、地面拖洗废水等</w:t>
            </w:r>
            <w:r>
              <w:rPr>
                <w:rFonts w:hint="eastAsia"/>
                <w:color w:val="000000" w:themeColor="text1"/>
                <w:sz w:val="24"/>
                <w:lang w:val="en-US" w:eastAsia="zh-CN"/>
                <w14:textFill>
                  <w14:solidFill>
                    <w14:schemeClr w14:val="tx1"/>
                  </w14:solidFill>
                </w14:textFill>
              </w:rPr>
              <w:t>）</w:t>
            </w:r>
            <w:r>
              <w:rPr>
                <w:rFonts w:hint="eastAsia"/>
                <w:color w:val="000000" w:themeColor="text1"/>
                <w:sz w:val="24"/>
                <w14:textFill>
                  <w14:solidFill>
                    <w14:schemeClr w14:val="tx1"/>
                  </w14:solidFill>
                </w14:textFill>
              </w:rPr>
              <w:t>经沉淀池沉淀后回用</w:t>
            </w:r>
            <w:r>
              <w:rPr>
                <w:rFonts w:hint="eastAsia"/>
                <w:color w:val="000000" w:themeColor="text1"/>
                <w:sz w:val="24"/>
                <w:lang w:eastAsia="zh-CN"/>
                <w14:textFill>
                  <w14:solidFill>
                    <w14:schemeClr w14:val="tx1"/>
                  </w14:solidFill>
                </w14:textFill>
              </w:rPr>
              <w:t>。</w:t>
            </w:r>
            <w:r>
              <w:rPr>
                <w:rFonts w:hint="eastAsia"/>
                <w:color w:val="000000" w:themeColor="text1"/>
                <w:sz w:val="24"/>
                <w:lang w:val="en-US" w:eastAsia="zh-CN"/>
                <w14:textFill>
                  <w14:solidFill>
                    <w14:schemeClr w14:val="tx1"/>
                  </w14:solidFill>
                </w14:textFill>
              </w:rPr>
              <w:t>其中处理</w:t>
            </w:r>
            <w:r>
              <w:rPr>
                <w:rFonts w:hint="eastAsia"/>
                <w:color w:val="000000" w:themeColor="text1"/>
                <w:sz w:val="24"/>
                <w14:textFill>
                  <w14:solidFill>
                    <w14:schemeClr w14:val="tx1"/>
                  </w14:solidFill>
                </w14:textFill>
              </w:rPr>
              <w:t>车辆清洗废水</w:t>
            </w:r>
            <w:r>
              <w:rPr>
                <w:rFonts w:hint="eastAsia"/>
                <w:color w:val="000000" w:themeColor="text1"/>
                <w:sz w:val="24"/>
                <w:lang w:val="en-US" w:eastAsia="zh-CN"/>
                <w14:textFill>
                  <w14:solidFill>
                    <w14:schemeClr w14:val="tx1"/>
                  </w14:solidFill>
                </w14:textFill>
              </w:rPr>
              <w:t>的沉淀池为一级沉淀处理工艺，处理</w:t>
            </w:r>
            <w:r>
              <w:rPr>
                <w:rFonts w:hint="eastAsia"/>
                <w:color w:val="000000" w:themeColor="text1"/>
                <w:sz w:val="24"/>
                <w14:textFill>
                  <w14:solidFill>
                    <w14:schemeClr w14:val="tx1"/>
                  </w14:solidFill>
                </w14:textFill>
              </w:rPr>
              <w:t>过水池清洗废水、地面拖洗废水</w:t>
            </w:r>
            <w:r>
              <w:rPr>
                <w:rFonts w:hint="eastAsia"/>
                <w:color w:val="000000" w:themeColor="text1"/>
                <w:sz w:val="24"/>
                <w:lang w:val="en-US" w:eastAsia="zh-CN"/>
                <w14:textFill>
                  <w14:solidFill>
                    <w14:schemeClr w14:val="tx1"/>
                  </w14:solidFill>
                </w14:textFill>
              </w:rPr>
              <w:t>的</w:t>
            </w:r>
            <w:r>
              <w:rPr>
                <w:rFonts w:hint="eastAsia"/>
                <w:color w:val="000000" w:themeColor="text1"/>
                <w:sz w:val="24"/>
                <w14:textFill>
                  <w14:solidFill>
                    <w14:schemeClr w14:val="tx1"/>
                  </w14:solidFill>
                </w14:textFill>
              </w:rPr>
              <w:t>沉淀池</w:t>
            </w:r>
            <w:r>
              <w:rPr>
                <w:rFonts w:hint="eastAsia"/>
                <w:color w:val="000000" w:themeColor="text1"/>
                <w:sz w:val="24"/>
                <w:lang w:val="en-US" w:eastAsia="zh-CN"/>
                <w14:textFill>
                  <w14:solidFill>
                    <w14:schemeClr w14:val="tx1"/>
                  </w14:solidFill>
                </w14:textFill>
              </w:rPr>
              <w:t>为三级沉淀处理工艺。</w:t>
            </w:r>
          </w:p>
          <w:p w14:paraId="4BF1D8B0">
            <w:pPr>
              <w:spacing w:line="360" w:lineRule="auto"/>
              <w:ind w:firstLine="48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沉淀池是一种用于处理水污染物的技术方法，它能够有效地清除水中的污染物。</w:t>
            </w:r>
            <w:r>
              <w:rPr>
                <w:rFonts w:hint="eastAsia"/>
                <w:color w:val="000000" w:themeColor="text1"/>
                <w:sz w:val="24"/>
                <w:lang w:val="en-US" w:eastAsia="zh-CN"/>
                <w14:textFill>
                  <w14:solidFill>
                    <w14:schemeClr w14:val="tx1"/>
                  </w14:solidFill>
                </w14:textFill>
              </w:rPr>
              <w:t>一级</w:t>
            </w:r>
            <w:r>
              <w:rPr>
                <w:color w:val="000000" w:themeColor="text1"/>
                <w:sz w:val="24"/>
                <w14:textFill>
                  <w14:solidFill>
                    <w14:schemeClr w14:val="tx1"/>
                  </w14:solidFill>
                </w14:textFill>
              </w:rPr>
              <w:t>沉淀池的工作原理是：将污水先进行溶解性物质的净化，然后进行颗粒性物质的净化。污水中的颗粒性物质会往下沉，而在池底和池中的液面上形成浮渣，当这些污染物在水中的浓度达到一定程度时，这些污染物会被过滤出来，最终在池底或池中沉淀。</w:t>
            </w:r>
          </w:p>
          <w:p w14:paraId="4238789E">
            <w:pPr>
              <w:spacing w:line="360" w:lineRule="auto"/>
              <w:ind w:firstLine="480"/>
              <w:jc w:val="left"/>
              <w:rPr>
                <w:color w:val="000000" w:themeColor="text1"/>
                <w:sz w:val="24"/>
                <w14:textFill>
                  <w14:solidFill>
                    <w14:schemeClr w14:val="tx1"/>
                  </w14:solidFill>
                </w14:textFill>
              </w:rPr>
            </w:pPr>
            <w:r>
              <w:rPr>
                <w:color w:val="000000" w:themeColor="text1"/>
                <w:sz w:val="24"/>
                <w:lang w:val="en-US" w:eastAsia="zh-CN"/>
                <w14:textFill>
                  <w14:solidFill>
                    <w14:schemeClr w14:val="tx1"/>
                  </w14:solidFill>
                </w14:textFill>
              </w:rPr>
              <w:t>项目</w:t>
            </w:r>
            <w:r>
              <w:rPr>
                <w:rFonts w:hint="eastAsia"/>
                <w:color w:val="000000" w:themeColor="text1"/>
                <w:sz w:val="24"/>
                <w14:textFill>
                  <w14:solidFill>
                    <w14:schemeClr w14:val="tx1"/>
                  </w14:solidFill>
                </w14:textFill>
              </w:rPr>
              <w:t>过水池清洗废水</w:t>
            </w:r>
            <w:r>
              <w:rPr>
                <w:color w:val="000000" w:themeColor="text1"/>
                <w:sz w:val="24"/>
                <w:lang w:val="en-US" w:eastAsia="zh-CN"/>
                <w14:textFill>
                  <w14:solidFill>
                    <w14:schemeClr w14:val="tx1"/>
                  </w14:solidFill>
                </w14:textFill>
              </w:rPr>
              <w:t>、</w:t>
            </w:r>
            <w:r>
              <w:rPr>
                <w:rFonts w:hint="eastAsia"/>
                <w:color w:val="000000" w:themeColor="text1"/>
                <w:sz w:val="24"/>
                <w14:textFill>
                  <w14:solidFill>
                    <w14:schemeClr w14:val="tx1"/>
                  </w14:solidFill>
                </w14:textFill>
              </w:rPr>
              <w:t>地面拖洗废水</w:t>
            </w:r>
            <w:r>
              <w:rPr>
                <w:rFonts w:hint="eastAsia"/>
                <w:color w:val="000000" w:themeColor="text1"/>
                <w:sz w:val="24"/>
                <w:lang w:val="en-US" w:eastAsia="zh-CN"/>
                <w14:textFill>
                  <w14:solidFill>
                    <w14:schemeClr w14:val="tx1"/>
                  </w14:solidFill>
                </w14:textFill>
              </w:rPr>
              <w:t>经沉淀池（</w:t>
            </w:r>
            <w:r>
              <w:rPr>
                <w:rFonts w:hint="eastAsia"/>
                <w:color w:val="000000" w:themeColor="text1"/>
                <w:sz w:val="24"/>
                <w14:textFill>
                  <w14:solidFill>
                    <w14:schemeClr w14:val="tx1"/>
                  </w14:solidFill>
                </w14:textFill>
              </w:rPr>
              <w:t>三级沉淀</w:t>
            </w:r>
            <w:r>
              <w:rPr>
                <w:rFonts w:hint="eastAsia"/>
                <w:color w:val="000000" w:themeColor="text1"/>
                <w:sz w:val="24"/>
                <w:lang w:val="en-US" w:eastAsia="zh-CN"/>
                <w14:textFill>
                  <w14:solidFill>
                    <w14:schemeClr w14:val="tx1"/>
                  </w14:solidFill>
                </w14:textFill>
              </w:rPr>
              <w:t>）</w:t>
            </w:r>
            <w:r>
              <w:rPr>
                <w:rFonts w:hint="eastAsia"/>
                <w:color w:val="000000" w:themeColor="text1"/>
                <w:sz w:val="24"/>
                <w14:textFill>
                  <w14:solidFill>
                    <w14:schemeClr w14:val="tx1"/>
                  </w14:solidFill>
                </w14:textFill>
              </w:rPr>
              <w:t>分级沉降，可有效去除生产废水中的悬浮物</w:t>
            </w:r>
            <w:r>
              <w:rPr>
                <w:rFonts w:hint="eastAsia"/>
                <w:color w:val="000000" w:themeColor="text1"/>
                <w:sz w:val="24"/>
                <w:lang w:eastAsia="zh-CN"/>
                <w14:textFill>
                  <w14:solidFill>
                    <w14:schemeClr w14:val="tx1"/>
                  </w14:solidFill>
                </w14:textFill>
              </w:rPr>
              <w:t>。</w:t>
            </w:r>
            <w:r>
              <w:rPr>
                <w:rFonts w:hint="eastAsia"/>
                <w:color w:val="000000" w:themeColor="text1"/>
                <w:sz w:val="24"/>
                <w:lang w:val="en-US" w:eastAsia="zh-CN"/>
                <w14:textFill>
                  <w14:solidFill>
                    <w14:schemeClr w14:val="tx1"/>
                  </w14:solidFill>
                </w14:textFill>
              </w:rPr>
              <w:t>废水</w:t>
            </w:r>
            <w:r>
              <w:rPr>
                <w:color w:val="000000" w:themeColor="text1"/>
                <w:sz w:val="24"/>
                <w:lang w:val="en-US" w:eastAsia="zh-CN"/>
                <w14:textFill>
                  <w14:solidFill>
                    <w14:schemeClr w14:val="tx1"/>
                  </w14:solidFill>
                </w14:textFill>
              </w:rPr>
              <w:t>先经砂石分离机去除大颗粒砂石骨料（粒径≥0.1mm），再进入三级沉淀</w:t>
            </w:r>
            <w:r>
              <w:rPr>
                <w:rFonts w:hint="eastAsia"/>
                <w:color w:val="000000" w:themeColor="text1"/>
                <w:sz w:val="24"/>
                <w:lang w:val="en-US" w:eastAsia="zh-CN"/>
                <w14:textFill>
                  <w14:solidFill>
                    <w14:schemeClr w14:val="tx1"/>
                  </w14:solidFill>
                </w14:textFill>
              </w:rPr>
              <w:t>单元</w:t>
            </w:r>
            <w:r>
              <w:rPr>
                <w:color w:val="000000" w:themeColor="text1"/>
                <w:sz w:val="24"/>
                <w:lang w:val="en-US" w:eastAsia="zh-CN"/>
                <w14:textFill>
                  <w14:solidFill>
                    <w14:schemeClr w14:val="tx1"/>
                  </w14:solidFill>
                </w14:textFill>
              </w:rPr>
              <w:t>分级处理，每一级沉淀</w:t>
            </w:r>
            <w:r>
              <w:rPr>
                <w:rFonts w:hint="eastAsia"/>
                <w:color w:val="000000" w:themeColor="text1"/>
                <w:sz w:val="24"/>
                <w:lang w:val="en-US" w:eastAsia="zh-CN"/>
                <w14:textFill>
                  <w14:solidFill>
                    <w14:schemeClr w14:val="tx1"/>
                  </w14:solidFill>
                </w14:textFill>
              </w:rPr>
              <w:t>单元</w:t>
            </w:r>
            <w:r>
              <w:rPr>
                <w:color w:val="000000" w:themeColor="text1"/>
                <w:sz w:val="24"/>
                <w:lang w:val="en-US" w:eastAsia="zh-CN"/>
                <w14:textFill>
                  <w14:solidFill>
                    <w14:schemeClr w14:val="tx1"/>
                  </w14:solidFill>
                </w14:textFill>
              </w:rPr>
              <w:t>分工明确、层层递进，确保污染物逐步去除。一级沉淀</w:t>
            </w:r>
            <w:r>
              <w:rPr>
                <w:rFonts w:hint="eastAsia" w:ascii="Times New Roman" w:eastAsia="宋体"/>
                <w:color w:val="000000" w:themeColor="text1"/>
                <w:sz w:val="24"/>
                <w:lang w:val="en-US" w:eastAsia="zh-CN"/>
                <w14:textFill>
                  <w14:solidFill>
                    <w14:schemeClr w14:val="tx1"/>
                  </w14:solidFill>
                </w14:textFill>
              </w:rPr>
              <w:t>单元</w:t>
            </w:r>
            <w:r>
              <w:rPr>
                <w:color w:val="000000" w:themeColor="text1"/>
                <w:sz w:val="24"/>
                <w:lang w:val="en-US" w:eastAsia="zh-CN"/>
                <w14:textFill>
                  <w14:solidFill>
                    <w14:schemeClr w14:val="tx1"/>
                  </w14:solidFill>
                </w14:textFill>
              </w:rPr>
              <w:t>主要去除废水中悬浮的粗颗粒杂质（粒径0.05-0.1mm），如未分离彻底的砂石碎屑、水泥残渣，通过重力沉降实现初步固液分离，去除率可达8</w:t>
            </w:r>
            <w:r>
              <w:rPr>
                <w:rFonts w:hint="eastAsia"/>
                <w:color w:val="000000" w:themeColor="text1"/>
                <w:sz w:val="24"/>
                <w:lang w:val="en-US" w:eastAsia="zh-CN"/>
                <w14:textFill>
                  <w14:solidFill>
                    <w14:schemeClr w14:val="tx1"/>
                  </w14:solidFill>
                </w14:textFill>
              </w:rPr>
              <w:t>0</w:t>
            </w:r>
            <w:r>
              <w:rPr>
                <w:color w:val="000000" w:themeColor="text1"/>
                <w:sz w:val="24"/>
                <w:lang w:val="en-US" w:eastAsia="zh-CN"/>
                <w14:textFill>
                  <w14:solidFill>
                    <w14:schemeClr w14:val="tx1"/>
                  </w14:solidFill>
                </w14:textFill>
              </w:rPr>
              <w:t>%以上；二级沉淀</w:t>
            </w:r>
            <w:r>
              <w:rPr>
                <w:rFonts w:hint="eastAsia" w:ascii="Times New Roman" w:eastAsia="宋体"/>
                <w:color w:val="000000" w:themeColor="text1"/>
                <w:sz w:val="24"/>
                <w:lang w:val="en-US" w:eastAsia="zh-CN"/>
                <w14:textFill>
                  <w14:solidFill>
                    <w14:schemeClr w14:val="tx1"/>
                  </w14:solidFill>
                </w14:textFill>
              </w:rPr>
              <w:t>单元</w:t>
            </w:r>
            <w:r>
              <w:rPr>
                <w:color w:val="000000" w:themeColor="text1"/>
                <w:sz w:val="24"/>
                <w:lang w:val="en-US" w:eastAsia="zh-CN"/>
                <w14:textFill>
                  <w14:solidFill>
                    <w14:schemeClr w14:val="tx1"/>
                  </w14:solidFill>
                </w14:textFill>
              </w:rPr>
              <w:t>聚焦细颗粒悬浮物（粒径0.01-0.05mm），进一步降低废水浊度，悬浮物去除率提升至</w:t>
            </w:r>
            <w:r>
              <w:rPr>
                <w:rFonts w:hint="eastAsia"/>
                <w:color w:val="000000" w:themeColor="text1"/>
                <w:sz w:val="24"/>
                <w:lang w:val="en-US" w:eastAsia="zh-CN"/>
                <w14:textFill>
                  <w14:solidFill>
                    <w14:schemeClr w14:val="tx1"/>
                  </w14:solidFill>
                </w14:textFill>
              </w:rPr>
              <w:t>85</w:t>
            </w:r>
            <w:r>
              <w:rPr>
                <w:color w:val="000000" w:themeColor="text1"/>
                <w:sz w:val="24"/>
                <w:lang w:val="en-US" w:eastAsia="zh-CN"/>
                <w14:textFill>
                  <w14:solidFill>
                    <w14:schemeClr w14:val="tx1"/>
                  </w14:solidFill>
                </w14:textFill>
              </w:rPr>
              <w:t>%以上；三级沉淀</w:t>
            </w:r>
            <w:r>
              <w:rPr>
                <w:rFonts w:hint="eastAsia" w:ascii="Times New Roman" w:eastAsia="宋体"/>
                <w:color w:val="000000" w:themeColor="text1"/>
                <w:sz w:val="24"/>
                <w:lang w:val="en-US" w:eastAsia="zh-CN"/>
                <w14:textFill>
                  <w14:solidFill>
                    <w14:schemeClr w14:val="tx1"/>
                  </w14:solidFill>
                </w14:textFill>
              </w:rPr>
              <w:t>单元</w:t>
            </w:r>
            <w:r>
              <w:rPr>
                <w:color w:val="000000" w:themeColor="text1"/>
                <w:sz w:val="24"/>
                <w:lang w:val="en-US" w:eastAsia="zh-CN"/>
                <w14:textFill>
                  <w14:solidFill>
                    <w14:schemeClr w14:val="tx1"/>
                  </w14:solidFill>
                </w14:textFill>
              </w:rPr>
              <w:t>为深度沉淀，主要去除水中细小悬浮颗粒、微量水泥絮状物，确保废水澄清度满足回用要求，经三级处理后，废水悬浮物悬浮物去除率提升至</w:t>
            </w:r>
            <w:r>
              <w:rPr>
                <w:rFonts w:hint="eastAsia"/>
                <w:color w:val="000000" w:themeColor="text1"/>
                <w:sz w:val="24"/>
                <w:lang w:val="en-US" w:eastAsia="zh-CN"/>
                <w14:textFill>
                  <w14:solidFill>
                    <w14:schemeClr w14:val="tx1"/>
                  </w14:solidFill>
                </w14:textFill>
              </w:rPr>
              <w:t>90</w:t>
            </w:r>
            <w:r>
              <w:rPr>
                <w:color w:val="000000" w:themeColor="text1"/>
                <w:sz w:val="24"/>
                <w:lang w:val="en-US" w:eastAsia="zh-CN"/>
                <w14:textFill>
                  <w14:solidFill>
                    <w14:schemeClr w14:val="tx1"/>
                  </w14:solidFill>
                </w14:textFill>
              </w:rPr>
              <w:t>%以上。</w:t>
            </w:r>
            <w:r>
              <w:rPr>
                <w:rFonts w:hint="eastAsia"/>
                <w:color w:val="000000" w:themeColor="text1"/>
                <w:sz w:val="24"/>
                <w:lang w:val="en-US" w:eastAsia="zh-CN"/>
                <w14:textFill>
                  <w14:solidFill>
                    <w14:schemeClr w14:val="tx1"/>
                  </w14:solidFill>
                </w14:textFill>
              </w:rPr>
              <w:t>根据表4-11，项目废水经处理后污水中各污染物均达到《城市污水再生利用工业用水水质》（GB/T19923-2024）中水回用工业洗涤用水标准，污水处理措施可行。</w:t>
            </w:r>
          </w:p>
          <w:p w14:paraId="1812B54D">
            <w:pPr>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综上所述，</w:t>
            </w:r>
            <w:r>
              <w:rPr>
                <w:rFonts w:hint="eastAsia"/>
                <w:color w:val="000000" w:themeColor="text1"/>
                <w:sz w:val="24"/>
                <w14:textFill>
                  <w14:solidFill>
                    <w14:schemeClr w14:val="tx1"/>
                  </w14:solidFill>
                </w14:textFill>
              </w:rPr>
              <w:t>生活污水通过隔油池+化粪池处理，工艺废水经</w:t>
            </w:r>
            <w:r>
              <w:rPr>
                <w:color w:val="000000" w:themeColor="text1"/>
                <w:sz w:val="24"/>
                <w14:textFill>
                  <w14:solidFill>
                    <w14:schemeClr w14:val="tx1"/>
                  </w14:solidFill>
                </w14:textFill>
              </w:rPr>
              <w:t>自建的洗涤用水循环系统，本项目产生的工艺废水可完全回用于</w:t>
            </w:r>
            <w:r>
              <w:rPr>
                <w:rFonts w:hint="eastAsia"/>
                <w:color w:val="000000" w:themeColor="text1"/>
                <w:sz w:val="24"/>
                <w14:textFill>
                  <w14:solidFill>
                    <w14:schemeClr w14:val="tx1"/>
                  </w14:solidFill>
                </w14:textFill>
              </w:rPr>
              <w:t>生产</w:t>
            </w:r>
            <w:r>
              <w:rPr>
                <w:color w:val="000000" w:themeColor="text1"/>
                <w:sz w:val="24"/>
                <w14:textFill>
                  <w14:solidFill>
                    <w14:schemeClr w14:val="tx1"/>
                  </w14:solidFill>
                </w14:textFill>
              </w:rPr>
              <w:t>工序，不产生废水外排。因此，本项目所采取的措施可行。</w:t>
            </w:r>
          </w:p>
          <w:p w14:paraId="20C20AE4">
            <w:pPr>
              <w:spacing w:line="360" w:lineRule="auto"/>
              <w:ind w:firstLine="498" w:firstLineChars="200"/>
              <w:rPr>
                <w:b/>
                <w:snapToGrid w:val="0"/>
                <w:color w:val="000000" w:themeColor="text1"/>
                <w:spacing w:val="4"/>
                <w:kern w:val="18"/>
                <w:sz w:val="24"/>
                <w14:textFill>
                  <w14:solidFill>
                    <w14:schemeClr w14:val="tx1"/>
                  </w14:solidFill>
                </w14:textFill>
              </w:rPr>
            </w:pPr>
            <w:r>
              <w:rPr>
                <w:rFonts w:hint="eastAsia"/>
                <w:b/>
                <w:snapToGrid w:val="0"/>
                <w:color w:val="000000" w:themeColor="text1"/>
                <w:spacing w:val="4"/>
                <w:kern w:val="18"/>
                <w:sz w:val="24"/>
                <w14:textFill>
                  <w14:solidFill>
                    <w14:schemeClr w14:val="tx1"/>
                  </w14:solidFill>
                </w14:textFill>
              </w:rPr>
              <w:t>4</w:t>
            </w:r>
            <w:r>
              <w:rPr>
                <w:b/>
                <w:snapToGrid w:val="0"/>
                <w:color w:val="000000" w:themeColor="text1"/>
                <w:spacing w:val="4"/>
                <w:kern w:val="18"/>
                <w:sz w:val="24"/>
                <w14:textFill>
                  <w14:solidFill>
                    <w14:schemeClr w14:val="tx1"/>
                  </w14:solidFill>
                </w14:textFill>
              </w:rPr>
              <w:t>、监测计划</w:t>
            </w:r>
          </w:p>
          <w:p w14:paraId="4F287DFB">
            <w:pPr>
              <w:pStyle w:val="337"/>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根据《排污单位自行监测技术指南 总则》（（HJ 819-2017）、《排污许可证申请与核发技术规范 总则》（HJ942—2018）</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生活污水排放口不需监测，因此本项目不需安排环境监测计划</w:t>
            </w:r>
            <w:r>
              <w:rPr>
                <w:color w:val="000000" w:themeColor="text1"/>
                <w:sz w:val="24"/>
                <w14:textFill>
                  <w14:solidFill>
                    <w14:schemeClr w14:val="tx1"/>
                  </w14:solidFill>
                </w14:textFill>
              </w:rPr>
              <w:t>。</w:t>
            </w:r>
          </w:p>
          <w:p w14:paraId="5F75E604">
            <w:pPr>
              <w:pStyle w:val="337"/>
              <w:ind w:firstLine="482"/>
              <w:jc w:val="left"/>
              <w:rPr>
                <w:rFonts w:cs="Times New Roman"/>
                <w:b/>
                <w:color w:val="000000" w:themeColor="text1"/>
                <w:sz w:val="24"/>
                <w14:textFill>
                  <w14:solidFill>
                    <w14:schemeClr w14:val="tx1"/>
                  </w14:solidFill>
                </w14:textFill>
              </w:rPr>
            </w:pPr>
            <w:r>
              <w:rPr>
                <w:rFonts w:cs="Times New Roman"/>
                <w:b/>
                <w:color w:val="000000" w:themeColor="text1"/>
                <w:sz w:val="24"/>
                <w14:textFill>
                  <w14:solidFill>
                    <w14:schemeClr w14:val="tx1"/>
                  </w14:solidFill>
                </w14:textFill>
              </w:rPr>
              <w:t>三、运营期噪声环境影响和保护措施</w:t>
            </w:r>
          </w:p>
          <w:p w14:paraId="49060D81">
            <w:pPr>
              <w:snapToGrid w:val="0"/>
              <w:spacing w:line="360" w:lineRule="auto"/>
              <w:ind w:firstLine="482" w:firstLineChars="200"/>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1、噪声污染源情况</w:t>
            </w:r>
          </w:p>
          <w:p w14:paraId="0840F6D7">
            <w:pPr>
              <w:autoSpaceDE w:val="0"/>
              <w:autoSpaceDN w:val="0"/>
              <w:adjustRightInd w:val="0"/>
              <w:spacing w:line="360" w:lineRule="auto"/>
              <w:ind w:firstLine="480" w:firstLineChars="200"/>
              <w:rPr>
                <w:b/>
                <w:bCs/>
                <w:color w:val="000000" w:themeColor="text1"/>
                <w:kern w:val="21"/>
                <w:sz w:val="24"/>
                <w14:textFill>
                  <w14:solidFill>
                    <w14:schemeClr w14:val="tx1"/>
                  </w14:solidFill>
                </w14:textFill>
              </w:rPr>
            </w:pPr>
            <w:r>
              <w:rPr>
                <w:rFonts w:hint="eastAsia"/>
                <w:color w:val="000000" w:themeColor="text1"/>
                <w:sz w:val="24"/>
                <w14:textFill>
                  <w14:solidFill>
                    <w14:schemeClr w14:val="tx1"/>
                  </w14:solidFill>
                </w14:textFill>
              </w:rPr>
              <w:t>本项目产生的噪声主要是设备运行噪声，</w:t>
            </w:r>
            <w:r>
              <w:rPr>
                <w:color w:val="000000" w:themeColor="text1"/>
                <w:sz w:val="24"/>
                <w14:textFill>
                  <w14:solidFill>
                    <w14:schemeClr w14:val="tx1"/>
                  </w14:solidFill>
                </w14:textFill>
              </w:rPr>
              <w:t>详见下表。</w:t>
            </w:r>
          </w:p>
          <w:p w14:paraId="3F4A5BF0">
            <w:pPr>
              <w:jc w:val="center"/>
              <w:rPr>
                <w:b/>
                <w:bCs/>
                <w:color w:val="000000" w:themeColor="text1"/>
                <w:kern w:val="21"/>
                <w:sz w:val="24"/>
                <w14:textFill>
                  <w14:solidFill>
                    <w14:schemeClr w14:val="tx1"/>
                  </w14:solidFill>
                </w14:textFill>
              </w:rPr>
            </w:pPr>
            <w:r>
              <w:rPr>
                <w:rFonts w:hint="eastAsia"/>
                <w:b/>
                <w:bCs/>
                <w:color w:val="000000" w:themeColor="text1"/>
                <w:kern w:val="21"/>
                <w:sz w:val="24"/>
                <w14:textFill>
                  <w14:solidFill>
                    <w14:schemeClr w14:val="tx1"/>
                  </w14:solidFill>
                </w14:textFill>
              </w:rPr>
              <w:t>表</w:t>
            </w:r>
            <w:r>
              <w:rPr>
                <w:b/>
                <w:bCs/>
                <w:color w:val="000000" w:themeColor="text1"/>
                <w:kern w:val="21"/>
                <w:sz w:val="24"/>
                <w14:textFill>
                  <w14:solidFill>
                    <w14:schemeClr w14:val="tx1"/>
                  </w14:solidFill>
                </w14:textFill>
              </w:rPr>
              <w:t>4-</w:t>
            </w:r>
            <w:r>
              <w:rPr>
                <w:rFonts w:hint="eastAsia"/>
                <w:b/>
                <w:bCs/>
                <w:color w:val="000000" w:themeColor="text1"/>
                <w:kern w:val="21"/>
                <w:sz w:val="24"/>
                <w14:textFill>
                  <w14:solidFill>
                    <w14:schemeClr w14:val="tx1"/>
                  </w14:solidFill>
                </w14:textFill>
              </w:rPr>
              <w:t>14</w:t>
            </w:r>
            <w:r>
              <w:rPr>
                <w:b/>
                <w:bCs/>
                <w:color w:val="000000" w:themeColor="text1"/>
                <w:kern w:val="21"/>
                <w:sz w:val="24"/>
                <w14:textFill>
                  <w14:solidFill>
                    <w14:schemeClr w14:val="tx1"/>
                  </w14:solidFill>
                </w14:textFill>
              </w:rPr>
              <w:t xml:space="preserve">  </w:t>
            </w:r>
            <w:r>
              <w:rPr>
                <w:rFonts w:hint="eastAsia"/>
                <w:b/>
                <w:bCs/>
                <w:color w:val="000000" w:themeColor="text1"/>
                <w:kern w:val="21"/>
                <w:sz w:val="24"/>
                <w14:textFill>
                  <w14:solidFill>
                    <w14:schemeClr w14:val="tx1"/>
                  </w14:solidFill>
                </w14:textFill>
              </w:rPr>
              <w:t>项目噪声源强调查清单（室内声源）</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0" w:type="dxa"/>
                <w:bottom w:w="0" w:type="dxa"/>
                <w:right w:w="0" w:type="dxa"/>
              </w:tblCellMar>
            </w:tblPr>
            <w:tblGrid>
              <w:gridCol w:w="299"/>
              <w:gridCol w:w="718"/>
              <w:gridCol w:w="789"/>
              <w:gridCol w:w="1099"/>
              <w:gridCol w:w="955"/>
              <w:gridCol w:w="495"/>
              <w:gridCol w:w="458"/>
              <w:gridCol w:w="280"/>
              <w:gridCol w:w="345"/>
              <w:gridCol w:w="435"/>
              <w:gridCol w:w="345"/>
              <w:gridCol w:w="435"/>
              <w:gridCol w:w="357"/>
              <w:gridCol w:w="480"/>
              <w:gridCol w:w="570"/>
              <w:gridCol w:w="395"/>
              <w:gridCol w:w="618"/>
              <w:gridCol w:w="414"/>
              <w:gridCol w:w="414"/>
              <w:gridCol w:w="414"/>
              <w:gridCol w:w="422"/>
              <w:gridCol w:w="435"/>
              <w:gridCol w:w="435"/>
              <w:gridCol w:w="435"/>
              <w:gridCol w:w="435"/>
              <w:gridCol w:w="1132"/>
            </w:tblGrid>
            <w:tr w14:paraId="7A3A2FB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70" w:hRule="atLeast"/>
              </w:trPr>
              <w:tc>
                <w:tcPr>
                  <w:tcW w:w="114" w:type="pct"/>
                  <w:vMerge w:val="restart"/>
                  <w:vAlign w:val="center"/>
                </w:tcPr>
                <w:p w14:paraId="6F246435">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序号</w:t>
                  </w:r>
                </w:p>
              </w:tc>
              <w:tc>
                <w:tcPr>
                  <w:tcW w:w="268" w:type="pct"/>
                  <w:vMerge w:val="restart"/>
                  <w:vAlign w:val="center"/>
                </w:tcPr>
                <w:p w14:paraId="514EE843">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建筑物名称</w:t>
                  </w:r>
                </w:p>
              </w:tc>
              <w:tc>
                <w:tcPr>
                  <w:tcW w:w="294" w:type="pct"/>
                  <w:vMerge w:val="restart"/>
                  <w:vAlign w:val="center"/>
                </w:tcPr>
                <w:p w14:paraId="198E33C8">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声源名称</w:t>
                  </w:r>
                </w:p>
              </w:tc>
              <w:tc>
                <w:tcPr>
                  <w:tcW w:w="408" w:type="pct"/>
                  <w:vAlign w:val="center"/>
                </w:tcPr>
                <w:p w14:paraId="5196C5BE">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声源源强</w:t>
                  </w:r>
                </w:p>
              </w:tc>
              <w:tc>
                <w:tcPr>
                  <w:tcW w:w="355" w:type="pct"/>
                  <w:vMerge w:val="restart"/>
                  <w:vAlign w:val="center"/>
                </w:tcPr>
                <w:p w14:paraId="3C7E134A">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声源控制措施</w:t>
                  </w:r>
                </w:p>
              </w:tc>
              <w:tc>
                <w:tcPr>
                  <w:tcW w:w="465" w:type="pct"/>
                  <w:gridSpan w:val="3"/>
                  <w:vAlign w:val="center"/>
                </w:tcPr>
                <w:p w14:paraId="4E7F38CE">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空间相对位置</w:t>
                  </w:r>
                  <w:r>
                    <w:rPr>
                      <w:b/>
                      <w:color w:val="000000" w:themeColor="text1"/>
                      <w:kern w:val="0"/>
                      <w:sz w:val="18"/>
                      <w:szCs w:val="18"/>
                      <w:lang w:bidi="ar"/>
                      <w14:textFill>
                        <w14:solidFill>
                          <w14:schemeClr w14:val="tx1"/>
                        </w14:solidFill>
                      </w14:textFill>
                    </w:rPr>
                    <w:t>/m</w:t>
                  </w:r>
                </w:p>
              </w:tc>
              <w:tc>
                <w:tcPr>
                  <w:tcW w:w="579" w:type="pct"/>
                  <w:gridSpan w:val="4"/>
                  <w:vAlign w:val="center"/>
                </w:tcPr>
                <w:p w14:paraId="7D1A5651">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距室内边界距离</w:t>
                  </w:r>
                  <w:r>
                    <w:rPr>
                      <w:b/>
                      <w:color w:val="000000" w:themeColor="text1"/>
                      <w:kern w:val="0"/>
                      <w:sz w:val="18"/>
                      <w:szCs w:val="18"/>
                      <w:lang w:bidi="ar"/>
                      <w14:textFill>
                        <w14:solidFill>
                          <w14:schemeClr w14:val="tx1"/>
                        </w14:solidFill>
                      </w14:textFill>
                    </w:rPr>
                    <w:t>/m</w:t>
                  </w:r>
                </w:p>
              </w:tc>
              <w:tc>
                <w:tcPr>
                  <w:tcW w:w="584" w:type="pct"/>
                  <w:gridSpan w:val="4"/>
                  <w:vAlign w:val="center"/>
                </w:tcPr>
                <w:p w14:paraId="1BA6BA33">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室内边界声级</w:t>
                  </w:r>
                  <w:r>
                    <w:rPr>
                      <w:b/>
                      <w:color w:val="000000" w:themeColor="text1"/>
                      <w:kern w:val="0"/>
                      <w:sz w:val="18"/>
                      <w:szCs w:val="18"/>
                      <w:lang w:bidi="ar"/>
                      <w14:textFill>
                        <w14:solidFill>
                          <w14:schemeClr w14:val="tx1"/>
                        </w14:solidFill>
                      </w14:textFill>
                    </w:rPr>
                    <w:t>/dB(A)</w:t>
                  </w:r>
                </w:p>
              </w:tc>
              <w:tc>
                <w:tcPr>
                  <w:tcW w:w="231" w:type="pct"/>
                  <w:vMerge w:val="restart"/>
                  <w:vAlign w:val="center"/>
                </w:tcPr>
                <w:p w14:paraId="368AF04D">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运行时段</w:t>
                  </w:r>
                </w:p>
              </w:tc>
              <w:tc>
                <w:tcPr>
                  <w:tcW w:w="627" w:type="pct"/>
                  <w:gridSpan w:val="4"/>
                  <w:vAlign w:val="center"/>
                </w:tcPr>
                <w:p w14:paraId="1A43520E">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建筑物插入损失</w:t>
                  </w:r>
                  <w:r>
                    <w:rPr>
                      <w:b/>
                      <w:color w:val="000000" w:themeColor="text1"/>
                      <w:kern w:val="0"/>
                      <w:sz w:val="18"/>
                      <w:szCs w:val="18"/>
                      <w:lang w:bidi="ar"/>
                      <w14:textFill>
                        <w14:solidFill>
                          <w14:schemeClr w14:val="tx1"/>
                        </w14:solidFill>
                      </w14:textFill>
                    </w:rPr>
                    <w:t xml:space="preserve"> / dB(A)</w:t>
                  </w:r>
                </w:p>
              </w:tc>
              <w:tc>
                <w:tcPr>
                  <w:tcW w:w="1070" w:type="pct"/>
                  <w:gridSpan w:val="5"/>
                  <w:vAlign w:val="center"/>
                </w:tcPr>
                <w:p w14:paraId="6EE9B69A">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建筑物外噪声声压级</w:t>
                  </w:r>
                  <w:r>
                    <w:rPr>
                      <w:b/>
                      <w:color w:val="000000" w:themeColor="text1"/>
                      <w:kern w:val="0"/>
                      <w:sz w:val="18"/>
                      <w:szCs w:val="18"/>
                      <w:lang w:bidi="ar"/>
                      <w14:textFill>
                        <w14:solidFill>
                          <w14:schemeClr w14:val="tx1"/>
                        </w14:solidFill>
                      </w14:textFill>
                    </w:rPr>
                    <w:t>/dB(A)</w:t>
                  </w:r>
                </w:p>
              </w:tc>
            </w:tr>
            <w:tr w14:paraId="2124093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540" w:hRule="atLeast"/>
              </w:trPr>
              <w:tc>
                <w:tcPr>
                  <w:tcW w:w="114" w:type="pct"/>
                  <w:vMerge w:val="continue"/>
                  <w:vAlign w:val="center"/>
                </w:tcPr>
                <w:p w14:paraId="6C891E0A">
                  <w:pPr>
                    <w:widowControl/>
                    <w:jc w:val="center"/>
                    <w:rPr>
                      <w:rFonts w:cs="宋体"/>
                      <w:b/>
                      <w:color w:val="000000" w:themeColor="text1"/>
                      <w:sz w:val="18"/>
                      <w:szCs w:val="18"/>
                      <w14:textFill>
                        <w14:solidFill>
                          <w14:schemeClr w14:val="tx1"/>
                        </w14:solidFill>
                      </w14:textFill>
                    </w:rPr>
                  </w:pPr>
                </w:p>
              </w:tc>
              <w:tc>
                <w:tcPr>
                  <w:tcW w:w="268" w:type="pct"/>
                  <w:vMerge w:val="continue"/>
                  <w:vAlign w:val="center"/>
                </w:tcPr>
                <w:p w14:paraId="1F610F31">
                  <w:pPr>
                    <w:widowControl/>
                    <w:jc w:val="center"/>
                    <w:rPr>
                      <w:rFonts w:cs="宋体"/>
                      <w:b/>
                      <w:color w:val="000000" w:themeColor="text1"/>
                      <w:sz w:val="18"/>
                      <w:szCs w:val="18"/>
                      <w14:textFill>
                        <w14:solidFill>
                          <w14:schemeClr w14:val="tx1"/>
                        </w14:solidFill>
                      </w14:textFill>
                    </w:rPr>
                  </w:pPr>
                </w:p>
              </w:tc>
              <w:tc>
                <w:tcPr>
                  <w:tcW w:w="294" w:type="pct"/>
                  <w:vMerge w:val="continue"/>
                  <w:vAlign w:val="center"/>
                </w:tcPr>
                <w:p w14:paraId="1500814C">
                  <w:pPr>
                    <w:widowControl/>
                    <w:jc w:val="center"/>
                    <w:rPr>
                      <w:rFonts w:cs="宋体"/>
                      <w:b/>
                      <w:color w:val="000000" w:themeColor="text1"/>
                      <w:sz w:val="18"/>
                      <w:szCs w:val="18"/>
                      <w14:textFill>
                        <w14:solidFill>
                          <w14:schemeClr w14:val="tx1"/>
                        </w14:solidFill>
                      </w14:textFill>
                    </w:rPr>
                  </w:pPr>
                </w:p>
              </w:tc>
              <w:tc>
                <w:tcPr>
                  <w:tcW w:w="408" w:type="pct"/>
                  <w:shd w:val="clear" w:color="auto" w:fill="FFFFFF"/>
                  <w:vAlign w:val="center"/>
                </w:tcPr>
                <w:p w14:paraId="0962E634">
                  <w:pPr>
                    <w:widowControl/>
                    <w:jc w:val="center"/>
                    <w:textAlignment w:val="center"/>
                    <w:rPr>
                      <w:rFonts w:hint="default" w:eastAsia="宋体" w:cs="宋体"/>
                      <w:b/>
                      <w:color w:val="000000" w:themeColor="text1"/>
                      <w:sz w:val="18"/>
                      <w:szCs w:val="18"/>
                      <w:lang w:val="en-US" w:eastAsia="zh-CN"/>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声功率级</w:t>
                  </w:r>
                  <w:r>
                    <w:rPr>
                      <w:b/>
                      <w:color w:val="000000" w:themeColor="text1"/>
                      <w:kern w:val="0"/>
                      <w:sz w:val="18"/>
                      <w:szCs w:val="18"/>
                      <w:lang w:bidi="ar"/>
                      <w14:textFill>
                        <w14:solidFill>
                          <w14:schemeClr w14:val="tx1"/>
                        </w14:solidFill>
                      </w14:textFill>
                    </w:rPr>
                    <w:t>/dB(A)</w:t>
                  </w:r>
                  <w:r>
                    <w:rPr>
                      <w:rFonts w:hint="eastAsia"/>
                      <w:b/>
                      <w:color w:val="000000" w:themeColor="text1"/>
                      <w:kern w:val="0"/>
                      <w:sz w:val="18"/>
                      <w:szCs w:val="18"/>
                      <w:lang w:val="en-US" w:eastAsia="zh-CN" w:bidi="ar"/>
                      <w14:textFill>
                        <w14:solidFill>
                          <w14:schemeClr w14:val="tx1"/>
                        </w14:solidFill>
                      </w14:textFill>
                    </w:rPr>
                    <w:t>/数量</w:t>
                  </w:r>
                </w:p>
              </w:tc>
              <w:tc>
                <w:tcPr>
                  <w:tcW w:w="355" w:type="pct"/>
                  <w:vMerge w:val="continue"/>
                  <w:vAlign w:val="center"/>
                </w:tcPr>
                <w:p w14:paraId="35FF537F">
                  <w:pPr>
                    <w:widowControl/>
                    <w:jc w:val="center"/>
                    <w:rPr>
                      <w:rFonts w:cs="宋体"/>
                      <w:b/>
                      <w:color w:val="000000" w:themeColor="text1"/>
                      <w:sz w:val="18"/>
                      <w:szCs w:val="18"/>
                      <w14:textFill>
                        <w14:solidFill>
                          <w14:schemeClr w14:val="tx1"/>
                        </w14:solidFill>
                      </w14:textFill>
                    </w:rPr>
                  </w:pPr>
                </w:p>
              </w:tc>
              <w:tc>
                <w:tcPr>
                  <w:tcW w:w="185" w:type="pct"/>
                  <w:shd w:val="clear" w:color="auto" w:fill="FFFFFF"/>
                  <w:vAlign w:val="center"/>
                </w:tcPr>
                <w:p w14:paraId="1820009C">
                  <w:pPr>
                    <w:widowControl/>
                    <w:jc w:val="center"/>
                    <w:textAlignment w:val="center"/>
                    <w:rPr>
                      <w:b/>
                      <w:color w:val="000000" w:themeColor="text1"/>
                      <w:sz w:val="18"/>
                      <w:szCs w:val="18"/>
                      <w14:textFill>
                        <w14:solidFill>
                          <w14:schemeClr w14:val="tx1"/>
                        </w14:solidFill>
                      </w14:textFill>
                    </w:rPr>
                  </w:pPr>
                  <w:r>
                    <w:rPr>
                      <w:b/>
                      <w:color w:val="000000" w:themeColor="text1"/>
                      <w:kern w:val="0"/>
                      <w:sz w:val="18"/>
                      <w:szCs w:val="18"/>
                      <w:lang w:bidi="ar"/>
                      <w14:textFill>
                        <w14:solidFill>
                          <w14:schemeClr w14:val="tx1"/>
                        </w14:solidFill>
                      </w14:textFill>
                    </w:rPr>
                    <w:t>X</w:t>
                  </w:r>
                </w:p>
              </w:tc>
              <w:tc>
                <w:tcPr>
                  <w:tcW w:w="173" w:type="pct"/>
                  <w:shd w:val="clear" w:color="auto" w:fill="FFFFFF"/>
                  <w:vAlign w:val="center"/>
                </w:tcPr>
                <w:p w14:paraId="32F54C53">
                  <w:pPr>
                    <w:widowControl/>
                    <w:jc w:val="center"/>
                    <w:textAlignment w:val="center"/>
                    <w:rPr>
                      <w:b/>
                      <w:color w:val="000000" w:themeColor="text1"/>
                      <w:sz w:val="18"/>
                      <w:szCs w:val="18"/>
                      <w14:textFill>
                        <w14:solidFill>
                          <w14:schemeClr w14:val="tx1"/>
                        </w14:solidFill>
                      </w14:textFill>
                    </w:rPr>
                  </w:pPr>
                  <w:r>
                    <w:rPr>
                      <w:b/>
                      <w:color w:val="000000" w:themeColor="text1"/>
                      <w:kern w:val="0"/>
                      <w:sz w:val="18"/>
                      <w:szCs w:val="18"/>
                      <w:lang w:bidi="ar"/>
                      <w14:textFill>
                        <w14:solidFill>
                          <w14:schemeClr w14:val="tx1"/>
                        </w14:solidFill>
                      </w14:textFill>
                    </w:rPr>
                    <w:t>Y</w:t>
                  </w:r>
                </w:p>
              </w:tc>
              <w:tc>
                <w:tcPr>
                  <w:tcW w:w="106" w:type="pct"/>
                  <w:shd w:val="clear" w:color="auto" w:fill="FFFFFF"/>
                  <w:vAlign w:val="center"/>
                </w:tcPr>
                <w:p w14:paraId="1E1F92A0">
                  <w:pPr>
                    <w:widowControl/>
                    <w:jc w:val="center"/>
                    <w:textAlignment w:val="center"/>
                    <w:rPr>
                      <w:b/>
                      <w:color w:val="000000" w:themeColor="text1"/>
                      <w:sz w:val="18"/>
                      <w:szCs w:val="18"/>
                      <w14:textFill>
                        <w14:solidFill>
                          <w14:schemeClr w14:val="tx1"/>
                        </w14:solidFill>
                      </w14:textFill>
                    </w:rPr>
                  </w:pPr>
                  <w:r>
                    <w:rPr>
                      <w:b/>
                      <w:color w:val="000000" w:themeColor="text1"/>
                      <w:kern w:val="0"/>
                      <w:sz w:val="18"/>
                      <w:szCs w:val="18"/>
                      <w:lang w:bidi="ar"/>
                      <w14:textFill>
                        <w14:solidFill>
                          <w14:schemeClr w14:val="tx1"/>
                        </w14:solidFill>
                      </w14:textFill>
                    </w:rPr>
                    <w:t>Z</w:t>
                  </w:r>
                </w:p>
              </w:tc>
              <w:tc>
                <w:tcPr>
                  <w:tcW w:w="127" w:type="pct"/>
                  <w:shd w:val="clear" w:color="auto" w:fill="FFFFFF"/>
                  <w:vAlign w:val="center"/>
                </w:tcPr>
                <w:p w14:paraId="580C7E98">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东</w:t>
                  </w:r>
                </w:p>
              </w:tc>
              <w:tc>
                <w:tcPr>
                  <w:tcW w:w="162" w:type="pct"/>
                  <w:shd w:val="clear" w:color="auto" w:fill="FFFFFF"/>
                  <w:vAlign w:val="center"/>
                </w:tcPr>
                <w:p w14:paraId="55DDB9BC">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南</w:t>
                  </w:r>
                </w:p>
              </w:tc>
              <w:tc>
                <w:tcPr>
                  <w:tcW w:w="127" w:type="pct"/>
                  <w:shd w:val="clear" w:color="auto" w:fill="FFFFFF"/>
                  <w:vAlign w:val="center"/>
                </w:tcPr>
                <w:p w14:paraId="6EBCF6CC">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西</w:t>
                  </w:r>
                </w:p>
              </w:tc>
              <w:tc>
                <w:tcPr>
                  <w:tcW w:w="163" w:type="pct"/>
                  <w:shd w:val="clear" w:color="auto" w:fill="FFFFFF"/>
                  <w:vAlign w:val="center"/>
                </w:tcPr>
                <w:p w14:paraId="58839E4F">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北</w:t>
                  </w:r>
                </w:p>
              </w:tc>
              <w:tc>
                <w:tcPr>
                  <w:tcW w:w="145" w:type="pct"/>
                  <w:shd w:val="clear" w:color="auto" w:fill="FFFFFF"/>
                  <w:vAlign w:val="center"/>
                </w:tcPr>
                <w:p w14:paraId="7EAA15A6">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东</w:t>
                  </w:r>
                </w:p>
              </w:tc>
              <w:tc>
                <w:tcPr>
                  <w:tcW w:w="145" w:type="pct"/>
                  <w:shd w:val="clear" w:color="auto" w:fill="FFFFFF"/>
                  <w:vAlign w:val="center"/>
                </w:tcPr>
                <w:p w14:paraId="3DA394CB">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南</w:t>
                  </w:r>
                </w:p>
              </w:tc>
              <w:tc>
                <w:tcPr>
                  <w:tcW w:w="145" w:type="pct"/>
                  <w:shd w:val="clear" w:color="auto" w:fill="FFFFFF"/>
                  <w:vAlign w:val="center"/>
                </w:tcPr>
                <w:p w14:paraId="0729AC8F">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西</w:t>
                  </w:r>
                </w:p>
              </w:tc>
              <w:tc>
                <w:tcPr>
                  <w:tcW w:w="149" w:type="pct"/>
                  <w:shd w:val="clear" w:color="auto" w:fill="FFFFFF"/>
                  <w:vAlign w:val="center"/>
                </w:tcPr>
                <w:p w14:paraId="58F5CB7D">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北</w:t>
                  </w:r>
                </w:p>
              </w:tc>
              <w:tc>
                <w:tcPr>
                  <w:tcW w:w="231" w:type="pct"/>
                  <w:vMerge w:val="continue"/>
                  <w:vAlign w:val="center"/>
                </w:tcPr>
                <w:p w14:paraId="789A4A11">
                  <w:pPr>
                    <w:widowControl/>
                    <w:jc w:val="center"/>
                    <w:rPr>
                      <w:rFonts w:cs="宋体"/>
                      <w:b/>
                      <w:color w:val="000000" w:themeColor="text1"/>
                      <w:sz w:val="18"/>
                      <w:szCs w:val="18"/>
                      <w14:textFill>
                        <w14:solidFill>
                          <w14:schemeClr w14:val="tx1"/>
                        </w14:solidFill>
                      </w14:textFill>
                    </w:rPr>
                  </w:pPr>
                </w:p>
              </w:tc>
              <w:tc>
                <w:tcPr>
                  <w:tcW w:w="156" w:type="pct"/>
                  <w:shd w:val="clear" w:color="auto" w:fill="FFFFFF"/>
                  <w:vAlign w:val="center"/>
                </w:tcPr>
                <w:p w14:paraId="0946D009">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东</w:t>
                  </w:r>
                </w:p>
              </w:tc>
              <w:tc>
                <w:tcPr>
                  <w:tcW w:w="156" w:type="pct"/>
                  <w:shd w:val="clear" w:color="auto" w:fill="FFFFFF"/>
                  <w:vAlign w:val="center"/>
                </w:tcPr>
                <w:p w14:paraId="3AD0F524">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南</w:t>
                  </w:r>
                </w:p>
              </w:tc>
              <w:tc>
                <w:tcPr>
                  <w:tcW w:w="156" w:type="pct"/>
                  <w:shd w:val="clear" w:color="auto" w:fill="FFFFFF"/>
                  <w:vAlign w:val="center"/>
                </w:tcPr>
                <w:p w14:paraId="4BD1D4CC">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西</w:t>
                  </w:r>
                </w:p>
              </w:tc>
              <w:tc>
                <w:tcPr>
                  <w:tcW w:w="159" w:type="pct"/>
                  <w:shd w:val="clear" w:color="auto" w:fill="FFFFFF"/>
                  <w:vAlign w:val="center"/>
                </w:tcPr>
                <w:p w14:paraId="0A521B9B">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北</w:t>
                  </w:r>
                </w:p>
              </w:tc>
              <w:tc>
                <w:tcPr>
                  <w:tcW w:w="162" w:type="pct"/>
                  <w:shd w:val="clear" w:color="auto" w:fill="FFFFFF"/>
                  <w:vAlign w:val="center"/>
                </w:tcPr>
                <w:p w14:paraId="082136AD">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东</w:t>
                  </w:r>
                </w:p>
              </w:tc>
              <w:tc>
                <w:tcPr>
                  <w:tcW w:w="162" w:type="pct"/>
                  <w:shd w:val="clear" w:color="auto" w:fill="FFFFFF"/>
                  <w:vAlign w:val="center"/>
                </w:tcPr>
                <w:p w14:paraId="38F19CEB">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南</w:t>
                  </w:r>
                </w:p>
              </w:tc>
              <w:tc>
                <w:tcPr>
                  <w:tcW w:w="162" w:type="pct"/>
                  <w:shd w:val="clear" w:color="auto" w:fill="FFFFFF"/>
                  <w:vAlign w:val="center"/>
                </w:tcPr>
                <w:p w14:paraId="6DE7E416">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西</w:t>
                  </w:r>
                </w:p>
              </w:tc>
              <w:tc>
                <w:tcPr>
                  <w:tcW w:w="162" w:type="pct"/>
                  <w:shd w:val="clear" w:color="auto" w:fill="FFFFFF"/>
                  <w:vAlign w:val="center"/>
                </w:tcPr>
                <w:p w14:paraId="072385CC">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北</w:t>
                  </w:r>
                </w:p>
              </w:tc>
              <w:tc>
                <w:tcPr>
                  <w:tcW w:w="422" w:type="pct"/>
                  <w:shd w:val="clear" w:color="auto" w:fill="FFFFFF"/>
                  <w:vAlign w:val="center"/>
                </w:tcPr>
                <w:p w14:paraId="536D36E2">
                  <w:pPr>
                    <w:widowControl/>
                    <w:jc w:val="center"/>
                    <w:textAlignment w:val="center"/>
                    <w:rPr>
                      <w:rFonts w:cs="宋体"/>
                      <w:b/>
                      <w:color w:val="000000" w:themeColor="text1"/>
                      <w:sz w:val="18"/>
                      <w:szCs w:val="18"/>
                      <w14:textFill>
                        <w14:solidFill>
                          <w14:schemeClr w14:val="tx1"/>
                        </w14:solidFill>
                      </w14:textFill>
                    </w:rPr>
                  </w:pPr>
                  <w:r>
                    <w:rPr>
                      <w:rFonts w:hint="eastAsia" w:cs="宋体"/>
                      <w:b/>
                      <w:color w:val="000000" w:themeColor="text1"/>
                      <w:kern w:val="0"/>
                      <w:sz w:val="18"/>
                      <w:szCs w:val="18"/>
                      <w:lang w:bidi="ar"/>
                      <w14:textFill>
                        <w14:solidFill>
                          <w14:schemeClr w14:val="tx1"/>
                        </w14:solidFill>
                      </w14:textFill>
                    </w:rPr>
                    <w:t>建筑物外距离</w:t>
                  </w:r>
                </w:p>
              </w:tc>
            </w:tr>
            <w:tr w14:paraId="714BF7D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300" w:hRule="atLeast"/>
              </w:trPr>
              <w:tc>
                <w:tcPr>
                  <w:tcW w:w="114" w:type="pct"/>
                  <w:shd w:val="clear" w:color="auto" w:fill="FFFFFF"/>
                  <w:vAlign w:val="center"/>
                </w:tcPr>
                <w:p w14:paraId="6D4CAAC1">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w:t>
                  </w:r>
                </w:p>
              </w:tc>
              <w:tc>
                <w:tcPr>
                  <w:tcW w:w="268" w:type="pct"/>
                  <w:vMerge w:val="restart"/>
                  <w:shd w:val="clear" w:color="auto" w:fill="FFFFFF"/>
                  <w:vAlign w:val="center"/>
                </w:tcPr>
                <w:p w14:paraId="39658CE7">
                  <w:pPr>
                    <w:widowControl/>
                    <w:jc w:val="center"/>
                    <w:rPr>
                      <w:rFonts w:cs="宋体"/>
                      <w:color w:val="000000" w:themeColor="text1"/>
                      <w:sz w:val="18"/>
                      <w:szCs w:val="18"/>
                      <w14:textFill>
                        <w14:solidFill>
                          <w14:schemeClr w14:val="tx1"/>
                        </w14:solidFill>
                      </w14:textFill>
                    </w:rPr>
                  </w:pPr>
                  <w:r>
                    <w:rPr>
                      <w:rFonts w:hint="eastAsia" w:cs="宋体"/>
                      <w:color w:val="000000" w:themeColor="text1"/>
                      <w:sz w:val="18"/>
                      <w:szCs w:val="18"/>
                      <w14:textFill>
                        <w14:solidFill>
                          <w14:schemeClr w14:val="tx1"/>
                        </w14:solidFill>
                      </w14:textFill>
                    </w:rPr>
                    <w:t>生产车间</w:t>
                  </w:r>
                </w:p>
              </w:tc>
              <w:tc>
                <w:tcPr>
                  <w:tcW w:w="294" w:type="pct"/>
                  <w:vAlign w:val="center"/>
                </w:tcPr>
                <w:p w14:paraId="56C8E0CC">
                  <w:pPr>
                    <w:widowControl/>
                    <w:jc w:val="center"/>
                    <w:textAlignment w:val="center"/>
                    <w:rPr>
                      <w:rFonts w:cs="宋体"/>
                      <w:color w:val="000000" w:themeColor="text1"/>
                      <w:sz w:val="18"/>
                      <w:szCs w:val="18"/>
                      <w14:textFill>
                        <w14:solidFill>
                          <w14:schemeClr w14:val="tx1"/>
                        </w14:solidFill>
                      </w14:textFill>
                    </w:rPr>
                  </w:pPr>
                  <w:r>
                    <w:rPr>
                      <w:rFonts w:hint="eastAsia" w:cs="宋体"/>
                      <w:color w:val="000000" w:themeColor="text1"/>
                      <w:kern w:val="0"/>
                      <w:sz w:val="18"/>
                      <w:szCs w:val="18"/>
                      <w:lang w:bidi="ar"/>
                      <w14:textFill>
                        <w14:solidFill>
                          <w14:schemeClr w14:val="tx1"/>
                        </w14:solidFill>
                      </w14:textFill>
                    </w:rPr>
                    <w:t>上料机</w:t>
                  </w:r>
                </w:p>
              </w:tc>
              <w:tc>
                <w:tcPr>
                  <w:tcW w:w="408" w:type="pct"/>
                  <w:shd w:val="clear" w:color="auto" w:fill="FFFFFF"/>
                  <w:vAlign w:val="center"/>
                </w:tcPr>
                <w:p w14:paraId="4BD6F7D8">
                  <w:pPr>
                    <w:widowControl/>
                    <w:jc w:val="center"/>
                    <w:textAlignment w:val="center"/>
                    <w:rPr>
                      <w:rFonts w:hint="default" w:eastAsia="宋体"/>
                      <w:color w:val="000000" w:themeColor="text1"/>
                      <w:sz w:val="18"/>
                      <w:szCs w:val="18"/>
                      <w:lang w:val="en-US" w:eastAsia="zh-CN"/>
                      <w14:textFill>
                        <w14:solidFill>
                          <w14:schemeClr w14:val="tx1"/>
                        </w14:solidFill>
                      </w14:textFill>
                    </w:rPr>
                  </w:pPr>
                  <w:r>
                    <w:rPr>
                      <w:color w:val="000000" w:themeColor="text1"/>
                      <w:kern w:val="0"/>
                      <w:sz w:val="18"/>
                      <w:szCs w:val="18"/>
                      <w:lang w:bidi="ar"/>
                      <w14:textFill>
                        <w14:solidFill>
                          <w14:schemeClr w14:val="tx1"/>
                        </w14:solidFill>
                      </w14:textFill>
                    </w:rPr>
                    <w:t>80</w:t>
                  </w:r>
                  <w:r>
                    <w:rPr>
                      <w:rFonts w:hint="eastAsia"/>
                      <w:color w:val="000000" w:themeColor="text1"/>
                      <w:kern w:val="0"/>
                      <w:sz w:val="18"/>
                      <w:szCs w:val="18"/>
                      <w:lang w:val="en-US" w:eastAsia="zh-CN" w:bidi="ar"/>
                      <w14:textFill>
                        <w14:solidFill>
                          <w14:schemeClr w14:val="tx1"/>
                        </w14:solidFill>
                      </w14:textFill>
                    </w:rPr>
                    <w:t>/1台</w:t>
                  </w:r>
                </w:p>
              </w:tc>
              <w:tc>
                <w:tcPr>
                  <w:tcW w:w="355" w:type="pct"/>
                  <w:vMerge w:val="restart"/>
                  <w:shd w:val="clear" w:color="auto" w:fill="FFFFFF"/>
                  <w:vAlign w:val="center"/>
                </w:tcPr>
                <w:p w14:paraId="2D2503E3">
                  <w:pPr>
                    <w:widowControl/>
                    <w:jc w:val="center"/>
                    <w:textAlignment w:val="center"/>
                    <w:rPr>
                      <w:rFonts w:cs="宋体"/>
                      <w:color w:val="000000" w:themeColor="text1"/>
                      <w:sz w:val="18"/>
                      <w:szCs w:val="18"/>
                      <w14:textFill>
                        <w14:solidFill>
                          <w14:schemeClr w14:val="tx1"/>
                        </w14:solidFill>
                      </w14:textFill>
                    </w:rPr>
                  </w:pPr>
                  <w:r>
                    <w:rPr>
                      <w:rFonts w:hint="eastAsia" w:cs="宋体"/>
                      <w:color w:val="000000" w:themeColor="text1"/>
                      <w:kern w:val="0"/>
                      <w:sz w:val="18"/>
                      <w:szCs w:val="18"/>
                      <w:lang w:bidi="ar"/>
                      <w14:textFill>
                        <w14:solidFill>
                          <w14:schemeClr w14:val="tx1"/>
                        </w14:solidFill>
                      </w14:textFill>
                    </w:rPr>
                    <w:t>隔声、减振等措施</w:t>
                  </w:r>
                </w:p>
              </w:tc>
              <w:tc>
                <w:tcPr>
                  <w:tcW w:w="185" w:type="pct"/>
                  <w:shd w:val="clear" w:color="auto" w:fill="FFFFFF"/>
                  <w:vAlign w:val="center"/>
                </w:tcPr>
                <w:p w14:paraId="335C03DD">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-53.24</w:t>
                  </w:r>
                </w:p>
              </w:tc>
              <w:tc>
                <w:tcPr>
                  <w:tcW w:w="173" w:type="pct"/>
                  <w:shd w:val="clear" w:color="auto" w:fill="FFFFFF"/>
                  <w:vAlign w:val="center"/>
                </w:tcPr>
                <w:p w14:paraId="0462B8A7">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4.84</w:t>
                  </w:r>
                </w:p>
              </w:tc>
              <w:tc>
                <w:tcPr>
                  <w:tcW w:w="106" w:type="pct"/>
                  <w:shd w:val="clear" w:color="auto" w:fill="FFFFFF"/>
                  <w:vAlign w:val="center"/>
                </w:tcPr>
                <w:p w14:paraId="6E931835">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1.2</w:t>
                  </w:r>
                </w:p>
              </w:tc>
              <w:tc>
                <w:tcPr>
                  <w:tcW w:w="127" w:type="pct"/>
                  <w:shd w:val="clear" w:color="auto" w:fill="FFFFFF"/>
                  <w:vAlign w:val="center"/>
                </w:tcPr>
                <w:p w14:paraId="236B28E6">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82.5</w:t>
                  </w:r>
                </w:p>
              </w:tc>
              <w:tc>
                <w:tcPr>
                  <w:tcW w:w="162" w:type="pct"/>
                  <w:shd w:val="clear" w:color="auto" w:fill="FFFFFF"/>
                  <w:vAlign w:val="center"/>
                </w:tcPr>
                <w:p w14:paraId="51128A3E">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65.11</w:t>
                  </w:r>
                </w:p>
              </w:tc>
              <w:tc>
                <w:tcPr>
                  <w:tcW w:w="127" w:type="pct"/>
                  <w:shd w:val="clear" w:color="auto" w:fill="FFFFFF"/>
                  <w:vAlign w:val="center"/>
                </w:tcPr>
                <w:p w14:paraId="5076B8A4">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5.5</w:t>
                  </w:r>
                </w:p>
              </w:tc>
              <w:tc>
                <w:tcPr>
                  <w:tcW w:w="163" w:type="pct"/>
                  <w:shd w:val="clear" w:color="auto" w:fill="FFFFFF"/>
                  <w:vAlign w:val="center"/>
                </w:tcPr>
                <w:p w14:paraId="535FB086">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16.09</w:t>
                  </w:r>
                </w:p>
              </w:tc>
              <w:tc>
                <w:tcPr>
                  <w:tcW w:w="145" w:type="pct"/>
                  <w:shd w:val="clear" w:color="auto" w:fill="FFFFFF"/>
                  <w:vAlign w:val="center"/>
                </w:tcPr>
                <w:p w14:paraId="58796369">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54.8 </w:t>
                  </w:r>
                </w:p>
              </w:tc>
              <w:tc>
                <w:tcPr>
                  <w:tcW w:w="145" w:type="pct"/>
                  <w:shd w:val="clear" w:color="auto" w:fill="FFFFFF"/>
                  <w:vAlign w:val="center"/>
                </w:tcPr>
                <w:p w14:paraId="0437443E">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54.9 </w:t>
                  </w:r>
                </w:p>
              </w:tc>
              <w:tc>
                <w:tcPr>
                  <w:tcW w:w="145" w:type="pct"/>
                  <w:shd w:val="clear" w:color="auto" w:fill="FFFFFF"/>
                  <w:vAlign w:val="center"/>
                </w:tcPr>
                <w:p w14:paraId="1DE96F71">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62.9 </w:t>
                  </w:r>
                </w:p>
              </w:tc>
              <w:tc>
                <w:tcPr>
                  <w:tcW w:w="149" w:type="pct"/>
                  <w:shd w:val="clear" w:color="auto" w:fill="FFFFFF"/>
                  <w:vAlign w:val="center"/>
                </w:tcPr>
                <w:p w14:paraId="6F85C1A2">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56.9 </w:t>
                  </w:r>
                </w:p>
              </w:tc>
              <w:tc>
                <w:tcPr>
                  <w:tcW w:w="231" w:type="pct"/>
                  <w:vMerge w:val="restart"/>
                  <w:shd w:val="clear" w:color="auto" w:fill="FFFFFF"/>
                  <w:vAlign w:val="center"/>
                </w:tcPr>
                <w:p w14:paraId="4A6A234E">
                  <w:pPr>
                    <w:widowControl/>
                    <w:jc w:val="center"/>
                    <w:textAlignment w:val="center"/>
                    <w:rPr>
                      <w:rFonts w:hint="default" w:eastAsia="宋体"/>
                      <w:color w:val="000000" w:themeColor="text1"/>
                      <w:sz w:val="18"/>
                      <w:szCs w:val="18"/>
                      <w:lang w:val="en-US" w:eastAsia="zh-CN"/>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24h</w:t>
                  </w:r>
                </w:p>
              </w:tc>
              <w:tc>
                <w:tcPr>
                  <w:tcW w:w="156" w:type="pct"/>
                  <w:shd w:val="clear" w:color="auto" w:fill="FFFFFF"/>
                  <w:vAlign w:val="center"/>
                </w:tcPr>
                <w:p w14:paraId="67E8D6EF">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3F1C352E">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1F3193AD">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9" w:type="pct"/>
                  <w:shd w:val="clear" w:color="auto" w:fill="FFFFFF"/>
                  <w:vAlign w:val="center"/>
                </w:tcPr>
                <w:p w14:paraId="1B431273">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62" w:type="pct"/>
                  <w:shd w:val="clear" w:color="auto" w:fill="FFFFFF"/>
                  <w:vAlign w:val="center"/>
                </w:tcPr>
                <w:p w14:paraId="00463502">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28.85 </w:t>
                  </w:r>
                </w:p>
              </w:tc>
              <w:tc>
                <w:tcPr>
                  <w:tcW w:w="162" w:type="pct"/>
                  <w:shd w:val="clear" w:color="auto" w:fill="FFFFFF"/>
                  <w:vAlign w:val="center"/>
                </w:tcPr>
                <w:p w14:paraId="0EB2614C">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28.91 </w:t>
                  </w:r>
                </w:p>
              </w:tc>
              <w:tc>
                <w:tcPr>
                  <w:tcW w:w="162" w:type="pct"/>
                  <w:shd w:val="clear" w:color="auto" w:fill="FFFFFF"/>
                  <w:vAlign w:val="center"/>
                </w:tcPr>
                <w:p w14:paraId="5C9B48C1">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36.90 </w:t>
                  </w:r>
                </w:p>
              </w:tc>
              <w:tc>
                <w:tcPr>
                  <w:tcW w:w="162" w:type="pct"/>
                  <w:shd w:val="clear" w:color="auto" w:fill="FFFFFF"/>
                  <w:vAlign w:val="center"/>
                </w:tcPr>
                <w:p w14:paraId="71D38BBB">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30.91 </w:t>
                  </w:r>
                </w:p>
              </w:tc>
              <w:tc>
                <w:tcPr>
                  <w:tcW w:w="422" w:type="pct"/>
                  <w:shd w:val="clear" w:color="auto" w:fill="FFFFFF"/>
                  <w:vAlign w:val="center"/>
                </w:tcPr>
                <w:p w14:paraId="064CED28">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w:t>
                  </w:r>
                </w:p>
              </w:tc>
            </w:tr>
            <w:tr w14:paraId="69B366F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85" w:hRule="atLeast"/>
              </w:trPr>
              <w:tc>
                <w:tcPr>
                  <w:tcW w:w="114" w:type="pct"/>
                  <w:shd w:val="clear" w:color="auto" w:fill="FFFFFF"/>
                  <w:vAlign w:val="center"/>
                </w:tcPr>
                <w:p w14:paraId="5184F96E">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w:t>
                  </w:r>
                </w:p>
              </w:tc>
              <w:tc>
                <w:tcPr>
                  <w:tcW w:w="268" w:type="pct"/>
                  <w:vMerge w:val="continue"/>
                  <w:shd w:val="clear" w:color="auto" w:fill="FFFFFF"/>
                  <w:vAlign w:val="center"/>
                </w:tcPr>
                <w:p w14:paraId="5DDE7F11">
                  <w:pPr>
                    <w:jc w:val="center"/>
                    <w:rPr>
                      <w:rFonts w:cs="宋体"/>
                      <w:color w:val="000000" w:themeColor="text1"/>
                      <w:sz w:val="18"/>
                      <w:szCs w:val="18"/>
                      <w14:textFill>
                        <w14:solidFill>
                          <w14:schemeClr w14:val="tx1"/>
                        </w14:solidFill>
                      </w14:textFill>
                    </w:rPr>
                  </w:pPr>
                </w:p>
              </w:tc>
              <w:tc>
                <w:tcPr>
                  <w:tcW w:w="294" w:type="pct"/>
                  <w:vAlign w:val="center"/>
                </w:tcPr>
                <w:p w14:paraId="5FC69650">
                  <w:pPr>
                    <w:widowControl/>
                    <w:jc w:val="center"/>
                    <w:textAlignment w:val="center"/>
                    <w:rPr>
                      <w:rFonts w:cs="宋体"/>
                      <w:color w:val="000000" w:themeColor="text1"/>
                      <w:sz w:val="18"/>
                      <w:szCs w:val="18"/>
                      <w14:textFill>
                        <w14:solidFill>
                          <w14:schemeClr w14:val="tx1"/>
                        </w14:solidFill>
                      </w14:textFill>
                    </w:rPr>
                  </w:pPr>
                  <w:r>
                    <w:rPr>
                      <w:rFonts w:hint="eastAsia" w:cs="宋体"/>
                      <w:color w:val="000000" w:themeColor="text1"/>
                      <w:kern w:val="0"/>
                      <w:sz w:val="18"/>
                      <w:szCs w:val="18"/>
                      <w:lang w:bidi="ar"/>
                      <w14:textFill>
                        <w14:solidFill>
                          <w14:schemeClr w14:val="tx1"/>
                        </w14:solidFill>
                      </w14:textFill>
                    </w:rPr>
                    <w:t>颚式破碎机</w:t>
                  </w:r>
                </w:p>
              </w:tc>
              <w:tc>
                <w:tcPr>
                  <w:tcW w:w="408" w:type="pct"/>
                  <w:shd w:val="clear" w:color="auto" w:fill="FFFFFF"/>
                  <w:vAlign w:val="center"/>
                </w:tcPr>
                <w:p w14:paraId="61A0271C">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90</w:t>
                  </w:r>
                  <w:r>
                    <w:rPr>
                      <w:rFonts w:hint="eastAsia" w:ascii="Times New Roman" w:eastAsia="宋体"/>
                      <w:color w:val="000000" w:themeColor="text1"/>
                      <w:kern w:val="0"/>
                      <w:sz w:val="18"/>
                      <w:szCs w:val="18"/>
                      <w:lang w:val="en-US" w:eastAsia="zh-CN" w:bidi="ar"/>
                      <w14:textFill>
                        <w14:solidFill>
                          <w14:schemeClr w14:val="tx1"/>
                        </w14:solidFill>
                      </w14:textFill>
                    </w:rPr>
                    <w:t>/1台</w:t>
                  </w:r>
                </w:p>
              </w:tc>
              <w:tc>
                <w:tcPr>
                  <w:tcW w:w="355" w:type="pct"/>
                  <w:vMerge w:val="continue"/>
                  <w:shd w:val="clear" w:color="auto" w:fill="FFFFFF"/>
                  <w:vAlign w:val="center"/>
                </w:tcPr>
                <w:p w14:paraId="2C15F6B1">
                  <w:pPr>
                    <w:widowControl/>
                    <w:jc w:val="center"/>
                    <w:rPr>
                      <w:rFonts w:cs="宋体"/>
                      <w:color w:val="000000" w:themeColor="text1"/>
                      <w:sz w:val="18"/>
                      <w:szCs w:val="18"/>
                      <w14:textFill>
                        <w14:solidFill>
                          <w14:schemeClr w14:val="tx1"/>
                        </w14:solidFill>
                      </w14:textFill>
                    </w:rPr>
                  </w:pPr>
                </w:p>
              </w:tc>
              <w:tc>
                <w:tcPr>
                  <w:tcW w:w="185" w:type="pct"/>
                  <w:shd w:val="clear" w:color="auto" w:fill="FFFFFF"/>
                  <w:vAlign w:val="center"/>
                </w:tcPr>
                <w:p w14:paraId="49283F05">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-43.29</w:t>
                  </w:r>
                </w:p>
              </w:tc>
              <w:tc>
                <w:tcPr>
                  <w:tcW w:w="173" w:type="pct"/>
                  <w:shd w:val="clear" w:color="auto" w:fill="FFFFFF"/>
                  <w:vAlign w:val="center"/>
                </w:tcPr>
                <w:p w14:paraId="4C2310A5">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14.25</w:t>
                  </w:r>
                </w:p>
              </w:tc>
              <w:tc>
                <w:tcPr>
                  <w:tcW w:w="106" w:type="pct"/>
                  <w:shd w:val="clear" w:color="auto" w:fill="FFFFFF"/>
                  <w:vAlign w:val="center"/>
                </w:tcPr>
                <w:p w14:paraId="5F950AB9">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1.2</w:t>
                  </w:r>
                </w:p>
              </w:tc>
              <w:tc>
                <w:tcPr>
                  <w:tcW w:w="127" w:type="pct"/>
                  <w:shd w:val="clear" w:color="auto" w:fill="FFFFFF"/>
                  <w:vAlign w:val="center"/>
                </w:tcPr>
                <w:p w14:paraId="4DC3D595">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71.5</w:t>
                  </w:r>
                </w:p>
              </w:tc>
              <w:tc>
                <w:tcPr>
                  <w:tcW w:w="162" w:type="pct"/>
                  <w:shd w:val="clear" w:color="auto" w:fill="FFFFFF"/>
                  <w:vAlign w:val="center"/>
                </w:tcPr>
                <w:p w14:paraId="7A6D86A7">
                  <w:pPr>
                    <w:widowControl/>
                    <w:jc w:val="center"/>
                    <w:textAlignment w:val="center"/>
                    <w:rPr>
                      <w:rFonts w:hint="default" w:eastAsia="宋体"/>
                      <w:color w:val="000000" w:themeColor="text1"/>
                      <w:sz w:val="18"/>
                      <w:szCs w:val="18"/>
                      <w:lang w:val="en-US" w:eastAsia="zh-CN"/>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35.2</w:t>
                  </w:r>
                </w:p>
              </w:tc>
              <w:tc>
                <w:tcPr>
                  <w:tcW w:w="127" w:type="pct"/>
                  <w:shd w:val="clear" w:color="auto" w:fill="FFFFFF"/>
                  <w:vAlign w:val="center"/>
                </w:tcPr>
                <w:p w14:paraId="23ED918E">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16.5</w:t>
                  </w:r>
                </w:p>
              </w:tc>
              <w:tc>
                <w:tcPr>
                  <w:tcW w:w="163" w:type="pct"/>
                  <w:shd w:val="clear" w:color="auto" w:fill="FFFFFF"/>
                  <w:vAlign w:val="center"/>
                </w:tcPr>
                <w:p w14:paraId="3969A3B2">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16.09</w:t>
                  </w:r>
                </w:p>
              </w:tc>
              <w:tc>
                <w:tcPr>
                  <w:tcW w:w="145" w:type="pct"/>
                  <w:shd w:val="clear" w:color="auto" w:fill="FFFFFF"/>
                  <w:vAlign w:val="center"/>
                </w:tcPr>
                <w:p w14:paraId="06D4D01E">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64.9 </w:t>
                  </w:r>
                </w:p>
              </w:tc>
              <w:tc>
                <w:tcPr>
                  <w:tcW w:w="145" w:type="pct"/>
                  <w:shd w:val="clear" w:color="auto" w:fill="FFFFFF"/>
                  <w:vAlign w:val="center"/>
                </w:tcPr>
                <w:p w14:paraId="657C3E2C">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64.9 </w:t>
                  </w:r>
                </w:p>
              </w:tc>
              <w:tc>
                <w:tcPr>
                  <w:tcW w:w="145" w:type="pct"/>
                  <w:shd w:val="clear" w:color="auto" w:fill="FFFFFF"/>
                  <w:vAlign w:val="center"/>
                </w:tcPr>
                <w:p w14:paraId="4FEFEB67">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66.8 </w:t>
                  </w:r>
                </w:p>
              </w:tc>
              <w:tc>
                <w:tcPr>
                  <w:tcW w:w="149" w:type="pct"/>
                  <w:shd w:val="clear" w:color="auto" w:fill="FFFFFF"/>
                  <w:vAlign w:val="center"/>
                </w:tcPr>
                <w:p w14:paraId="42DCC159">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66.9 </w:t>
                  </w:r>
                </w:p>
              </w:tc>
              <w:tc>
                <w:tcPr>
                  <w:tcW w:w="231" w:type="pct"/>
                  <w:vMerge w:val="continue"/>
                  <w:shd w:val="clear" w:color="auto" w:fill="FFFFFF"/>
                  <w:vAlign w:val="center"/>
                </w:tcPr>
                <w:p w14:paraId="4EA4E6AB">
                  <w:pPr>
                    <w:widowControl/>
                    <w:jc w:val="center"/>
                    <w:rPr>
                      <w:color w:val="000000" w:themeColor="text1"/>
                      <w:sz w:val="18"/>
                      <w:szCs w:val="18"/>
                      <w14:textFill>
                        <w14:solidFill>
                          <w14:schemeClr w14:val="tx1"/>
                        </w14:solidFill>
                      </w14:textFill>
                    </w:rPr>
                  </w:pPr>
                </w:p>
              </w:tc>
              <w:tc>
                <w:tcPr>
                  <w:tcW w:w="156" w:type="pct"/>
                  <w:shd w:val="clear" w:color="auto" w:fill="FFFFFF"/>
                  <w:vAlign w:val="center"/>
                </w:tcPr>
                <w:p w14:paraId="7A624836">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2E9C64F0">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2C7B7C6C">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9" w:type="pct"/>
                  <w:shd w:val="clear" w:color="auto" w:fill="FFFFFF"/>
                  <w:vAlign w:val="center"/>
                </w:tcPr>
                <w:p w14:paraId="3FCBC493">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62" w:type="pct"/>
                  <w:shd w:val="clear" w:color="auto" w:fill="FFFFFF"/>
                  <w:vAlign w:val="center"/>
                </w:tcPr>
                <w:p w14:paraId="5BCCC42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38.88 </w:t>
                  </w:r>
                </w:p>
              </w:tc>
              <w:tc>
                <w:tcPr>
                  <w:tcW w:w="162" w:type="pct"/>
                  <w:shd w:val="clear" w:color="auto" w:fill="FFFFFF"/>
                  <w:vAlign w:val="center"/>
                </w:tcPr>
                <w:p w14:paraId="0B811F1B">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38.91 </w:t>
                  </w:r>
                </w:p>
              </w:tc>
              <w:tc>
                <w:tcPr>
                  <w:tcW w:w="162" w:type="pct"/>
                  <w:shd w:val="clear" w:color="auto" w:fill="FFFFFF"/>
                  <w:vAlign w:val="center"/>
                </w:tcPr>
                <w:p w14:paraId="13DAEDEE">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40.83 </w:t>
                  </w:r>
                </w:p>
              </w:tc>
              <w:tc>
                <w:tcPr>
                  <w:tcW w:w="162" w:type="pct"/>
                  <w:shd w:val="clear" w:color="auto" w:fill="FFFFFF"/>
                  <w:vAlign w:val="center"/>
                </w:tcPr>
                <w:p w14:paraId="6720E42C">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40.91 </w:t>
                  </w:r>
                </w:p>
              </w:tc>
              <w:tc>
                <w:tcPr>
                  <w:tcW w:w="422" w:type="pct"/>
                  <w:shd w:val="clear" w:color="auto" w:fill="FFFFFF"/>
                  <w:vAlign w:val="center"/>
                </w:tcPr>
                <w:p w14:paraId="66004563">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w:t>
                  </w:r>
                </w:p>
              </w:tc>
            </w:tr>
            <w:tr w14:paraId="4EFE54F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85" w:hRule="atLeast"/>
              </w:trPr>
              <w:tc>
                <w:tcPr>
                  <w:tcW w:w="114" w:type="pct"/>
                  <w:shd w:val="clear" w:color="auto" w:fill="FFFFFF"/>
                  <w:vAlign w:val="center"/>
                </w:tcPr>
                <w:p w14:paraId="2F126E28">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3</w:t>
                  </w:r>
                </w:p>
              </w:tc>
              <w:tc>
                <w:tcPr>
                  <w:tcW w:w="268" w:type="pct"/>
                  <w:vMerge w:val="continue"/>
                  <w:shd w:val="clear" w:color="auto" w:fill="FFFFFF"/>
                  <w:vAlign w:val="center"/>
                </w:tcPr>
                <w:p w14:paraId="524F4E3C">
                  <w:pPr>
                    <w:jc w:val="center"/>
                    <w:rPr>
                      <w:rFonts w:cs="宋体"/>
                      <w:color w:val="000000" w:themeColor="text1"/>
                      <w:sz w:val="18"/>
                      <w:szCs w:val="18"/>
                      <w14:textFill>
                        <w14:solidFill>
                          <w14:schemeClr w14:val="tx1"/>
                        </w14:solidFill>
                      </w14:textFill>
                    </w:rPr>
                  </w:pPr>
                </w:p>
              </w:tc>
              <w:tc>
                <w:tcPr>
                  <w:tcW w:w="294" w:type="pct"/>
                  <w:vAlign w:val="center"/>
                </w:tcPr>
                <w:p w14:paraId="20F0107D">
                  <w:pPr>
                    <w:widowControl/>
                    <w:jc w:val="center"/>
                    <w:textAlignment w:val="center"/>
                    <w:rPr>
                      <w:rFonts w:cs="宋体"/>
                      <w:color w:val="000000" w:themeColor="text1"/>
                      <w:sz w:val="18"/>
                      <w:szCs w:val="18"/>
                      <w14:textFill>
                        <w14:solidFill>
                          <w14:schemeClr w14:val="tx1"/>
                        </w14:solidFill>
                      </w14:textFill>
                    </w:rPr>
                  </w:pPr>
                  <w:r>
                    <w:rPr>
                      <w:rFonts w:hint="eastAsia" w:cs="宋体"/>
                      <w:color w:val="000000" w:themeColor="text1"/>
                      <w:kern w:val="0"/>
                      <w:sz w:val="18"/>
                      <w:szCs w:val="18"/>
                      <w:lang w:bidi="ar"/>
                      <w14:textFill>
                        <w14:solidFill>
                          <w14:schemeClr w14:val="tx1"/>
                        </w14:solidFill>
                      </w14:textFill>
                    </w:rPr>
                    <w:t>反击破碎机</w:t>
                  </w:r>
                </w:p>
              </w:tc>
              <w:tc>
                <w:tcPr>
                  <w:tcW w:w="408" w:type="pct"/>
                  <w:shd w:val="clear" w:color="auto" w:fill="FFFFFF"/>
                  <w:vAlign w:val="center"/>
                </w:tcPr>
                <w:p w14:paraId="782858BC">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90</w:t>
                  </w:r>
                  <w:r>
                    <w:rPr>
                      <w:rFonts w:hint="eastAsia" w:ascii="Times New Roman" w:eastAsia="宋体"/>
                      <w:color w:val="000000" w:themeColor="text1"/>
                      <w:kern w:val="0"/>
                      <w:sz w:val="18"/>
                      <w:szCs w:val="18"/>
                      <w:lang w:val="en-US" w:eastAsia="zh-CN" w:bidi="ar"/>
                      <w14:textFill>
                        <w14:solidFill>
                          <w14:schemeClr w14:val="tx1"/>
                        </w14:solidFill>
                      </w14:textFill>
                    </w:rPr>
                    <w:t>/1台</w:t>
                  </w:r>
                </w:p>
              </w:tc>
              <w:tc>
                <w:tcPr>
                  <w:tcW w:w="355" w:type="pct"/>
                  <w:vMerge w:val="continue"/>
                  <w:shd w:val="clear" w:color="auto" w:fill="FFFFFF"/>
                  <w:vAlign w:val="center"/>
                </w:tcPr>
                <w:p w14:paraId="2BD19887">
                  <w:pPr>
                    <w:widowControl/>
                    <w:jc w:val="center"/>
                    <w:rPr>
                      <w:rFonts w:cs="宋体"/>
                      <w:color w:val="000000" w:themeColor="text1"/>
                      <w:sz w:val="18"/>
                      <w:szCs w:val="18"/>
                      <w14:textFill>
                        <w14:solidFill>
                          <w14:schemeClr w14:val="tx1"/>
                        </w14:solidFill>
                      </w14:textFill>
                    </w:rPr>
                  </w:pPr>
                </w:p>
              </w:tc>
              <w:tc>
                <w:tcPr>
                  <w:tcW w:w="185" w:type="pct"/>
                  <w:shd w:val="clear" w:color="auto" w:fill="FFFFFF"/>
                  <w:vAlign w:val="center"/>
                </w:tcPr>
                <w:p w14:paraId="0E725913">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-23.61</w:t>
                  </w:r>
                </w:p>
              </w:tc>
              <w:tc>
                <w:tcPr>
                  <w:tcW w:w="173" w:type="pct"/>
                  <w:shd w:val="clear" w:color="auto" w:fill="FFFFFF"/>
                  <w:vAlign w:val="center"/>
                </w:tcPr>
                <w:p w14:paraId="2DCC0A87">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19.35</w:t>
                  </w:r>
                </w:p>
              </w:tc>
              <w:tc>
                <w:tcPr>
                  <w:tcW w:w="106" w:type="pct"/>
                  <w:shd w:val="clear" w:color="auto" w:fill="FFFFFF"/>
                  <w:vAlign w:val="center"/>
                </w:tcPr>
                <w:p w14:paraId="33EC54D8">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1.2</w:t>
                  </w:r>
                </w:p>
              </w:tc>
              <w:tc>
                <w:tcPr>
                  <w:tcW w:w="127" w:type="pct"/>
                  <w:shd w:val="clear" w:color="auto" w:fill="FFFFFF"/>
                  <w:vAlign w:val="center"/>
                </w:tcPr>
                <w:p w14:paraId="0DC4845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60.5</w:t>
                  </w:r>
                </w:p>
              </w:tc>
              <w:tc>
                <w:tcPr>
                  <w:tcW w:w="162" w:type="pct"/>
                  <w:shd w:val="clear" w:color="auto" w:fill="FFFFFF"/>
                  <w:vAlign w:val="center"/>
                </w:tcPr>
                <w:p w14:paraId="060D5C45">
                  <w:pPr>
                    <w:widowControl/>
                    <w:jc w:val="center"/>
                    <w:textAlignment w:val="center"/>
                    <w:rPr>
                      <w:rFonts w:hint="default" w:eastAsia="宋体"/>
                      <w:color w:val="000000" w:themeColor="text1"/>
                      <w:sz w:val="18"/>
                      <w:szCs w:val="18"/>
                      <w:lang w:val="en-US" w:eastAsia="zh-CN"/>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18.65</w:t>
                  </w:r>
                </w:p>
              </w:tc>
              <w:tc>
                <w:tcPr>
                  <w:tcW w:w="127" w:type="pct"/>
                  <w:shd w:val="clear" w:color="auto" w:fill="FFFFFF"/>
                  <w:vAlign w:val="center"/>
                </w:tcPr>
                <w:p w14:paraId="7C897B9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27.5</w:t>
                  </w:r>
                </w:p>
              </w:tc>
              <w:tc>
                <w:tcPr>
                  <w:tcW w:w="163" w:type="pct"/>
                  <w:shd w:val="clear" w:color="auto" w:fill="FFFFFF"/>
                  <w:vAlign w:val="center"/>
                </w:tcPr>
                <w:p w14:paraId="7D60FBE7">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16.09</w:t>
                  </w:r>
                </w:p>
              </w:tc>
              <w:tc>
                <w:tcPr>
                  <w:tcW w:w="145" w:type="pct"/>
                  <w:shd w:val="clear" w:color="auto" w:fill="FFFFFF"/>
                  <w:vAlign w:val="center"/>
                </w:tcPr>
                <w:p w14:paraId="326F5A87">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64.9 </w:t>
                  </w:r>
                </w:p>
              </w:tc>
              <w:tc>
                <w:tcPr>
                  <w:tcW w:w="145" w:type="pct"/>
                  <w:shd w:val="clear" w:color="auto" w:fill="FFFFFF"/>
                  <w:vAlign w:val="center"/>
                </w:tcPr>
                <w:p w14:paraId="58BEDCA9">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64.9 </w:t>
                  </w:r>
                </w:p>
              </w:tc>
              <w:tc>
                <w:tcPr>
                  <w:tcW w:w="145" w:type="pct"/>
                  <w:shd w:val="clear" w:color="auto" w:fill="FFFFFF"/>
                  <w:vAlign w:val="center"/>
                </w:tcPr>
                <w:p w14:paraId="54CBCD62">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65.6 </w:t>
                  </w:r>
                </w:p>
              </w:tc>
              <w:tc>
                <w:tcPr>
                  <w:tcW w:w="149" w:type="pct"/>
                  <w:shd w:val="clear" w:color="auto" w:fill="FFFFFF"/>
                  <w:vAlign w:val="center"/>
                </w:tcPr>
                <w:p w14:paraId="4E1416D5">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66.9 </w:t>
                  </w:r>
                </w:p>
              </w:tc>
              <w:tc>
                <w:tcPr>
                  <w:tcW w:w="231" w:type="pct"/>
                  <w:vMerge w:val="continue"/>
                  <w:shd w:val="clear" w:color="auto" w:fill="FFFFFF"/>
                  <w:vAlign w:val="center"/>
                </w:tcPr>
                <w:p w14:paraId="47E40036">
                  <w:pPr>
                    <w:widowControl/>
                    <w:jc w:val="center"/>
                    <w:rPr>
                      <w:color w:val="000000" w:themeColor="text1"/>
                      <w:sz w:val="18"/>
                      <w:szCs w:val="18"/>
                      <w14:textFill>
                        <w14:solidFill>
                          <w14:schemeClr w14:val="tx1"/>
                        </w14:solidFill>
                      </w14:textFill>
                    </w:rPr>
                  </w:pPr>
                </w:p>
              </w:tc>
              <w:tc>
                <w:tcPr>
                  <w:tcW w:w="156" w:type="pct"/>
                  <w:shd w:val="clear" w:color="auto" w:fill="FFFFFF"/>
                  <w:vAlign w:val="center"/>
                </w:tcPr>
                <w:p w14:paraId="408628A9">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085EDB36">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10B5C55F">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9" w:type="pct"/>
                  <w:shd w:val="clear" w:color="auto" w:fill="FFFFFF"/>
                  <w:vAlign w:val="center"/>
                </w:tcPr>
                <w:p w14:paraId="231C6916">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62" w:type="pct"/>
                  <w:shd w:val="clear" w:color="auto" w:fill="FFFFFF"/>
                  <w:vAlign w:val="center"/>
                </w:tcPr>
                <w:p w14:paraId="3A3CD22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38.94 </w:t>
                  </w:r>
                </w:p>
              </w:tc>
              <w:tc>
                <w:tcPr>
                  <w:tcW w:w="162" w:type="pct"/>
                  <w:shd w:val="clear" w:color="auto" w:fill="FFFFFF"/>
                  <w:vAlign w:val="center"/>
                </w:tcPr>
                <w:p w14:paraId="4052B1F9">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38.91 </w:t>
                  </w:r>
                </w:p>
              </w:tc>
              <w:tc>
                <w:tcPr>
                  <w:tcW w:w="162" w:type="pct"/>
                  <w:shd w:val="clear" w:color="auto" w:fill="FFFFFF"/>
                  <w:vAlign w:val="center"/>
                </w:tcPr>
                <w:p w14:paraId="163DCFCF">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39.61 </w:t>
                  </w:r>
                </w:p>
              </w:tc>
              <w:tc>
                <w:tcPr>
                  <w:tcW w:w="162" w:type="pct"/>
                  <w:shd w:val="clear" w:color="auto" w:fill="FFFFFF"/>
                  <w:vAlign w:val="center"/>
                </w:tcPr>
                <w:p w14:paraId="72BF871D">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40.91 </w:t>
                  </w:r>
                </w:p>
              </w:tc>
              <w:tc>
                <w:tcPr>
                  <w:tcW w:w="422" w:type="pct"/>
                  <w:shd w:val="clear" w:color="auto" w:fill="FFFFFF"/>
                  <w:vAlign w:val="center"/>
                </w:tcPr>
                <w:p w14:paraId="57B14D55">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w:t>
                  </w:r>
                </w:p>
              </w:tc>
            </w:tr>
            <w:tr w14:paraId="4B8C5B7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300" w:hRule="atLeast"/>
              </w:trPr>
              <w:tc>
                <w:tcPr>
                  <w:tcW w:w="114" w:type="pct"/>
                  <w:shd w:val="clear" w:color="auto" w:fill="FFFFFF"/>
                  <w:vAlign w:val="center"/>
                </w:tcPr>
                <w:p w14:paraId="4CC626B6">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4</w:t>
                  </w:r>
                </w:p>
              </w:tc>
              <w:tc>
                <w:tcPr>
                  <w:tcW w:w="268" w:type="pct"/>
                  <w:vMerge w:val="continue"/>
                  <w:shd w:val="clear" w:color="auto" w:fill="FFFFFF"/>
                  <w:vAlign w:val="center"/>
                </w:tcPr>
                <w:p w14:paraId="61C28815">
                  <w:pPr>
                    <w:jc w:val="center"/>
                    <w:rPr>
                      <w:rFonts w:cs="宋体"/>
                      <w:color w:val="000000" w:themeColor="text1"/>
                      <w:sz w:val="18"/>
                      <w:szCs w:val="18"/>
                      <w14:textFill>
                        <w14:solidFill>
                          <w14:schemeClr w14:val="tx1"/>
                        </w14:solidFill>
                      </w14:textFill>
                    </w:rPr>
                  </w:pPr>
                </w:p>
              </w:tc>
              <w:tc>
                <w:tcPr>
                  <w:tcW w:w="294" w:type="pct"/>
                  <w:vAlign w:val="center"/>
                </w:tcPr>
                <w:p w14:paraId="026AD63B">
                  <w:pPr>
                    <w:widowControl/>
                    <w:jc w:val="center"/>
                    <w:textAlignment w:val="center"/>
                    <w:rPr>
                      <w:rFonts w:cs="宋体"/>
                      <w:color w:val="000000" w:themeColor="text1"/>
                      <w:sz w:val="18"/>
                      <w:szCs w:val="18"/>
                      <w14:textFill>
                        <w14:solidFill>
                          <w14:schemeClr w14:val="tx1"/>
                        </w14:solidFill>
                      </w14:textFill>
                    </w:rPr>
                  </w:pPr>
                  <w:r>
                    <w:rPr>
                      <w:rFonts w:hint="eastAsia" w:cs="宋体"/>
                      <w:color w:val="000000" w:themeColor="text1"/>
                      <w:kern w:val="0"/>
                      <w:sz w:val="18"/>
                      <w:szCs w:val="18"/>
                      <w:lang w:bidi="ar"/>
                      <w14:textFill>
                        <w14:solidFill>
                          <w14:schemeClr w14:val="tx1"/>
                        </w14:solidFill>
                      </w14:textFill>
                    </w:rPr>
                    <w:t>搅拌机</w:t>
                  </w:r>
                </w:p>
              </w:tc>
              <w:tc>
                <w:tcPr>
                  <w:tcW w:w="408" w:type="pct"/>
                  <w:shd w:val="clear" w:color="auto" w:fill="FFFFFF"/>
                  <w:vAlign w:val="center"/>
                </w:tcPr>
                <w:p w14:paraId="2F6B5920">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85</w:t>
                  </w:r>
                  <w:r>
                    <w:rPr>
                      <w:rFonts w:hint="eastAsia" w:ascii="Times New Roman" w:eastAsia="宋体"/>
                      <w:color w:val="000000" w:themeColor="text1"/>
                      <w:kern w:val="0"/>
                      <w:sz w:val="18"/>
                      <w:szCs w:val="18"/>
                      <w:lang w:val="en-US" w:eastAsia="zh-CN" w:bidi="ar"/>
                      <w14:textFill>
                        <w14:solidFill>
                          <w14:schemeClr w14:val="tx1"/>
                        </w14:solidFill>
                      </w14:textFill>
                    </w:rPr>
                    <w:t>/1台</w:t>
                  </w:r>
                </w:p>
              </w:tc>
              <w:tc>
                <w:tcPr>
                  <w:tcW w:w="355" w:type="pct"/>
                  <w:vMerge w:val="continue"/>
                  <w:shd w:val="clear" w:color="auto" w:fill="FFFFFF"/>
                  <w:vAlign w:val="center"/>
                </w:tcPr>
                <w:p w14:paraId="26ED9BC0">
                  <w:pPr>
                    <w:widowControl/>
                    <w:jc w:val="center"/>
                    <w:rPr>
                      <w:rFonts w:cs="宋体"/>
                      <w:color w:val="000000" w:themeColor="text1"/>
                      <w:sz w:val="18"/>
                      <w:szCs w:val="18"/>
                      <w14:textFill>
                        <w14:solidFill>
                          <w14:schemeClr w14:val="tx1"/>
                        </w14:solidFill>
                      </w14:textFill>
                    </w:rPr>
                  </w:pPr>
                </w:p>
              </w:tc>
              <w:tc>
                <w:tcPr>
                  <w:tcW w:w="185" w:type="pct"/>
                  <w:shd w:val="clear" w:color="auto" w:fill="FFFFFF"/>
                  <w:vAlign w:val="center"/>
                </w:tcPr>
                <w:p w14:paraId="1119EB48">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-13.31</w:t>
                  </w:r>
                </w:p>
              </w:tc>
              <w:tc>
                <w:tcPr>
                  <w:tcW w:w="173" w:type="pct"/>
                  <w:shd w:val="clear" w:color="auto" w:fill="FFFFFF"/>
                  <w:vAlign w:val="center"/>
                </w:tcPr>
                <w:p w14:paraId="7F7F8A74">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23.27</w:t>
                  </w:r>
                </w:p>
              </w:tc>
              <w:tc>
                <w:tcPr>
                  <w:tcW w:w="106" w:type="pct"/>
                  <w:shd w:val="clear" w:color="auto" w:fill="FFFFFF"/>
                  <w:vAlign w:val="center"/>
                </w:tcPr>
                <w:p w14:paraId="2C8662F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1.2</w:t>
                  </w:r>
                </w:p>
              </w:tc>
              <w:tc>
                <w:tcPr>
                  <w:tcW w:w="127" w:type="pct"/>
                  <w:shd w:val="clear" w:color="auto" w:fill="FFFFFF"/>
                  <w:vAlign w:val="center"/>
                </w:tcPr>
                <w:p w14:paraId="5DE25C2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49.5</w:t>
                  </w:r>
                </w:p>
              </w:tc>
              <w:tc>
                <w:tcPr>
                  <w:tcW w:w="162" w:type="pct"/>
                  <w:shd w:val="clear" w:color="auto" w:fill="FFFFFF"/>
                  <w:vAlign w:val="center"/>
                </w:tcPr>
                <w:p w14:paraId="1C0997A8">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65.11</w:t>
                  </w:r>
                </w:p>
              </w:tc>
              <w:tc>
                <w:tcPr>
                  <w:tcW w:w="127" w:type="pct"/>
                  <w:shd w:val="clear" w:color="auto" w:fill="FFFFFF"/>
                  <w:vAlign w:val="center"/>
                </w:tcPr>
                <w:p w14:paraId="6D395585">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38.5</w:t>
                  </w:r>
                </w:p>
              </w:tc>
              <w:tc>
                <w:tcPr>
                  <w:tcW w:w="163" w:type="pct"/>
                  <w:shd w:val="clear" w:color="auto" w:fill="FFFFFF"/>
                  <w:vAlign w:val="center"/>
                </w:tcPr>
                <w:p w14:paraId="3D3802D6">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16.09</w:t>
                  </w:r>
                </w:p>
              </w:tc>
              <w:tc>
                <w:tcPr>
                  <w:tcW w:w="145" w:type="pct"/>
                  <w:shd w:val="clear" w:color="auto" w:fill="FFFFFF"/>
                  <w:vAlign w:val="center"/>
                </w:tcPr>
                <w:p w14:paraId="3F7174F0">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60.0 </w:t>
                  </w:r>
                </w:p>
              </w:tc>
              <w:tc>
                <w:tcPr>
                  <w:tcW w:w="145" w:type="pct"/>
                  <w:shd w:val="clear" w:color="auto" w:fill="FFFFFF"/>
                  <w:vAlign w:val="center"/>
                </w:tcPr>
                <w:p w14:paraId="3044C367">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59.9 </w:t>
                  </w:r>
                </w:p>
              </w:tc>
              <w:tc>
                <w:tcPr>
                  <w:tcW w:w="145" w:type="pct"/>
                  <w:shd w:val="clear" w:color="auto" w:fill="FFFFFF"/>
                  <w:vAlign w:val="center"/>
                </w:tcPr>
                <w:p w14:paraId="7B0A93E3">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60.2 </w:t>
                  </w:r>
                </w:p>
              </w:tc>
              <w:tc>
                <w:tcPr>
                  <w:tcW w:w="149" w:type="pct"/>
                  <w:shd w:val="clear" w:color="auto" w:fill="FFFFFF"/>
                  <w:vAlign w:val="center"/>
                </w:tcPr>
                <w:p w14:paraId="0AC6A2E3">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61.9 </w:t>
                  </w:r>
                </w:p>
              </w:tc>
              <w:tc>
                <w:tcPr>
                  <w:tcW w:w="231" w:type="pct"/>
                  <w:vMerge w:val="continue"/>
                  <w:shd w:val="clear" w:color="auto" w:fill="FFFFFF"/>
                  <w:vAlign w:val="center"/>
                </w:tcPr>
                <w:p w14:paraId="58ADEFE2">
                  <w:pPr>
                    <w:widowControl/>
                    <w:jc w:val="center"/>
                    <w:rPr>
                      <w:color w:val="000000" w:themeColor="text1"/>
                      <w:sz w:val="18"/>
                      <w:szCs w:val="18"/>
                      <w14:textFill>
                        <w14:solidFill>
                          <w14:schemeClr w14:val="tx1"/>
                        </w14:solidFill>
                      </w14:textFill>
                    </w:rPr>
                  </w:pPr>
                </w:p>
              </w:tc>
              <w:tc>
                <w:tcPr>
                  <w:tcW w:w="156" w:type="pct"/>
                  <w:shd w:val="clear" w:color="auto" w:fill="FFFFFF"/>
                  <w:vAlign w:val="center"/>
                </w:tcPr>
                <w:p w14:paraId="20B1F5E8">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1C4438DF">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0289DC67">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9" w:type="pct"/>
                  <w:shd w:val="clear" w:color="auto" w:fill="FFFFFF"/>
                  <w:vAlign w:val="center"/>
                </w:tcPr>
                <w:p w14:paraId="510F0EB5">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62" w:type="pct"/>
                  <w:shd w:val="clear" w:color="auto" w:fill="FFFFFF"/>
                  <w:vAlign w:val="center"/>
                </w:tcPr>
                <w:p w14:paraId="17D72B1B">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34.03 </w:t>
                  </w:r>
                </w:p>
              </w:tc>
              <w:tc>
                <w:tcPr>
                  <w:tcW w:w="162" w:type="pct"/>
                  <w:shd w:val="clear" w:color="auto" w:fill="FFFFFF"/>
                  <w:vAlign w:val="center"/>
                </w:tcPr>
                <w:p w14:paraId="23C43C82">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33.91 </w:t>
                  </w:r>
                </w:p>
              </w:tc>
              <w:tc>
                <w:tcPr>
                  <w:tcW w:w="162" w:type="pct"/>
                  <w:shd w:val="clear" w:color="auto" w:fill="FFFFFF"/>
                  <w:vAlign w:val="center"/>
                </w:tcPr>
                <w:p w14:paraId="435DC23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34.21 </w:t>
                  </w:r>
                </w:p>
              </w:tc>
              <w:tc>
                <w:tcPr>
                  <w:tcW w:w="162" w:type="pct"/>
                  <w:shd w:val="clear" w:color="auto" w:fill="FFFFFF"/>
                  <w:vAlign w:val="center"/>
                </w:tcPr>
                <w:p w14:paraId="62AA3495">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35.91 </w:t>
                  </w:r>
                </w:p>
              </w:tc>
              <w:tc>
                <w:tcPr>
                  <w:tcW w:w="422" w:type="pct"/>
                  <w:shd w:val="clear" w:color="auto" w:fill="FFFFFF"/>
                  <w:vAlign w:val="center"/>
                </w:tcPr>
                <w:p w14:paraId="591AE576">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w:t>
                  </w:r>
                </w:p>
              </w:tc>
            </w:tr>
            <w:tr w14:paraId="61A0DFE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85" w:hRule="atLeast"/>
              </w:trPr>
              <w:tc>
                <w:tcPr>
                  <w:tcW w:w="114" w:type="pct"/>
                  <w:shd w:val="clear" w:color="auto" w:fill="FFFFFF"/>
                  <w:vAlign w:val="center"/>
                </w:tcPr>
                <w:p w14:paraId="3C7064E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5</w:t>
                  </w:r>
                </w:p>
              </w:tc>
              <w:tc>
                <w:tcPr>
                  <w:tcW w:w="268" w:type="pct"/>
                  <w:vMerge w:val="continue"/>
                  <w:shd w:val="clear" w:color="auto" w:fill="FFFFFF"/>
                  <w:vAlign w:val="center"/>
                </w:tcPr>
                <w:p w14:paraId="1C9D7487">
                  <w:pPr>
                    <w:jc w:val="center"/>
                    <w:rPr>
                      <w:rFonts w:cs="宋体"/>
                      <w:color w:val="000000" w:themeColor="text1"/>
                      <w:sz w:val="18"/>
                      <w:szCs w:val="18"/>
                      <w14:textFill>
                        <w14:solidFill>
                          <w14:schemeClr w14:val="tx1"/>
                        </w14:solidFill>
                      </w14:textFill>
                    </w:rPr>
                  </w:pPr>
                </w:p>
              </w:tc>
              <w:tc>
                <w:tcPr>
                  <w:tcW w:w="294" w:type="pct"/>
                  <w:vAlign w:val="center"/>
                </w:tcPr>
                <w:p w14:paraId="5D3F45D2">
                  <w:pPr>
                    <w:widowControl/>
                    <w:jc w:val="center"/>
                    <w:textAlignment w:val="center"/>
                    <w:rPr>
                      <w:rFonts w:cs="宋体"/>
                      <w:color w:val="000000" w:themeColor="text1"/>
                      <w:sz w:val="18"/>
                      <w:szCs w:val="18"/>
                      <w14:textFill>
                        <w14:solidFill>
                          <w14:schemeClr w14:val="tx1"/>
                        </w14:solidFill>
                      </w14:textFill>
                    </w:rPr>
                  </w:pPr>
                  <w:r>
                    <w:rPr>
                      <w:rFonts w:hint="eastAsia" w:cs="宋体"/>
                      <w:color w:val="000000" w:themeColor="text1"/>
                      <w:kern w:val="0"/>
                      <w:sz w:val="18"/>
                      <w:szCs w:val="18"/>
                      <w:lang w:bidi="ar"/>
                      <w14:textFill>
                        <w14:solidFill>
                          <w14:schemeClr w14:val="tx1"/>
                        </w14:solidFill>
                      </w14:textFill>
                    </w:rPr>
                    <w:t>工控机</w:t>
                  </w:r>
                </w:p>
              </w:tc>
              <w:tc>
                <w:tcPr>
                  <w:tcW w:w="408" w:type="pct"/>
                  <w:shd w:val="clear" w:color="auto" w:fill="FFFFFF"/>
                  <w:vAlign w:val="center"/>
                </w:tcPr>
                <w:p w14:paraId="78E2FB7E">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85</w:t>
                  </w:r>
                  <w:r>
                    <w:rPr>
                      <w:rFonts w:hint="eastAsia" w:ascii="Times New Roman" w:eastAsia="宋体"/>
                      <w:color w:val="000000" w:themeColor="text1"/>
                      <w:kern w:val="0"/>
                      <w:sz w:val="18"/>
                      <w:szCs w:val="18"/>
                      <w:lang w:val="en-US" w:eastAsia="zh-CN" w:bidi="ar"/>
                      <w14:textFill>
                        <w14:solidFill>
                          <w14:schemeClr w14:val="tx1"/>
                        </w14:solidFill>
                      </w14:textFill>
                    </w:rPr>
                    <w:t>/1台</w:t>
                  </w:r>
                </w:p>
              </w:tc>
              <w:tc>
                <w:tcPr>
                  <w:tcW w:w="355" w:type="pct"/>
                  <w:vMerge w:val="continue"/>
                  <w:shd w:val="clear" w:color="auto" w:fill="FFFFFF"/>
                  <w:vAlign w:val="center"/>
                </w:tcPr>
                <w:p w14:paraId="06F1BF3B">
                  <w:pPr>
                    <w:widowControl/>
                    <w:jc w:val="center"/>
                    <w:rPr>
                      <w:rFonts w:cs="宋体"/>
                      <w:color w:val="000000" w:themeColor="text1"/>
                      <w:sz w:val="18"/>
                      <w:szCs w:val="18"/>
                      <w14:textFill>
                        <w14:solidFill>
                          <w14:schemeClr w14:val="tx1"/>
                        </w14:solidFill>
                      </w14:textFill>
                    </w:rPr>
                  </w:pPr>
                </w:p>
              </w:tc>
              <w:tc>
                <w:tcPr>
                  <w:tcW w:w="185" w:type="pct"/>
                  <w:shd w:val="clear" w:color="auto" w:fill="FFFFFF"/>
                  <w:vAlign w:val="center"/>
                </w:tcPr>
                <w:p w14:paraId="3503A8B1">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-3.55</w:t>
                  </w:r>
                </w:p>
              </w:tc>
              <w:tc>
                <w:tcPr>
                  <w:tcW w:w="173" w:type="pct"/>
                  <w:shd w:val="clear" w:color="auto" w:fill="FFFFFF"/>
                  <w:vAlign w:val="center"/>
                </w:tcPr>
                <w:p w14:paraId="5DA441D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28.37</w:t>
                  </w:r>
                </w:p>
              </w:tc>
              <w:tc>
                <w:tcPr>
                  <w:tcW w:w="106" w:type="pct"/>
                  <w:shd w:val="clear" w:color="auto" w:fill="FFFFFF"/>
                  <w:vAlign w:val="center"/>
                </w:tcPr>
                <w:p w14:paraId="03E803D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1.2</w:t>
                  </w:r>
                </w:p>
              </w:tc>
              <w:tc>
                <w:tcPr>
                  <w:tcW w:w="127" w:type="pct"/>
                  <w:shd w:val="clear" w:color="auto" w:fill="FFFFFF"/>
                  <w:vAlign w:val="center"/>
                </w:tcPr>
                <w:p w14:paraId="24F0C89D">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38.5</w:t>
                  </w:r>
                </w:p>
              </w:tc>
              <w:tc>
                <w:tcPr>
                  <w:tcW w:w="162" w:type="pct"/>
                  <w:shd w:val="clear" w:color="auto" w:fill="FFFFFF"/>
                  <w:vAlign w:val="center"/>
                </w:tcPr>
                <w:p w14:paraId="2849CFAA">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25</w:t>
                  </w:r>
                  <w:r>
                    <w:rPr>
                      <w:color w:val="000000" w:themeColor="text1"/>
                      <w:kern w:val="0"/>
                      <w:sz w:val="18"/>
                      <w:szCs w:val="18"/>
                      <w:lang w:bidi="ar"/>
                      <w14:textFill>
                        <w14:solidFill>
                          <w14:schemeClr w14:val="tx1"/>
                        </w14:solidFill>
                      </w14:textFill>
                    </w:rPr>
                    <w:t>.</w:t>
                  </w:r>
                  <w:r>
                    <w:rPr>
                      <w:rFonts w:hint="eastAsia"/>
                      <w:color w:val="000000" w:themeColor="text1"/>
                      <w:kern w:val="0"/>
                      <w:sz w:val="18"/>
                      <w:szCs w:val="18"/>
                      <w:lang w:val="en-US" w:eastAsia="zh-CN" w:bidi="ar"/>
                      <w14:textFill>
                        <w14:solidFill>
                          <w14:schemeClr w14:val="tx1"/>
                        </w14:solidFill>
                      </w14:textFill>
                    </w:rPr>
                    <w:t>8</w:t>
                  </w:r>
                  <w:r>
                    <w:rPr>
                      <w:color w:val="000000" w:themeColor="text1"/>
                      <w:kern w:val="0"/>
                      <w:sz w:val="18"/>
                      <w:szCs w:val="18"/>
                      <w:lang w:bidi="ar"/>
                      <w14:textFill>
                        <w14:solidFill>
                          <w14:schemeClr w14:val="tx1"/>
                        </w14:solidFill>
                      </w14:textFill>
                    </w:rPr>
                    <w:t>1</w:t>
                  </w:r>
                </w:p>
              </w:tc>
              <w:tc>
                <w:tcPr>
                  <w:tcW w:w="127" w:type="pct"/>
                  <w:shd w:val="clear" w:color="auto" w:fill="FFFFFF"/>
                  <w:vAlign w:val="center"/>
                </w:tcPr>
                <w:p w14:paraId="4AD4860F">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49.5</w:t>
                  </w:r>
                </w:p>
              </w:tc>
              <w:tc>
                <w:tcPr>
                  <w:tcW w:w="163" w:type="pct"/>
                  <w:shd w:val="clear" w:color="auto" w:fill="FFFFFF"/>
                  <w:vAlign w:val="center"/>
                </w:tcPr>
                <w:p w14:paraId="340ECD46">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16.09</w:t>
                  </w:r>
                </w:p>
              </w:tc>
              <w:tc>
                <w:tcPr>
                  <w:tcW w:w="145" w:type="pct"/>
                  <w:shd w:val="clear" w:color="auto" w:fill="FFFFFF"/>
                  <w:vAlign w:val="center"/>
                </w:tcPr>
                <w:p w14:paraId="0FCD765D">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60.2 </w:t>
                  </w:r>
                </w:p>
              </w:tc>
              <w:tc>
                <w:tcPr>
                  <w:tcW w:w="145" w:type="pct"/>
                  <w:shd w:val="clear" w:color="auto" w:fill="FFFFFF"/>
                  <w:vAlign w:val="center"/>
                </w:tcPr>
                <w:p w14:paraId="5E275626">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59.9 </w:t>
                  </w:r>
                </w:p>
              </w:tc>
              <w:tc>
                <w:tcPr>
                  <w:tcW w:w="145" w:type="pct"/>
                  <w:shd w:val="clear" w:color="auto" w:fill="FFFFFF"/>
                  <w:vAlign w:val="center"/>
                </w:tcPr>
                <w:p w14:paraId="3B44FF33">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60.0 </w:t>
                  </w:r>
                </w:p>
              </w:tc>
              <w:tc>
                <w:tcPr>
                  <w:tcW w:w="149" w:type="pct"/>
                  <w:shd w:val="clear" w:color="auto" w:fill="FFFFFF"/>
                  <w:vAlign w:val="center"/>
                </w:tcPr>
                <w:p w14:paraId="60EFBF63">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61.9 </w:t>
                  </w:r>
                </w:p>
              </w:tc>
              <w:tc>
                <w:tcPr>
                  <w:tcW w:w="231" w:type="pct"/>
                  <w:vMerge w:val="continue"/>
                  <w:shd w:val="clear" w:color="auto" w:fill="FFFFFF"/>
                  <w:vAlign w:val="center"/>
                </w:tcPr>
                <w:p w14:paraId="22C5381B">
                  <w:pPr>
                    <w:widowControl/>
                    <w:jc w:val="center"/>
                    <w:rPr>
                      <w:color w:val="000000" w:themeColor="text1"/>
                      <w:sz w:val="18"/>
                      <w:szCs w:val="18"/>
                      <w14:textFill>
                        <w14:solidFill>
                          <w14:schemeClr w14:val="tx1"/>
                        </w14:solidFill>
                      </w14:textFill>
                    </w:rPr>
                  </w:pPr>
                </w:p>
              </w:tc>
              <w:tc>
                <w:tcPr>
                  <w:tcW w:w="156" w:type="pct"/>
                  <w:shd w:val="clear" w:color="auto" w:fill="FFFFFF"/>
                  <w:vAlign w:val="center"/>
                </w:tcPr>
                <w:p w14:paraId="5549C3B8">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51B53DE4">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291DCFD5">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9" w:type="pct"/>
                  <w:shd w:val="clear" w:color="auto" w:fill="FFFFFF"/>
                  <w:vAlign w:val="center"/>
                </w:tcPr>
                <w:p w14:paraId="42D68B97">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62" w:type="pct"/>
                  <w:shd w:val="clear" w:color="auto" w:fill="FFFFFF"/>
                  <w:vAlign w:val="center"/>
                </w:tcPr>
                <w:p w14:paraId="37CA0803">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34.21 </w:t>
                  </w:r>
                </w:p>
              </w:tc>
              <w:tc>
                <w:tcPr>
                  <w:tcW w:w="162" w:type="pct"/>
                  <w:shd w:val="clear" w:color="auto" w:fill="FFFFFF"/>
                  <w:vAlign w:val="center"/>
                </w:tcPr>
                <w:p w14:paraId="52BDD987">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33.91 </w:t>
                  </w:r>
                </w:p>
              </w:tc>
              <w:tc>
                <w:tcPr>
                  <w:tcW w:w="162" w:type="pct"/>
                  <w:shd w:val="clear" w:color="auto" w:fill="FFFFFF"/>
                  <w:vAlign w:val="center"/>
                </w:tcPr>
                <w:p w14:paraId="442AB088">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34.03 </w:t>
                  </w:r>
                </w:p>
              </w:tc>
              <w:tc>
                <w:tcPr>
                  <w:tcW w:w="162" w:type="pct"/>
                  <w:shd w:val="clear" w:color="auto" w:fill="FFFFFF"/>
                  <w:vAlign w:val="center"/>
                </w:tcPr>
                <w:p w14:paraId="50FE7933">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35.91 </w:t>
                  </w:r>
                </w:p>
              </w:tc>
              <w:tc>
                <w:tcPr>
                  <w:tcW w:w="422" w:type="pct"/>
                  <w:shd w:val="clear" w:color="auto" w:fill="FFFFFF"/>
                  <w:vAlign w:val="center"/>
                </w:tcPr>
                <w:p w14:paraId="5488427F">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w:t>
                  </w:r>
                </w:p>
              </w:tc>
            </w:tr>
            <w:tr w14:paraId="11394B3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85" w:hRule="atLeast"/>
              </w:trPr>
              <w:tc>
                <w:tcPr>
                  <w:tcW w:w="114" w:type="pct"/>
                  <w:shd w:val="clear" w:color="auto" w:fill="FFFFFF"/>
                  <w:vAlign w:val="center"/>
                </w:tcPr>
                <w:p w14:paraId="1E2BC3E5">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6</w:t>
                  </w:r>
                </w:p>
              </w:tc>
              <w:tc>
                <w:tcPr>
                  <w:tcW w:w="268" w:type="pct"/>
                  <w:vMerge w:val="continue"/>
                  <w:shd w:val="clear" w:color="auto" w:fill="FFFFFF"/>
                  <w:vAlign w:val="center"/>
                </w:tcPr>
                <w:p w14:paraId="16A376CD">
                  <w:pPr>
                    <w:jc w:val="center"/>
                    <w:rPr>
                      <w:rFonts w:cs="宋体"/>
                      <w:color w:val="000000" w:themeColor="text1"/>
                      <w:sz w:val="18"/>
                      <w:szCs w:val="18"/>
                      <w14:textFill>
                        <w14:solidFill>
                          <w14:schemeClr w14:val="tx1"/>
                        </w14:solidFill>
                      </w14:textFill>
                    </w:rPr>
                  </w:pPr>
                </w:p>
              </w:tc>
              <w:tc>
                <w:tcPr>
                  <w:tcW w:w="294" w:type="pct"/>
                  <w:vAlign w:val="center"/>
                </w:tcPr>
                <w:p w14:paraId="095E36AE">
                  <w:pPr>
                    <w:widowControl/>
                    <w:jc w:val="center"/>
                    <w:textAlignment w:val="center"/>
                    <w:rPr>
                      <w:rFonts w:cs="宋体"/>
                      <w:color w:val="000000" w:themeColor="text1"/>
                      <w:sz w:val="18"/>
                      <w:szCs w:val="18"/>
                      <w14:textFill>
                        <w14:solidFill>
                          <w14:schemeClr w14:val="tx1"/>
                        </w14:solidFill>
                      </w14:textFill>
                    </w:rPr>
                  </w:pPr>
                  <w:r>
                    <w:rPr>
                      <w:rFonts w:hint="eastAsia" w:cs="宋体"/>
                      <w:color w:val="000000" w:themeColor="text1"/>
                      <w:kern w:val="0"/>
                      <w:sz w:val="18"/>
                      <w:szCs w:val="18"/>
                      <w:lang w:bidi="ar"/>
                      <w14:textFill>
                        <w14:solidFill>
                          <w14:schemeClr w14:val="tx1"/>
                        </w14:solidFill>
                      </w14:textFill>
                    </w:rPr>
                    <w:t>振动筛</w:t>
                  </w:r>
                </w:p>
              </w:tc>
              <w:tc>
                <w:tcPr>
                  <w:tcW w:w="408" w:type="pct"/>
                  <w:shd w:val="clear" w:color="auto" w:fill="FFFFFF"/>
                  <w:vAlign w:val="center"/>
                </w:tcPr>
                <w:p w14:paraId="0E8CA4D4">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85</w:t>
                  </w:r>
                  <w:r>
                    <w:rPr>
                      <w:rFonts w:hint="eastAsia" w:ascii="Times New Roman" w:eastAsia="宋体"/>
                      <w:color w:val="000000" w:themeColor="text1"/>
                      <w:kern w:val="0"/>
                      <w:sz w:val="18"/>
                      <w:szCs w:val="18"/>
                      <w:lang w:val="en-US" w:eastAsia="zh-CN" w:bidi="ar"/>
                      <w14:textFill>
                        <w14:solidFill>
                          <w14:schemeClr w14:val="tx1"/>
                        </w14:solidFill>
                      </w14:textFill>
                    </w:rPr>
                    <w:t>/</w:t>
                  </w:r>
                  <w:r>
                    <w:rPr>
                      <w:rFonts w:hint="eastAsia"/>
                      <w:color w:val="000000" w:themeColor="text1"/>
                      <w:kern w:val="0"/>
                      <w:sz w:val="18"/>
                      <w:szCs w:val="18"/>
                      <w:lang w:val="en-US" w:eastAsia="zh-CN" w:bidi="ar"/>
                      <w14:textFill>
                        <w14:solidFill>
                          <w14:schemeClr w14:val="tx1"/>
                        </w14:solidFill>
                      </w14:textFill>
                    </w:rPr>
                    <w:t>2</w:t>
                  </w:r>
                  <w:r>
                    <w:rPr>
                      <w:rFonts w:hint="eastAsia" w:ascii="Times New Roman" w:eastAsia="宋体"/>
                      <w:color w:val="000000" w:themeColor="text1"/>
                      <w:kern w:val="0"/>
                      <w:sz w:val="18"/>
                      <w:szCs w:val="18"/>
                      <w:lang w:val="en-US" w:eastAsia="zh-CN" w:bidi="ar"/>
                      <w14:textFill>
                        <w14:solidFill>
                          <w14:schemeClr w14:val="tx1"/>
                        </w14:solidFill>
                      </w14:textFill>
                    </w:rPr>
                    <w:t>台</w:t>
                  </w:r>
                </w:p>
              </w:tc>
              <w:tc>
                <w:tcPr>
                  <w:tcW w:w="355" w:type="pct"/>
                  <w:vMerge w:val="continue"/>
                  <w:shd w:val="clear" w:color="auto" w:fill="FFFFFF"/>
                  <w:vAlign w:val="center"/>
                </w:tcPr>
                <w:p w14:paraId="362C14AB">
                  <w:pPr>
                    <w:widowControl/>
                    <w:jc w:val="center"/>
                    <w:rPr>
                      <w:rFonts w:cs="宋体"/>
                      <w:color w:val="000000" w:themeColor="text1"/>
                      <w:sz w:val="18"/>
                      <w:szCs w:val="18"/>
                      <w14:textFill>
                        <w14:solidFill>
                          <w14:schemeClr w14:val="tx1"/>
                        </w14:solidFill>
                      </w14:textFill>
                    </w:rPr>
                  </w:pPr>
                </w:p>
              </w:tc>
              <w:tc>
                <w:tcPr>
                  <w:tcW w:w="185" w:type="pct"/>
                  <w:shd w:val="clear" w:color="auto" w:fill="FFFFFF"/>
                  <w:vAlign w:val="center"/>
                </w:tcPr>
                <w:p w14:paraId="54C7CE7F">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6.39</w:t>
                  </w:r>
                </w:p>
              </w:tc>
              <w:tc>
                <w:tcPr>
                  <w:tcW w:w="173" w:type="pct"/>
                  <w:shd w:val="clear" w:color="auto" w:fill="FFFFFF"/>
                  <w:vAlign w:val="center"/>
                </w:tcPr>
                <w:p w14:paraId="15D3CED5">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33.07</w:t>
                  </w:r>
                </w:p>
              </w:tc>
              <w:tc>
                <w:tcPr>
                  <w:tcW w:w="106" w:type="pct"/>
                  <w:shd w:val="clear" w:color="auto" w:fill="FFFFFF"/>
                  <w:vAlign w:val="center"/>
                </w:tcPr>
                <w:p w14:paraId="7187D5B7">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1.2</w:t>
                  </w:r>
                </w:p>
              </w:tc>
              <w:tc>
                <w:tcPr>
                  <w:tcW w:w="127" w:type="pct"/>
                  <w:shd w:val="clear" w:color="auto" w:fill="FFFFFF"/>
                  <w:vAlign w:val="center"/>
                </w:tcPr>
                <w:p w14:paraId="64D76B2C">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27.5</w:t>
                  </w:r>
                </w:p>
              </w:tc>
              <w:tc>
                <w:tcPr>
                  <w:tcW w:w="162" w:type="pct"/>
                  <w:shd w:val="clear" w:color="auto" w:fill="FFFFFF"/>
                  <w:vAlign w:val="center"/>
                </w:tcPr>
                <w:p w14:paraId="22447304">
                  <w:pPr>
                    <w:widowControl/>
                    <w:jc w:val="center"/>
                    <w:textAlignment w:val="center"/>
                    <w:rPr>
                      <w:rFonts w:hint="default" w:eastAsia="宋体"/>
                      <w:color w:val="000000" w:themeColor="text1"/>
                      <w:sz w:val="18"/>
                      <w:szCs w:val="18"/>
                      <w:lang w:val="en-US" w:eastAsia="zh-CN"/>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26.54</w:t>
                  </w:r>
                </w:p>
              </w:tc>
              <w:tc>
                <w:tcPr>
                  <w:tcW w:w="127" w:type="pct"/>
                  <w:shd w:val="clear" w:color="auto" w:fill="FFFFFF"/>
                  <w:vAlign w:val="center"/>
                </w:tcPr>
                <w:p w14:paraId="16ADC8C9">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60.5</w:t>
                  </w:r>
                </w:p>
              </w:tc>
              <w:tc>
                <w:tcPr>
                  <w:tcW w:w="163" w:type="pct"/>
                  <w:shd w:val="clear" w:color="auto" w:fill="FFFFFF"/>
                  <w:vAlign w:val="center"/>
                </w:tcPr>
                <w:p w14:paraId="4D466845">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16.09</w:t>
                  </w:r>
                </w:p>
              </w:tc>
              <w:tc>
                <w:tcPr>
                  <w:tcW w:w="145" w:type="pct"/>
                  <w:shd w:val="clear" w:color="auto" w:fill="FFFFFF"/>
                  <w:vAlign w:val="center"/>
                </w:tcPr>
                <w:p w14:paraId="6DDD82F0">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60.</w:t>
                  </w:r>
                  <w:r>
                    <w:rPr>
                      <w:rFonts w:hint="eastAsia"/>
                      <w:color w:val="000000" w:themeColor="text1"/>
                      <w:kern w:val="0"/>
                      <w:sz w:val="18"/>
                      <w:szCs w:val="18"/>
                      <w:lang w:val="en-US" w:eastAsia="zh-CN" w:bidi="ar"/>
                      <w14:textFill>
                        <w14:solidFill>
                          <w14:schemeClr w14:val="tx1"/>
                        </w14:solidFill>
                      </w14:textFill>
                    </w:rPr>
                    <w:t>8</w:t>
                  </w:r>
                  <w:r>
                    <w:rPr>
                      <w:color w:val="000000" w:themeColor="text1"/>
                      <w:kern w:val="0"/>
                      <w:sz w:val="18"/>
                      <w:szCs w:val="18"/>
                      <w:lang w:bidi="ar"/>
                      <w14:textFill>
                        <w14:solidFill>
                          <w14:schemeClr w14:val="tx1"/>
                        </w14:solidFill>
                      </w14:textFill>
                    </w:rPr>
                    <w:t xml:space="preserve"> </w:t>
                  </w:r>
                </w:p>
              </w:tc>
              <w:tc>
                <w:tcPr>
                  <w:tcW w:w="145" w:type="pct"/>
                  <w:shd w:val="clear" w:color="auto" w:fill="FFFFFF"/>
                  <w:vAlign w:val="center"/>
                </w:tcPr>
                <w:p w14:paraId="48F036C7">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61.3</w:t>
                  </w:r>
                  <w:r>
                    <w:rPr>
                      <w:color w:val="000000" w:themeColor="text1"/>
                      <w:kern w:val="0"/>
                      <w:sz w:val="18"/>
                      <w:szCs w:val="18"/>
                      <w:lang w:bidi="ar"/>
                      <w14:textFill>
                        <w14:solidFill>
                          <w14:schemeClr w14:val="tx1"/>
                        </w14:solidFill>
                      </w14:textFill>
                    </w:rPr>
                    <w:t xml:space="preserve">.9 </w:t>
                  </w:r>
                </w:p>
              </w:tc>
              <w:tc>
                <w:tcPr>
                  <w:tcW w:w="145" w:type="pct"/>
                  <w:shd w:val="clear" w:color="auto" w:fill="FFFFFF"/>
                  <w:vAlign w:val="center"/>
                </w:tcPr>
                <w:p w14:paraId="7763909D">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5</w:t>
                  </w:r>
                  <w:r>
                    <w:rPr>
                      <w:rFonts w:hint="eastAsia"/>
                      <w:color w:val="000000" w:themeColor="text1"/>
                      <w:kern w:val="0"/>
                      <w:sz w:val="18"/>
                      <w:szCs w:val="18"/>
                      <w:lang w:val="en-US" w:eastAsia="zh-CN" w:bidi="ar"/>
                      <w14:textFill>
                        <w14:solidFill>
                          <w14:schemeClr w14:val="tx1"/>
                        </w14:solidFill>
                      </w14:textFill>
                    </w:rPr>
                    <w:t>60.4</w:t>
                  </w:r>
                  <w:r>
                    <w:rPr>
                      <w:color w:val="000000" w:themeColor="text1"/>
                      <w:kern w:val="0"/>
                      <w:sz w:val="18"/>
                      <w:szCs w:val="18"/>
                      <w:lang w:bidi="ar"/>
                      <w14:textFill>
                        <w14:solidFill>
                          <w14:schemeClr w14:val="tx1"/>
                        </w14:solidFill>
                      </w14:textFill>
                    </w:rPr>
                    <w:t xml:space="preserve">.9 </w:t>
                  </w:r>
                </w:p>
              </w:tc>
              <w:tc>
                <w:tcPr>
                  <w:tcW w:w="149" w:type="pct"/>
                  <w:shd w:val="clear" w:color="auto" w:fill="FFFFFF"/>
                  <w:vAlign w:val="center"/>
                </w:tcPr>
                <w:p w14:paraId="3B61F29D">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61.9 </w:t>
                  </w:r>
                </w:p>
              </w:tc>
              <w:tc>
                <w:tcPr>
                  <w:tcW w:w="231" w:type="pct"/>
                  <w:vMerge w:val="continue"/>
                  <w:shd w:val="clear" w:color="auto" w:fill="FFFFFF"/>
                  <w:vAlign w:val="center"/>
                </w:tcPr>
                <w:p w14:paraId="21966442">
                  <w:pPr>
                    <w:widowControl/>
                    <w:jc w:val="center"/>
                    <w:rPr>
                      <w:color w:val="000000" w:themeColor="text1"/>
                      <w:sz w:val="18"/>
                      <w:szCs w:val="18"/>
                      <w14:textFill>
                        <w14:solidFill>
                          <w14:schemeClr w14:val="tx1"/>
                        </w14:solidFill>
                      </w14:textFill>
                    </w:rPr>
                  </w:pPr>
                </w:p>
              </w:tc>
              <w:tc>
                <w:tcPr>
                  <w:tcW w:w="156" w:type="pct"/>
                  <w:shd w:val="clear" w:color="auto" w:fill="FFFFFF"/>
                  <w:vAlign w:val="center"/>
                </w:tcPr>
                <w:p w14:paraId="76892277">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40CCF4F4">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02E2AF82">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9" w:type="pct"/>
                  <w:shd w:val="clear" w:color="auto" w:fill="FFFFFF"/>
                  <w:vAlign w:val="center"/>
                </w:tcPr>
                <w:p w14:paraId="28E91FC7">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62" w:type="pct"/>
                  <w:shd w:val="clear" w:color="auto" w:fill="FFFFFF"/>
                  <w:vAlign w:val="center"/>
                </w:tcPr>
                <w:p w14:paraId="461C1E4F">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34.61 </w:t>
                  </w:r>
                </w:p>
              </w:tc>
              <w:tc>
                <w:tcPr>
                  <w:tcW w:w="162" w:type="pct"/>
                  <w:shd w:val="clear" w:color="auto" w:fill="FFFFFF"/>
                  <w:vAlign w:val="center"/>
                </w:tcPr>
                <w:p w14:paraId="3A2445B7">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33.91 </w:t>
                  </w:r>
                </w:p>
              </w:tc>
              <w:tc>
                <w:tcPr>
                  <w:tcW w:w="162" w:type="pct"/>
                  <w:shd w:val="clear" w:color="auto" w:fill="FFFFFF"/>
                  <w:vAlign w:val="center"/>
                </w:tcPr>
                <w:p w14:paraId="2E62DD53">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33.94 </w:t>
                  </w:r>
                </w:p>
              </w:tc>
              <w:tc>
                <w:tcPr>
                  <w:tcW w:w="162" w:type="pct"/>
                  <w:shd w:val="clear" w:color="auto" w:fill="FFFFFF"/>
                  <w:vAlign w:val="center"/>
                </w:tcPr>
                <w:p w14:paraId="0F3EDF17">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35.91 </w:t>
                  </w:r>
                </w:p>
              </w:tc>
              <w:tc>
                <w:tcPr>
                  <w:tcW w:w="422" w:type="pct"/>
                  <w:shd w:val="clear" w:color="auto" w:fill="FFFFFF"/>
                  <w:vAlign w:val="center"/>
                </w:tcPr>
                <w:p w14:paraId="48F07460">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w:t>
                  </w:r>
                </w:p>
              </w:tc>
            </w:tr>
            <w:tr w14:paraId="1EA198D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300" w:hRule="atLeast"/>
              </w:trPr>
              <w:tc>
                <w:tcPr>
                  <w:tcW w:w="114" w:type="pct"/>
                  <w:shd w:val="clear" w:color="auto" w:fill="FFFFFF"/>
                  <w:vAlign w:val="center"/>
                </w:tcPr>
                <w:p w14:paraId="1AF348B0">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bidi="ar"/>
                      <w14:textFill>
                        <w14:solidFill>
                          <w14:schemeClr w14:val="tx1"/>
                        </w14:solidFill>
                      </w14:textFill>
                    </w:rPr>
                    <w:t>7</w:t>
                  </w:r>
                </w:p>
              </w:tc>
              <w:tc>
                <w:tcPr>
                  <w:tcW w:w="268" w:type="pct"/>
                  <w:vMerge w:val="continue"/>
                  <w:shd w:val="clear" w:color="auto" w:fill="FFFFFF"/>
                  <w:vAlign w:val="center"/>
                </w:tcPr>
                <w:p w14:paraId="2EB4982A">
                  <w:pPr>
                    <w:jc w:val="center"/>
                    <w:rPr>
                      <w:rFonts w:cs="宋体"/>
                      <w:color w:val="000000" w:themeColor="text1"/>
                      <w:sz w:val="18"/>
                      <w:szCs w:val="18"/>
                      <w14:textFill>
                        <w14:solidFill>
                          <w14:schemeClr w14:val="tx1"/>
                        </w14:solidFill>
                      </w14:textFill>
                    </w:rPr>
                  </w:pPr>
                </w:p>
              </w:tc>
              <w:tc>
                <w:tcPr>
                  <w:tcW w:w="294" w:type="pct"/>
                  <w:vAlign w:val="center"/>
                </w:tcPr>
                <w:p w14:paraId="75EA82EB">
                  <w:pPr>
                    <w:widowControl/>
                    <w:jc w:val="center"/>
                    <w:textAlignment w:val="center"/>
                    <w:rPr>
                      <w:rFonts w:cs="宋体"/>
                      <w:color w:val="000000" w:themeColor="text1"/>
                      <w:sz w:val="18"/>
                      <w:szCs w:val="18"/>
                      <w14:textFill>
                        <w14:solidFill>
                          <w14:schemeClr w14:val="tx1"/>
                        </w14:solidFill>
                      </w14:textFill>
                    </w:rPr>
                  </w:pPr>
                  <w:r>
                    <w:rPr>
                      <w:rFonts w:hint="eastAsia" w:cs="宋体"/>
                      <w:color w:val="000000" w:themeColor="text1"/>
                      <w:kern w:val="0"/>
                      <w:sz w:val="18"/>
                      <w:szCs w:val="18"/>
                      <w:lang w:bidi="ar"/>
                      <w14:textFill>
                        <w14:solidFill>
                          <w14:schemeClr w14:val="tx1"/>
                        </w14:solidFill>
                      </w14:textFill>
                    </w:rPr>
                    <w:t>脱水筛</w:t>
                  </w:r>
                </w:p>
              </w:tc>
              <w:tc>
                <w:tcPr>
                  <w:tcW w:w="408" w:type="pct"/>
                  <w:shd w:val="clear" w:color="auto" w:fill="FFFFFF"/>
                  <w:vAlign w:val="center"/>
                </w:tcPr>
                <w:p w14:paraId="0D2A431D">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80</w:t>
                  </w:r>
                  <w:r>
                    <w:rPr>
                      <w:rFonts w:hint="eastAsia" w:ascii="Times New Roman" w:eastAsia="宋体"/>
                      <w:color w:val="000000" w:themeColor="text1"/>
                      <w:kern w:val="0"/>
                      <w:sz w:val="18"/>
                      <w:szCs w:val="18"/>
                      <w:lang w:val="en-US" w:eastAsia="zh-CN" w:bidi="ar"/>
                      <w14:textFill>
                        <w14:solidFill>
                          <w14:schemeClr w14:val="tx1"/>
                        </w14:solidFill>
                      </w14:textFill>
                    </w:rPr>
                    <w:t>/1台</w:t>
                  </w:r>
                </w:p>
              </w:tc>
              <w:tc>
                <w:tcPr>
                  <w:tcW w:w="355" w:type="pct"/>
                  <w:vMerge w:val="continue"/>
                  <w:shd w:val="clear" w:color="auto" w:fill="FFFFFF"/>
                  <w:vAlign w:val="center"/>
                </w:tcPr>
                <w:p w14:paraId="2D1B17FA">
                  <w:pPr>
                    <w:widowControl/>
                    <w:jc w:val="center"/>
                    <w:rPr>
                      <w:rFonts w:cs="宋体"/>
                      <w:color w:val="000000" w:themeColor="text1"/>
                      <w:sz w:val="18"/>
                      <w:szCs w:val="18"/>
                      <w14:textFill>
                        <w14:solidFill>
                          <w14:schemeClr w14:val="tx1"/>
                        </w14:solidFill>
                      </w14:textFill>
                    </w:rPr>
                  </w:pPr>
                </w:p>
              </w:tc>
              <w:tc>
                <w:tcPr>
                  <w:tcW w:w="185" w:type="pct"/>
                  <w:shd w:val="clear" w:color="auto" w:fill="FFFFFF"/>
                  <w:vAlign w:val="center"/>
                </w:tcPr>
                <w:p w14:paraId="0D338CFE">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26.28</w:t>
                  </w:r>
                </w:p>
              </w:tc>
              <w:tc>
                <w:tcPr>
                  <w:tcW w:w="173" w:type="pct"/>
                  <w:shd w:val="clear" w:color="auto" w:fill="FFFFFF"/>
                  <w:vAlign w:val="center"/>
                </w:tcPr>
                <w:p w14:paraId="572D2365">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42.49</w:t>
                  </w:r>
                </w:p>
              </w:tc>
              <w:tc>
                <w:tcPr>
                  <w:tcW w:w="106" w:type="pct"/>
                  <w:shd w:val="clear" w:color="auto" w:fill="FFFFFF"/>
                  <w:vAlign w:val="center"/>
                </w:tcPr>
                <w:p w14:paraId="00437074">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1.2</w:t>
                  </w:r>
                </w:p>
              </w:tc>
              <w:tc>
                <w:tcPr>
                  <w:tcW w:w="127" w:type="pct"/>
                  <w:shd w:val="clear" w:color="auto" w:fill="FFFFFF"/>
                  <w:vAlign w:val="center"/>
                </w:tcPr>
                <w:p w14:paraId="7091834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5.5</w:t>
                  </w:r>
                </w:p>
              </w:tc>
              <w:tc>
                <w:tcPr>
                  <w:tcW w:w="162" w:type="pct"/>
                  <w:shd w:val="clear" w:color="auto" w:fill="FFFFFF"/>
                  <w:vAlign w:val="center"/>
                </w:tcPr>
                <w:p w14:paraId="1692EA40">
                  <w:pPr>
                    <w:widowControl/>
                    <w:jc w:val="center"/>
                    <w:textAlignment w:val="center"/>
                    <w:rPr>
                      <w:rFonts w:hint="default" w:eastAsia="宋体"/>
                      <w:color w:val="000000" w:themeColor="text1"/>
                      <w:sz w:val="18"/>
                      <w:szCs w:val="18"/>
                      <w:lang w:val="en-US" w:eastAsia="zh-CN"/>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14.31</w:t>
                  </w:r>
                </w:p>
              </w:tc>
              <w:tc>
                <w:tcPr>
                  <w:tcW w:w="127" w:type="pct"/>
                  <w:shd w:val="clear" w:color="auto" w:fill="FFFFFF"/>
                  <w:vAlign w:val="center"/>
                </w:tcPr>
                <w:p w14:paraId="3C70B917">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82.5</w:t>
                  </w:r>
                </w:p>
              </w:tc>
              <w:tc>
                <w:tcPr>
                  <w:tcW w:w="163" w:type="pct"/>
                  <w:shd w:val="clear" w:color="auto" w:fill="FFFFFF"/>
                  <w:vAlign w:val="center"/>
                </w:tcPr>
                <w:p w14:paraId="56311770">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16.09</w:t>
                  </w:r>
                </w:p>
              </w:tc>
              <w:tc>
                <w:tcPr>
                  <w:tcW w:w="145" w:type="pct"/>
                  <w:shd w:val="clear" w:color="auto" w:fill="FFFFFF"/>
                  <w:vAlign w:val="center"/>
                </w:tcPr>
                <w:p w14:paraId="364F4532">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62.9 </w:t>
                  </w:r>
                </w:p>
              </w:tc>
              <w:tc>
                <w:tcPr>
                  <w:tcW w:w="145" w:type="pct"/>
                  <w:shd w:val="clear" w:color="auto" w:fill="FFFFFF"/>
                  <w:vAlign w:val="center"/>
                </w:tcPr>
                <w:p w14:paraId="131C579D">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54.9 </w:t>
                  </w:r>
                </w:p>
              </w:tc>
              <w:tc>
                <w:tcPr>
                  <w:tcW w:w="145" w:type="pct"/>
                  <w:shd w:val="clear" w:color="auto" w:fill="FFFFFF"/>
                  <w:vAlign w:val="center"/>
                </w:tcPr>
                <w:p w14:paraId="7AD7FF81">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54.8 </w:t>
                  </w:r>
                </w:p>
              </w:tc>
              <w:tc>
                <w:tcPr>
                  <w:tcW w:w="149" w:type="pct"/>
                  <w:shd w:val="clear" w:color="auto" w:fill="FFFFFF"/>
                  <w:vAlign w:val="center"/>
                </w:tcPr>
                <w:p w14:paraId="373305A7">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56.9 </w:t>
                  </w:r>
                </w:p>
              </w:tc>
              <w:tc>
                <w:tcPr>
                  <w:tcW w:w="231" w:type="pct"/>
                  <w:vMerge w:val="continue"/>
                  <w:shd w:val="clear" w:color="auto" w:fill="FFFFFF"/>
                  <w:vAlign w:val="center"/>
                </w:tcPr>
                <w:p w14:paraId="7893209D">
                  <w:pPr>
                    <w:widowControl/>
                    <w:jc w:val="center"/>
                    <w:rPr>
                      <w:color w:val="000000" w:themeColor="text1"/>
                      <w:sz w:val="18"/>
                      <w:szCs w:val="18"/>
                      <w14:textFill>
                        <w14:solidFill>
                          <w14:schemeClr w14:val="tx1"/>
                        </w14:solidFill>
                      </w14:textFill>
                    </w:rPr>
                  </w:pPr>
                </w:p>
              </w:tc>
              <w:tc>
                <w:tcPr>
                  <w:tcW w:w="156" w:type="pct"/>
                  <w:shd w:val="clear" w:color="auto" w:fill="FFFFFF"/>
                  <w:vAlign w:val="center"/>
                </w:tcPr>
                <w:p w14:paraId="04C22818">
                  <w:pPr>
                    <w:widowControl/>
                    <w:jc w:val="center"/>
                    <w:textAlignment w:val="center"/>
                    <w:rPr>
                      <w:rFonts w:hint="default" w:eastAsia="宋体"/>
                      <w:color w:val="000000" w:themeColor="text1"/>
                      <w:sz w:val="18"/>
                      <w:szCs w:val="18"/>
                      <w:lang w:val="en-US" w:eastAsia="zh-CN"/>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1108B781">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6CDBB380">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9" w:type="pct"/>
                  <w:shd w:val="clear" w:color="auto" w:fill="FFFFFF"/>
                  <w:vAlign w:val="center"/>
                </w:tcPr>
                <w:p w14:paraId="555F61B5">
                  <w:pPr>
                    <w:widowControl/>
                    <w:jc w:val="center"/>
                    <w:textAlignment w:val="center"/>
                    <w:rPr>
                      <w:color w:val="000000" w:themeColor="text1"/>
                      <w:sz w:val="18"/>
                      <w:szCs w:val="18"/>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62" w:type="pct"/>
                  <w:shd w:val="clear" w:color="auto" w:fill="FFFFFF"/>
                  <w:vAlign w:val="center"/>
                </w:tcPr>
                <w:p w14:paraId="77A94FCF">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36.90 </w:t>
                  </w:r>
                </w:p>
              </w:tc>
              <w:tc>
                <w:tcPr>
                  <w:tcW w:w="162" w:type="pct"/>
                  <w:shd w:val="clear" w:color="auto" w:fill="FFFFFF"/>
                  <w:vAlign w:val="center"/>
                </w:tcPr>
                <w:p w14:paraId="3AB52770">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28.91 </w:t>
                  </w:r>
                </w:p>
              </w:tc>
              <w:tc>
                <w:tcPr>
                  <w:tcW w:w="162" w:type="pct"/>
                  <w:shd w:val="clear" w:color="auto" w:fill="FFFFFF"/>
                  <w:vAlign w:val="center"/>
                </w:tcPr>
                <w:p w14:paraId="54B2B4C7">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28.85 </w:t>
                  </w:r>
                </w:p>
              </w:tc>
              <w:tc>
                <w:tcPr>
                  <w:tcW w:w="162" w:type="pct"/>
                  <w:shd w:val="clear" w:color="auto" w:fill="FFFFFF"/>
                  <w:vAlign w:val="center"/>
                </w:tcPr>
                <w:p w14:paraId="67971B4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30.91 </w:t>
                  </w:r>
                </w:p>
              </w:tc>
              <w:tc>
                <w:tcPr>
                  <w:tcW w:w="422" w:type="pct"/>
                  <w:shd w:val="clear" w:color="auto" w:fill="FFFFFF"/>
                  <w:vAlign w:val="center"/>
                </w:tcPr>
                <w:p w14:paraId="20AABC25">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w:t>
                  </w:r>
                </w:p>
              </w:tc>
            </w:tr>
            <w:tr w14:paraId="2BB113A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300" w:hRule="atLeast"/>
              </w:trPr>
              <w:tc>
                <w:tcPr>
                  <w:tcW w:w="114" w:type="pct"/>
                  <w:shd w:val="clear" w:color="auto" w:fill="FFFFFF"/>
                  <w:vAlign w:val="center"/>
                </w:tcPr>
                <w:p w14:paraId="6DFBD7E1">
                  <w:pPr>
                    <w:widowControl/>
                    <w:jc w:val="center"/>
                    <w:textAlignment w:val="center"/>
                    <w:rPr>
                      <w:rFonts w:hint="eastAsia"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hint="eastAsia"/>
                      <w:color w:val="000000" w:themeColor="text1"/>
                      <w:kern w:val="0"/>
                      <w:sz w:val="18"/>
                      <w:szCs w:val="18"/>
                      <w:lang w:bidi="ar"/>
                      <w14:textFill>
                        <w14:solidFill>
                          <w14:schemeClr w14:val="tx1"/>
                        </w14:solidFill>
                      </w14:textFill>
                    </w:rPr>
                    <w:t>8</w:t>
                  </w:r>
                </w:p>
              </w:tc>
              <w:tc>
                <w:tcPr>
                  <w:tcW w:w="268" w:type="pct"/>
                  <w:vMerge w:val="continue"/>
                  <w:shd w:val="clear" w:color="auto" w:fill="FFFFFF"/>
                  <w:vAlign w:val="center"/>
                </w:tcPr>
                <w:p w14:paraId="084630E1">
                  <w:pPr>
                    <w:jc w:val="center"/>
                    <w:rPr>
                      <w:rFonts w:cs="宋体"/>
                      <w:color w:val="000000" w:themeColor="text1"/>
                      <w:sz w:val="18"/>
                      <w:szCs w:val="18"/>
                      <w14:textFill>
                        <w14:solidFill>
                          <w14:schemeClr w14:val="tx1"/>
                        </w14:solidFill>
                      </w14:textFill>
                    </w:rPr>
                  </w:pPr>
                </w:p>
              </w:tc>
              <w:tc>
                <w:tcPr>
                  <w:tcW w:w="294" w:type="pct"/>
                  <w:vAlign w:val="center"/>
                </w:tcPr>
                <w:p w14:paraId="69CF5383">
                  <w:pPr>
                    <w:widowControl/>
                    <w:jc w:val="center"/>
                    <w:textAlignment w:val="center"/>
                    <w:rPr>
                      <w:rFonts w:hint="eastAsia" w:cs="宋体"/>
                      <w:color w:val="000000" w:themeColor="text1"/>
                      <w:kern w:val="0"/>
                      <w:sz w:val="18"/>
                      <w:szCs w:val="18"/>
                      <w:lang w:bidi="ar"/>
                      <w14:textFill>
                        <w14:solidFill>
                          <w14:schemeClr w14:val="tx1"/>
                        </w14:solidFill>
                      </w14:textFill>
                    </w:rPr>
                  </w:pPr>
                  <w:r>
                    <w:rPr>
                      <w:rFonts w:hint="eastAsia" w:cs="宋体"/>
                      <w:color w:val="000000" w:themeColor="text1"/>
                      <w:kern w:val="0"/>
                      <w:sz w:val="18"/>
                      <w:szCs w:val="18"/>
                      <w:lang w:bidi="ar"/>
                      <w14:textFill>
                        <w14:solidFill>
                          <w14:schemeClr w14:val="tx1"/>
                        </w14:solidFill>
                      </w14:textFill>
                    </w:rPr>
                    <w:t>送料机</w:t>
                  </w:r>
                </w:p>
              </w:tc>
              <w:tc>
                <w:tcPr>
                  <w:tcW w:w="408" w:type="pct"/>
                  <w:shd w:val="clear" w:color="auto" w:fill="FFFFFF"/>
                  <w:vAlign w:val="center"/>
                </w:tcPr>
                <w:p w14:paraId="2FE46475">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75</w:t>
                  </w:r>
                  <w:r>
                    <w:rPr>
                      <w:rFonts w:hint="eastAsia" w:ascii="Times New Roman" w:eastAsia="宋体"/>
                      <w:color w:val="000000" w:themeColor="text1"/>
                      <w:kern w:val="0"/>
                      <w:sz w:val="18"/>
                      <w:szCs w:val="18"/>
                      <w:lang w:val="en-US" w:eastAsia="zh-CN" w:bidi="ar"/>
                      <w14:textFill>
                        <w14:solidFill>
                          <w14:schemeClr w14:val="tx1"/>
                        </w14:solidFill>
                      </w14:textFill>
                    </w:rPr>
                    <w:t>/1台</w:t>
                  </w:r>
                </w:p>
              </w:tc>
              <w:tc>
                <w:tcPr>
                  <w:tcW w:w="355" w:type="pct"/>
                  <w:vMerge w:val="continue"/>
                  <w:shd w:val="clear" w:color="auto" w:fill="FFFFFF"/>
                  <w:vAlign w:val="center"/>
                </w:tcPr>
                <w:p w14:paraId="78DC9947">
                  <w:pPr>
                    <w:widowControl/>
                    <w:jc w:val="center"/>
                    <w:rPr>
                      <w:rFonts w:cs="宋体"/>
                      <w:color w:val="000000" w:themeColor="text1"/>
                      <w:sz w:val="18"/>
                      <w:szCs w:val="18"/>
                      <w14:textFill>
                        <w14:solidFill>
                          <w14:schemeClr w14:val="tx1"/>
                        </w14:solidFill>
                      </w14:textFill>
                    </w:rPr>
                  </w:pPr>
                </w:p>
              </w:tc>
              <w:tc>
                <w:tcPr>
                  <w:tcW w:w="185" w:type="pct"/>
                  <w:shd w:val="clear" w:color="auto" w:fill="FFFFFF"/>
                  <w:vAlign w:val="center"/>
                </w:tcPr>
                <w:p w14:paraId="72E9F779">
                  <w:pPr>
                    <w:widowControl/>
                    <w:jc w:val="center"/>
                    <w:textAlignment w:val="center"/>
                    <w:rPr>
                      <w:rFonts w:hint="default" w:ascii="Times New Roman" w:hAnsi="Times New Roman" w:eastAsia="宋体" w:cs="Times New Roman"/>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-40.0</w:t>
                  </w:r>
                </w:p>
              </w:tc>
              <w:tc>
                <w:tcPr>
                  <w:tcW w:w="173" w:type="pct"/>
                  <w:shd w:val="clear" w:color="auto" w:fill="FFFFFF"/>
                  <w:vAlign w:val="center"/>
                </w:tcPr>
                <w:p w14:paraId="134B170B">
                  <w:pPr>
                    <w:widowControl/>
                    <w:jc w:val="center"/>
                    <w:textAlignment w:val="center"/>
                    <w:rPr>
                      <w:rFonts w:hint="default" w:ascii="Times New Roman" w:hAnsi="Times New Roman" w:eastAsia="宋体" w:cs="Times New Roman"/>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-10.0</w:t>
                  </w:r>
                </w:p>
              </w:tc>
              <w:tc>
                <w:tcPr>
                  <w:tcW w:w="106" w:type="pct"/>
                  <w:shd w:val="clear" w:color="auto" w:fill="FFFFFF"/>
                  <w:vAlign w:val="center"/>
                </w:tcPr>
                <w:p w14:paraId="4E7DCB8A">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1.2</w:t>
                  </w:r>
                </w:p>
              </w:tc>
              <w:tc>
                <w:tcPr>
                  <w:tcW w:w="127" w:type="pct"/>
                  <w:shd w:val="clear" w:color="auto" w:fill="FFFFFF"/>
                  <w:vAlign w:val="center"/>
                </w:tcPr>
                <w:p w14:paraId="594A1F17">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60</w:t>
                  </w:r>
                </w:p>
              </w:tc>
              <w:tc>
                <w:tcPr>
                  <w:tcW w:w="162" w:type="pct"/>
                  <w:shd w:val="clear" w:color="auto" w:fill="FFFFFF"/>
                  <w:vAlign w:val="center"/>
                </w:tcPr>
                <w:p w14:paraId="160D3D61">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10.00</w:t>
                  </w:r>
                </w:p>
              </w:tc>
              <w:tc>
                <w:tcPr>
                  <w:tcW w:w="127" w:type="pct"/>
                  <w:shd w:val="clear" w:color="auto" w:fill="FFFFFF"/>
                  <w:vAlign w:val="center"/>
                </w:tcPr>
                <w:p w14:paraId="5DE354D9">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20.0</w:t>
                  </w:r>
                </w:p>
              </w:tc>
              <w:tc>
                <w:tcPr>
                  <w:tcW w:w="163" w:type="pct"/>
                  <w:shd w:val="clear" w:color="auto" w:fill="FFFFFF"/>
                  <w:vAlign w:val="center"/>
                </w:tcPr>
                <w:p w14:paraId="5ED04A61">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30.0</w:t>
                  </w:r>
                </w:p>
              </w:tc>
              <w:tc>
                <w:tcPr>
                  <w:tcW w:w="145" w:type="pct"/>
                  <w:shd w:val="clear" w:color="auto" w:fill="FFFFFF"/>
                  <w:vAlign w:val="center"/>
                </w:tcPr>
                <w:p w14:paraId="00107139">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52.3</w:t>
                  </w:r>
                </w:p>
              </w:tc>
              <w:tc>
                <w:tcPr>
                  <w:tcW w:w="145" w:type="pct"/>
                  <w:shd w:val="clear" w:color="auto" w:fill="FFFFFF"/>
                  <w:vAlign w:val="center"/>
                </w:tcPr>
                <w:p w14:paraId="666D923E">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62.1</w:t>
                  </w:r>
                </w:p>
              </w:tc>
              <w:tc>
                <w:tcPr>
                  <w:tcW w:w="145" w:type="pct"/>
                  <w:shd w:val="clear" w:color="auto" w:fill="FFFFFF"/>
                  <w:vAlign w:val="center"/>
                </w:tcPr>
                <w:p w14:paraId="179518B9">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58.5</w:t>
                  </w:r>
                </w:p>
              </w:tc>
              <w:tc>
                <w:tcPr>
                  <w:tcW w:w="149" w:type="pct"/>
                  <w:shd w:val="clear" w:color="auto" w:fill="FFFFFF"/>
                  <w:vAlign w:val="center"/>
                </w:tcPr>
                <w:p w14:paraId="7EBA2994">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55.7</w:t>
                  </w:r>
                </w:p>
              </w:tc>
              <w:tc>
                <w:tcPr>
                  <w:tcW w:w="231" w:type="pct"/>
                  <w:vMerge w:val="continue"/>
                  <w:shd w:val="clear" w:color="auto" w:fill="FFFFFF"/>
                  <w:vAlign w:val="center"/>
                </w:tcPr>
                <w:p w14:paraId="1DCB2C3B">
                  <w:pPr>
                    <w:widowControl/>
                    <w:jc w:val="center"/>
                    <w:rPr>
                      <w:color w:val="000000" w:themeColor="text1"/>
                      <w:sz w:val="18"/>
                      <w:szCs w:val="18"/>
                      <w14:textFill>
                        <w14:solidFill>
                          <w14:schemeClr w14:val="tx1"/>
                        </w14:solidFill>
                      </w14:textFill>
                    </w:rPr>
                  </w:pPr>
                </w:p>
              </w:tc>
              <w:tc>
                <w:tcPr>
                  <w:tcW w:w="156" w:type="pct"/>
                  <w:shd w:val="clear" w:color="auto" w:fill="FFFFFF"/>
                  <w:vAlign w:val="center"/>
                </w:tcPr>
                <w:p w14:paraId="527B7CFD">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499883F0">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3786A4CE">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9" w:type="pct"/>
                  <w:shd w:val="clear" w:color="auto" w:fill="FFFFFF"/>
                  <w:vAlign w:val="center"/>
                </w:tcPr>
                <w:p w14:paraId="76C06771">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62" w:type="pct"/>
                  <w:shd w:val="clear" w:color="auto" w:fill="FFFFFF"/>
                  <w:vAlign w:val="center"/>
                </w:tcPr>
                <w:p w14:paraId="5221FA41">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37.3</w:t>
                  </w:r>
                </w:p>
              </w:tc>
              <w:tc>
                <w:tcPr>
                  <w:tcW w:w="162" w:type="pct"/>
                  <w:shd w:val="clear" w:color="auto" w:fill="FFFFFF"/>
                  <w:vAlign w:val="center"/>
                </w:tcPr>
                <w:p w14:paraId="1BC7C104">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47.1</w:t>
                  </w:r>
                </w:p>
              </w:tc>
              <w:tc>
                <w:tcPr>
                  <w:tcW w:w="162" w:type="pct"/>
                  <w:shd w:val="clear" w:color="auto" w:fill="FFFFFF"/>
                  <w:vAlign w:val="center"/>
                </w:tcPr>
                <w:p w14:paraId="199236AE">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43.5</w:t>
                  </w:r>
                </w:p>
              </w:tc>
              <w:tc>
                <w:tcPr>
                  <w:tcW w:w="162" w:type="pct"/>
                  <w:shd w:val="clear" w:color="auto" w:fill="FFFFFF"/>
                  <w:vAlign w:val="center"/>
                </w:tcPr>
                <w:p w14:paraId="795267BA">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40.7</w:t>
                  </w:r>
                </w:p>
              </w:tc>
              <w:tc>
                <w:tcPr>
                  <w:tcW w:w="422" w:type="pct"/>
                  <w:shd w:val="clear" w:color="auto" w:fill="FFFFFF"/>
                  <w:vAlign w:val="center"/>
                </w:tcPr>
                <w:p w14:paraId="75ECFE15">
                  <w:pPr>
                    <w:widowControl/>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1</w:t>
                  </w:r>
                </w:p>
              </w:tc>
            </w:tr>
            <w:tr w14:paraId="554DE16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300" w:hRule="atLeast"/>
              </w:trPr>
              <w:tc>
                <w:tcPr>
                  <w:tcW w:w="114" w:type="pct"/>
                  <w:shd w:val="clear" w:color="auto" w:fill="FFFFFF"/>
                  <w:vAlign w:val="center"/>
                </w:tcPr>
                <w:p w14:paraId="32494C33">
                  <w:pPr>
                    <w:widowControl/>
                    <w:jc w:val="center"/>
                    <w:textAlignment w:val="center"/>
                    <w:rPr>
                      <w:rFonts w:hint="eastAsia"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hint="eastAsia" w:cs="Times New Roman"/>
                      <w:color w:val="000000" w:themeColor="text1"/>
                      <w:kern w:val="2"/>
                      <w:sz w:val="18"/>
                      <w:szCs w:val="18"/>
                      <w:lang w:val="en-US" w:eastAsia="zh-CN" w:bidi="ar-SA"/>
                      <w14:textFill>
                        <w14:solidFill>
                          <w14:schemeClr w14:val="tx1"/>
                        </w14:solidFill>
                      </w14:textFill>
                    </w:rPr>
                    <w:t>9</w:t>
                  </w:r>
                </w:p>
              </w:tc>
              <w:tc>
                <w:tcPr>
                  <w:tcW w:w="268" w:type="pct"/>
                  <w:vMerge w:val="continue"/>
                  <w:shd w:val="clear" w:color="auto" w:fill="FFFFFF"/>
                  <w:vAlign w:val="center"/>
                </w:tcPr>
                <w:p w14:paraId="3837F339">
                  <w:pPr>
                    <w:jc w:val="center"/>
                    <w:rPr>
                      <w:rFonts w:cs="宋体"/>
                      <w:color w:val="000000" w:themeColor="text1"/>
                      <w:sz w:val="18"/>
                      <w:szCs w:val="18"/>
                      <w14:textFill>
                        <w14:solidFill>
                          <w14:schemeClr w14:val="tx1"/>
                        </w14:solidFill>
                      </w14:textFill>
                    </w:rPr>
                  </w:pPr>
                </w:p>
              </w:tc>
              <w:tc>
                <w:tcPr>
                  <w:tcW w:w="294" w:type="pct"/>
                  <w:vAlign w:val="center"/>
                </w:tcPr>
                <w:p w14:paraId="70821CBB">
                  <w:pPr>
                    <w:widowControl/>
                    <w:jc w:val="center"/>
                    <w:textAlignment w:val="center"/>
                    <w:rPr>
                      <w:rFonts w:hint="default" w:cs="宋体"/>
                      <w:color w:val="000000" w:themeColor="text1"/>
                      <w:kern w:val="0"/>
                      <w:sz w:val="18"/>
                      <w:szCs w:val="18"/>
                      <w:lang w:val="en-US" w:eastAsia="zh-CN" w:bidi="ar"/>
                      <w14:textFill>
                        <w14:solidFill>
                          <w14:schemeClr w14:val="tx1"/>
                        </w14:solidFill>
                      </w14:textFill>
                    </w:rPr>
                  </w:pPr>
                  <w:r>
                    <w:rPr>
                      <w:rFonts w:hint="eastAsia" w:cs="宋体"/>
                      <w:color w:val="000000" w:themeColor="text1"/>
                      <w:kern w:val="0"/>
                      <w:sz w:val="18"/>
                      <w:szCs w:val="18"/>
                      <w:lang w:val="en-US" w:eastAsia="zh-CN" w:bidi="ar"/>
                      <w14:textFill>
                        <w14:solidFill>
                          <w14:schemeClr w14:val="tx1"/>
                        </w14:solidFill>
                      </w14:textFill>
                    </w:rPr>
                    <w:t>装载机</w:t>
                  </w:r>
                </w:p>
              </w:tc>
              <w:tc>
                <w:tcPr>
                  <w:tcW w:w="408" w:type="pct"/>
                  <w:shd w:val="clear" w:color="auto" w:fill="FFFFFF"/>
                  <w:vAlign w:val="center"/>
                </w:tcPr>
                <w:p w14:paraId="38F3FC3B">
                  <w:pPr>
                    <w:widowControl/>
                    <w:jc w:val="center"/>
                    <w:textAlignment w:val="center"/>
                    <w:rPr>
                      <w:rFonts w:hint="default" w:ascii="Times New Roman" w:eastAsia="宋体"/>
                      <w:color w:val="000000" w:themeColor="text1"/>
                      <w:kern w:val="0"/>
                      <w:sz w:val="18"/>
                      <w:szCs w:val="18"/>
                      <w:lang w:val="en-US" w:eastAsia="zh-CN" w:bidi="ar"/>
                      <w14:textFill>
                        <w14:solidFill>
                          <w14:schemeClr w14:val="tx1"/>
                        </w14:solidFill>
                      </w14:textFill>
                    </w:rPr>
                  </w:pPr>
                  <w:r>
                    <w:rPr>
                      <w:rFonts w:hint="eastAsia" w:ascii="Times New Roman" w:eastAsia="宋体"/>
                      <w:color w:val="000000" w:themeColor="text1"/>
                      <w:kern w:val="0"/>
                      <w:sz w:val="18"/>
                      <w:szCs w:val="18"/>
                      <w:lang w:val="en-US" w:eastAsia="zh-CN" w:bidi="ar"/>
                      <w14:textFill>
                        <w14:solidFill>
                          <w14:schemeClr w14:val="tx1"/>
                        </w14:solidFill>
                      </w14:textFill>
                    </w:rPr>
                    <w:t>75/1台</w:t>
                  </w:r>
                </w:p>
              </w:tc>
              <w:tc>
                <w:tcPr>
                  <w:tcW w:w="355" w:type="pct"/>
                  <w:vMerge w:val="continue"/>
                  <w:shd w:val="clear" w:color="auto" w:fill="FFFFFF"/>
                  <w:vAlign w:val="center"/>
                </w:tcPr>
                <w:p w14:paraId="2966E27F">
                  <w:pPr>
                    <w:widowControl/>
                    <w:jc w:val="center"/>
                    <w:rPr>
                      <w:rFonts w:cs="宋体"/>
                      <w:color w:val="000000" w:themeColor="text1"/>
                      <w:sz w:val="18"/>
                      <w:szCs w:val="18"/>
                      <w14:textFill>
                        <w14:solidFill>
                          <w14:schemeClr w14:val="tx1"/>
                        </w14:solidFill>
                      </w14:textFill>
                    </w:rPr>
                  </w:pPr>
                </w:p>
              </w:tc>
              <w:tc>
                <w:tcPr>
                  <w:tcW w:w="185" w:type="pct"/>
                  <w:shd w:val="clear" w:color="auto" w:fill="FFFFFF"/>
                  <w:vAlign w:val="center"/>
                </w:tcPr>
                <w:p w14:paraId="0FC4EF9F">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-35.0</w:t>
                  </w:r>
                </w:p>
              </w:tc>
              <w:tc>
                <w:tcPr>
                  <w:tcW w:w="173" w:type="pct"/>
                  <w:shd w:val="clear" w:color="auto" w:fill="FFFFFF"/>
                  <w:vAlign w:val="center"/>
                </w:tcPr>
                <w:p w14:paraId="522029EF">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15.0</w:t>
                  </w:r>
                </w:p>
              </w:tc>
              <w:tc>
                <w:tcPr>
                  <w:tcW w:w="106" w:type="pct"/>
                  <w:shd w:val="clear" w:color="auto" w:fill="FFFFFF"/>
                  <w:vAlign w:val="center"/>
                </w:tcPr>
                <w:p w14:paraId="67707D19">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1.2</w:t>
                  </w:r>
                </w:p>
              </w:tc>
              <w:tc>
                <w:tcPr>
                  <w:tcW w:w="127" w:type="pct"/>
                  <w:shd w:val="clear" w:color="auto" w:fill="FFFFFF"/>
                  <w:vAlign w:val="center"/>
                </w:tcPr>
                <w:p w14:paraId="0C2046DB">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55</w:t>
                  </w:r>
                </w:p>
              </w:tc>
              <w:tc>
                <w:tcPr>
                  <w:tcW w:w="162" w:type="pct"/>
                  <w:shd w:val="clear" w:color="auto" w:fill="FFFFFF"/>
                  <w:vAlign w:val="center"/>
                </w:tcPr>
                <w:p w14:paraId="4B57AA3B">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15.00</w:t>
                  </w:r>
                </w:p>
              </w:tc>
              <w:tc>
                <w:tcPr>
                  <w:tcW w:w="127" w:type="pct"/>
                  <w:shd w:val="clear" w:color="auto" w:fill="FFFFFF"/>
                  <w:vAlign w:val="center"/>
                </w:tcPr>
                <w:p w14:paraId="6AF684F2">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25.0</w:t>
                  </w:r>
                </w:p>
              </w:tc>
              <w:tc>
                <w:tcPr>
                  <w:tcW w:w="163" w:type="pct"/>
                  <w:shd w:val="clear" w:color="auto" w:fill="FFFFFF"/>
                  <w:vAlign w:val="center"/>
                </w:tcPr>
                <w:p w14:paraId="2307B33A">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35.0</w:t>
                  </w:r>
                </w:p>
              </w:tc>
              <w:tc>
                <w:tcPr>
                  <w:tcW w:w="145" w:type="pct"/>
                  <w:shd w:val="clear" w:color="auto" w:fill="FFFFFF"/>
                  <w:vAlign w:val="center"/>
                </w:tcPr>
                <w:p w14:paraId="4ACB451D">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53.0</w:t>
                  </w:r>
                </w:p>
              </w:tc>
              <w:tc>
                <w:tcPr>
                  <w:tcW w:w="145" w:type="pct"/>
                  <w:shd w:val="clear" w:color="auto" w:fill="FFFFFF"/>
                  <w:vAlign w:val="center"/>
                </w:tcPr>
                <w:p w14:paraId="500F0511">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61.5</w:t>
                  </w:r>
                </w:p>
              </w:tc>
              <w:tc>
                <w:tcPr>
                  <w:tcW w:w="145" w:type="pct"/>
                  <w:shd w:val="clear" w:color="auto" w:fill="FFFFFF"/>
                  <w:vAlign w:val="center"/>
                </w:tcPr>
                <w:p w14:paraId="7E328389">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57.9</w:t>
                  </w:r>
                </w:p>
              </w:tc>
              <w:tc>
                <w:tcPr>
                  <w:tcW w:w="149" w:type="pct"/>
                  <w:shd w:val="clear" w:color="auto" w:fill="FFFFFF"/>
                  <w:vAlign w:val="center"/>
                </w:tcPr>
                <w:p w14:paraId="05CEDE06">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56.2</w:t>
                  </w:r>
                </w:p>
              </w:tc>
              <w:tc>
                <w:tcPr>
                  <w:tcW w:w="231" w:type="pct"/>
                  <w:vMerge w:val="continue"/>
                  <w:shd w:val="clear" w:color="auto" w:fill="FFFFFF"/>
                  <w:vAlign w:val="center"/>
                </w:tcPr>
                <w:p w14:paraId="1E3E4F47">
                  <w:pPr>
                    <w:widowControl/>
                    <w:jc w:val="center"/>
                    <w:rPr>
                      <w:color w:val="000000" w:themeColor="text1"/>
                      <w:sz w:val="18"/>
                      <w:szCs w:val="18"/>
                      <w14:textFill>
                        <w14:solidFill>
                          <w14:schemeClr w14:val="tx1"/>
                        </w14:solidFill>
                      </w14:textFill>
                    </w:rPr>
                  </w:pPr>
                </w:p>
              </w:tc>
              <w:tc>
                <w:tcPr>
                  <w:tcW w:w="156" w:type="pct"/>
                  <w:shd w:val="clear" w:color="auto" w:fill="FFFFFF"/>
                  <w:vAlign w:val="center"/>
                </w:tcPr>
                <w:p w14:paraId="5D594E1B">
                  <w:pPr>
                    <w:widowControl/>
                    <w:jc w:val="center"/>
                    <w:textAlignment w:val="center"/>
                    <w:rPr>
                      <w:rFonts w:hint="eastAsia"/>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02ED2430">
                  <w:pPr>
                    <w:widowControl/>
                    <w:jc w:val="center"/>
                    <w:textAlignment w:val="center"/>
                    <w:rPr>
                      <w:rFonts w:hint="eastAsia"/>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15C6CE77">
                  <w:pPr>
                    <w:widowControl/>
                    <w:jc w:val="center"/>
                    <w:textAlignment w:val="center"/>
                    <w:rPr>
                      <w:rFonts w:hint="eastAsia"/>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9" w:type="pct"/>
                  <w:shd w:val="clear" w:color="auto" w:fill="FFFFFF"/>
                  <w:vAlign w:val="center"/>
                </w:tcPr>
                <w:p w14:paraId="32B0ABFB">
                  <w:pPr>
                    <w:widowControl/>
                    <w:jc w:val="center"/>
                    <w:textAlignment w:val="center"/>
                    <w:rPr>
                      <w:rFonts w:hint="eastAsia"/>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62" w:type="pct"/>
                  <w:shd w:val="clear" w:color="auto" w:fill="FFFFFF"/>
                  <w:vAlign w:val="center"/>
                </w:tcPr>
                <w:p w14:paraId="6D78BA32">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38.0</w:t>
                  </w:r>
                </w:p>
              </w:tc>
              <w:tc>
                <w:tcPr>
                  <w:tcW w:w="162" w:type="pct"/>
                  <w:shd w:val="clear" w:color="auto" w:fill="FFFFFF"/>
                  <w:vAlign w:val="center"/>
                </w:tcPr>
                <w:p w14:paraId="59A7BD61">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46.5</w:t>
                  </w:r>
                </w:p>
              </w:tc>
              <w:tc>
                <w:tcPr>
                  <w:tcW w:w="162" w:type="pct"/>
                  <w:shd w:val="clear" w:color="auto" w:fill="FFFFFF"/>
                  <w:vAlign w:val="center"/>
                </w:tcPr>
                <w:p w14:paraId="5CB2B6CF">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42.9</w:t>
                  </w:r>
                </w:p>
              </w:tc>
              <w:tc>
                <w:tcPr>
                  <w:tcW w:w="162" w:type="pct"/>
                  <w:shd w:val="clear" w:color="auto" w:fill="FFFFFF"/>
                  <w:vAlign w:val="center"/>
                </w:tcPr>
                <w:p w14:paraId="70D3E4E0">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41.2</w:t>
                  </w:r>
                </w:p>
              </w:tc>
              <w:tc>
                <w:tcPr>
                  <w:tcW w:w="422" w:type="pct"/>
                  <w:shd w:val="clear" w:color="auto" w:fill="FFFFFF"/>
                  <w:vAlign w:val="center"/>
                </w:tcPr>
                <w:p w14:paraId="6F7ABCE6">
                  <w:pPr>
                    <w:widowControl/>
                    <w:jc w:val="center"/>
                    <w:textAlignment w:val="center"/>
                    <w:rPr>
                      <w:rFonts w:hint="eastAsia"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w:t>
                  </w:r>
                </w:p>
              </w:tc>
            </w:tr>
            <w:tr w14:paraId="3436C15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300" w:hRule="atLeast"/>
              </w:trPr>
              <w:tc>
                <w:tcPr>
                  <w:tcW w:w="114" w:type="pct"/>
                  <w:shd w:val="clear" w:color="auto" w:fill="FFFFFF"/>
                  <w:vAlign w:val="center"/>
                </w:tcPr>
                <w:p w14:paraId="2B3B0939">
                  <w:pPr>
                    <w:widowControl/>
                    <w:jc w:val="center"/>
                    <w:textAlignment w:val="center"/>
                    <w:rPr>
                      <w:rFonts w:hint="default"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10</w:t>
                  </w:r>
                </w:p>
              </w:tc>
              <w:tc>
                <w:tcPr>
                  <w:tcW w:w="268" w:type="pct"/>
                  <w:vMerge w:val="continue"/>
                  <w:shd w:val="clear" w:color="auto" w:fill="FFFFFF"/>
                  <w:vAlign w:val="center"/>
                </w:tcPr>
                <w:p w14:paraId="0749B6D6">
                  <w:pPr>
                    <w:jc w:val="center"/>
                    <w:rPr>
                      <w:rFonts w:cs="宋体"/>
                      <w:color w:val="000000" w:themeColor="text1"/>
                      <w:sz w:val="18"/>
                      <w:szCs w:val="18"/>
                      <w14:textFill>
                        <w14:solidFill>
                          <w14:schemeClr w14:val="tx1"/>
                        </w14:solidFill>
                      </w14:textFill>
                    </w:rPr>
                  </w:pPr>
                </w:p>
              </w:tc>
              <w:tc>
                <w:tcPr>
                  <w:tcW w:w="294" w:type="pct"/>
                  <w:vAlign w:val="center"/>
                </w:tcPr>
                <w:p w14:paraId="1265C24B">
                  <w:pPr>
                    <w:widowControl/>
                    <w:jc w:val="center"/>
                    <w:textAlignment w:val="center"/>
                    <w:rPr>
                      <w:rFonts w:hint="eastAsia" w:cs="宋体"/>
                      <w:color w:val="000000" w:themeColor="text1"/>
                      <w:kern w:val="0"/>
                      <w:sz w:val="18"/>
                      <w:szCs w:val="18"/>
                      <w:lang w:bidi="ar"/>
                      <w14:textFill>
                        <w14:solidFill>
                          <w14:schemeClr w14:val="tx1"/>
                        </w14:solidFill>
                      </w14:textFill>
                    </w:rPr>
                  </w:pPr>
                  <w:r>
                    <w:rPr>
                      <w:rFonts w:hint="eastAsia" w:cs="宋体"/>
                      <w:color w:val="000000" w:themeColor="text1"/>
                      <w:kern w:val="0"/>
                      <w:sz w:val="18"/>
                      <w:szCs w:val="18"/>
                      <w:lang w:bidi="ar"/>
                      <w14:textFill>
                        <w14:solidFill>
                          <w14:schemeClr w14:val="tx1"/>
                        </w14:solidFill>
                      </w14:textFill>
                    </w:rPr>
                    <w:t>空压机</w:t>
                  </w:r>
                </w:p>
              </w:tc>
              <w:tc>
                <w:tcPr>
                  <w:tcW w:w="408" w:type="pct"/>
                  <w:shd w:val="clear" w:color="auto" w:fill="FFFFFF"/>
                  <w:vAlign w:val="center"/>
                </w:tcPr>
                <w:p w14:paraId="0922B4B4">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80</w:t>
                  </w:r>
                  <w:r>
                    <w:rPr>
                      <w:rFonts w:hint="eastAsia" w:ascii="Times New Roman" w:eastAsia="宋体"/>
                      <w:color w:val="000000" w:themeColor="text1"/>
                      <w:kern w:val="0"/>
                      <w:sz w:val="18"/>
                      <w:szCs w:val="18"/>
                      <w:lang w:val="en-US" w:eastAsia="zh-CN" w:bidi="ar"/>
                      <w14:textFill>
                        <w14:solidFill>
                          <w14:schemeClr w14:val="tx1"/>
                        </w14:solidFill>
                      </w14:textFill>
                    </w:rPr>
                    <w:t>/1台</w:t>
                  </w:r>
                </w:p>
              </w:tc>
              <w:tc>
                <w:tcPr>
                  <w:tcW w:w="355" w:type="pct"/>
                  <w:vMerge w:val="continue"/>
                  <w:shd w:val="clear" w:color="auto" w:fill="FFFFFF"/>
                  <w:vAlign w:val="center"/>
                </w:tcPr>
                <w:p w14:paraId="6AAAB88F">
                  <w:pPr>
                    <w:widowControl/>
                    <w:jc w:val="center"/>
                    <w:rPr>
                      <w:rFonts w:cs="宋体"/>
                      <w:color w:val="000000" w:themeColor="text1"/>
                      <w:sz w:val="18"/>
                      <w:szCs w:val="18"/>
                      <w14:textFill>
                        <w14:solidFill>
                          <w14:schemeClr w14:val="tx1"/>
                        </w14:solidFill>
                      </w14:textFill>
                    </w:rPr>
                  </w:pPr>
                </w:p>
              </w:tc>
              <w:tc>
                <w:tcPr>
                  <w:tcW w:w="185" w:type="pct"/>
                  <w:shd w:val="clear" w:color="auto" w:fill="FFFFFF"/>
                  <w:vAlign w:val="center"/>
                </w:tcPr>
                <w:p w14:paraId="47D40371">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50</w:t>
                  </w:r>
                </w:p>
              </w:tc>
              <w:tc>
                <w:tcPr>
                  <w:tcW w:w="173" w:type="pct"/>
                  <w:shd w:val="clear" w:color="auto" w:fill="FFFFFF"/>
                  <w:vAlign w:val="center"/>
                </w:tcPr>
                <w:p w14:paraId="1CFC7B2A">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26.9</w:t>
                  </w:r>
                </w:p>
              </w:tc>
              <w:tc>
                <w:tcPr>
                  <w:tcW w:w="106" w:type="pct"/>
                  <w:shd w:val="clear" w:color="auto" w:fill="FFFFFF"/>
                  <w:vAlign w:val="center"/>
                </w:tcPr>
                <w:p w14:paraId="5CBE5565">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1.2</w:t>
                  </w:r>
                </w:p>
              </w:tc>
              <w:tc>
                <w:tcPr>
                  <w:tcW w:w="127" w:type="pct"/>
                  <w:shd w:val="clear" w:color="auto" w:fill="FFFFFF"/>
                  <w:vAlign w:val="center"/>
                </w:tcPr>
                <w:p w14:paraId="2CC4384B">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12.6</w:t>
                  </w:r>
                </w:p>
              </w:tc>
              <w:tc>
                <w:tcPr>
                  <w:tcW w:w="162" w:type="pct"/>
                  <w:shd w:val="clear" w:color="auto" w:fill="FFFFFF"/>
                  <w:vAlign w:val="center"/>
                </w:tcPr>
                <w:p w14:paraId="7A8F2033">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15.7</w:t>
                  </w:r>
                </w:p>
              </w:tc>
              <w:tc>
                <w:tcPr>
                  <w:tcW w:w="127" w:type="pct"/>
                  <w:shd w:val="clear" w:color="auto" w:fill="FFFFFF"/>
                  <w:vAlign w:val="center"/>
                </w:tcPr>
                <w:p w14:paraId="3451A966">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10.6</w:t>
                  </w:r>
                </w:p>
              </w:tc>
              <w:tc>
                <w:tcPr>
                  <w:tcW w:w="163" w:type="pct"/>
                  <w:shd w:val="clear" w:color="auto" w:fill="FFFFFF"/>
                  <w:vAlign w:val="center"/>
                </w:tcPr>
                <w:p w14:paraId="5DF7C8B7">
                  <w:pPr>
                    <w:widowControl/>
                    <w:jc w:val="center"/>
                    <w:textAlignment w:val="center"/>
                    <w:rPr>
                      <w:rFonts w:hint="default" w:eastAsia="宋体"/>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15.06</w:t>
                  </w:r>
                </w:p>
              </w:tc>
              <w:tc>
                <w:tcPr>
                  <w:tcW w:w="145" w:type="pct"/>
                  <w:shd w:val="clear" w:color="auto" w:fill="FFFFFF"/>
                  <w:vAlign w:val="center"/>
                </w:tcPr>
                <w:p w14:paraId="3F05861C">
                  <w:pPr>
                    <w:widowControl/>
                    <w:jc w:val="center"/>
                    <w:textAlignment w:val="center"/>
                    <w:rPr>
                      <w:rFonts w:hint="default" w:ascii="Times New Roman" w:hAnsi="Times New Roman" w:eastAsia="宋体" w:cs="Times New Roman"/>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54.8</w:t>
                  </w:r>
                </w:p>
              </w:tc>
              <w:tc>
                <w:tcPr>
                  <w:tcW w:w="145" w:type="pct"/>
                  <w:shd w:val="clear" w:color="auto" w:fill="FFFFFF"/>
                  <w:vAlign w:val="center"/>
                </w:tcPr>
                <w:p w14:paraId="26D499B8">
                  <w:pPr>
                    <w:widowControl/>
                    <w:jc w:val="center"/>
                    <w:textAlignment w:val="center"/>
                    <w:rPr>
                      <w:rFonts w:hint="default" w:ascii="Times New Roman" w:hAnsi="Times New Roman" w:eastAsia="宋体" w:cs="Times New Roman"/>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54.9</w:t>
                  </w:r>
                </w:p>
              </w:tc>
              <w:tc>
                <w:tcPr>
                  <w:tcW w:w="145" w:type="pct"/>
                  <w:shd w:val="clear" w:color="auto" w:fill="FFFFFF"/>
                  <w:vAlign w:val="center"/>
                </w:tcPr>
                <w:p w14:paraId="62B9FD99">
                  <w:pPr>
                    <w:widowControl/>
                    <w:jc w:val="center"/>
                    <w:textAlignment w:val="center"/>
                    <w:rPr>
                      <w:rFonts w:hint="default" w:ascii="Times New Roman" w:hAnsi="Times New Roman" w:eastAsia="宋体" w:cs="Times New Roman"/>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62.9</w:t>
                  </w:r>
                </w:p>
              </w:tc>
              <w:tc>
                <w:tcPr>
                  <w:tcW w:w="149" w:type="pct"/>
                  <w:shd w:val="clear" w:color="auto" w:fill="FFFFFF"/>
                  <w:vAlign w:val="center"/>
                </w:tcPr>
                <w:p w14:paraId="5D43E4A6">
                  <w:pPr>
                    <w:widowControl/>
                    <w:jc w:val="center"/>
                    <w:textAlignment w:val="center"/>
                    <w:rPr>
                      <w:rFonts w:hint="default" w:ascii="Times New Roman" w:hAnsi="Times New Roman" w:eastAsia="宋体" w:cs="Times New Roman"/>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56.9</w:t>
                  </w:r>
                </w:p>
              </w:tc>
              <w:tc>
                <w:tcPr>
                  <w:tcW w:w="231" w:type="pct"/>
                  <w:vMerge w:val="continue"/>
                  <w:shd w:val="clear" w:color="auto" w:fill="FFFFFF"/>
                  <w:vAlign w:val="center"/>
                </w:tcPr>
                <w:p w14:paraId="3D56E96D">
                  <w:pPr>
                    <w:widowControl/>
                    <w:jc w:val="center"/>
                    <w:rPr>
                      <w:color w:val="000000" w:themeColor="text1"/>
                      <w:sz w:val="18"/>
                      <w:szCs w:val="18"/>
                      <w14:textFill>
                        <w14:solidFill>
                          <w14:schemeClr w14:val="tx1"/>
                        </w14:solidFill>
                      </w14:textFill>
                    </w:rPr>
                  </w:pPr>
                </w:p>
              </w:tc>
              <w:tc>
                <w:tcPr>
                  <w:tcW w:w="156" w:type="pct"/>
                  <w:shd w:val="clear" w:color="auto" w:fill="FFFFFF"/>
                  <w:vAlign w:val="center"/>
                </w:tcPr>
                <w:p w14:paraId="5B50182C">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6E70EB67">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6" w:type="pct"/>
                  <w:shd w:val="clear" w:color="auto" w:fill="FFFFFF"/>
                  <w:vAlign w:val="center"/>
                </w:tcPr>
                <w:p w14:paraId="0BB16A47">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59" w:type="pct"/>
                  <w:shd w:val="clear" w:color="auto" w:fill="FFFFFF"/>
                  <w:vAlign w:val="center"/>
                </w:tcPr>
                <w:p w14:paraId="00FEF071">
                  <w:pPr>
                    <w:widowControl/>
                    <w:jc w:val="center"/>
                    <w:textAlignment w:val="center"/>
                    <w:rPr>
                      <w:color w:val="000000" w:themeColor="text1"/>
                      <w:kern w:val="0"/>
                      <w:sz w:val="18"/>
                      <w:szCs w:val="18"/>
                      <w:lang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15</w:t>
                  </w:r>
                </w:p>
              </w:tc>
              <w:tc>
                <w:tcPr>
                  <w:tcW w:w="162" w:type="pct"/>
                  <w:shd w:val="clear" w:color="auto" w:fill="FFFFFF"/>
                  <w:vAlign w:val="center"/>
                </w:tcPr>
                <w:p w14:paraId="5DA76C73">
                  <w:pPr>
                    <w:widowControl/>
                    <w:jc w:val="center"/>
                    <w:textAlignment w:val="center"/>
                    <w:rPr>
                      <w:rFonts w:hint="default" w:ascii="Times New Roman" w:hAnsi="Times New Roman" w:eastAsia="宋体" w:cs="Times New Roman"/>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39.8</w:t>
                  </w:r>
                </w:p>
              </w:tc>
              <w:tc>
                <w:tcPr>
                  <w:tcW w:w="162" w:type="pct"/>
                  <w:shd w:val="clear" w:color="auto" w:fill="FFFFFF"/>
                  <w:vAlign w:val="center"/>
                </w:tcPr>
                <w:p w14:paraId="683D8A61">
                  <w:pPr>
                    <w:widowControl/>
                    <w:jc w:val="center"/>
                    <w:textAlignment w:val="center"/>
                    <w:rPr>
                      <w:rFonts w:hint="default" w:ascii="Times New Roman" w:hAnsi="Times New Roman" w:eastAsia="宋体" w:cs="Times New Roman"/>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39.9</w:t>
                  </w:r>
                </w:p>
              </w:tc>
              <w:tc>
                <w:tcPr>
                  <w:tcW w:w="162" w:type="pct"/>
                  <w:shd w:val="clear" w:color="auto" w:fill="FFFFFF"/>
                  <w:vAlign w:val="center"/>
                </w:tcPr>
                <w:p w14:paraId="111BBDC9">
                  <w:pPr>
                    <w:widowControl/>
                    <w:jc w:val="center"/>
                    <w:textAlignment w:val="center"/>
                    <w:rPr>
                      <w:rFonts w:hint="default" w:ascii="Times New Roman" w:hAnsi="Times New Roman" w:eastAsia="宋体" w:cs="Times New Roman"/>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47.9</w:t>
                  </w:r>
                </w:p>
              </w:tc>
              <w:tc>
                <w:tcPr>
                  <w:tcW w:w="162" w:type="pct"/>
                  <w:shd w:val="clear" w:color="auto" w:fill="FFFFFF"/>
                  <w:vAlign w:val="center"/>
                </w:tcPr>
                <w:p w14:paraId="07079087">
                  <w:pPr>
                    <w:widowControl/>
                    <w:jc w:val="center"/>
                    <w:textAlignment w:val="center"/>
                    <w:rPr>
                      <w:rFonts w:hint="default" w:ascii="Times New Roman" w:hAnsi="Times New Roman" w:eastAsia="宋体" w:cs="Times New Roman"/>
                      <w:color w:val="000000" w:themeColor="text1"/>
                      <w:kern w:val="0"/>
                      <w:sz w:val="18"/>
                      <w:szCs w:val="18"/>
                      <w:lang w:val="en-US" w:eastAsia="zh-CN" w:bidi="ar"/>
                      <w14:textFill>
                        <w14:solidFill>
                          <w14:schemeClr w14:val="tx1"/>
                        </w14:solidFill>
                      </w14:textFill>
                    </w:rPr>
                  </w:pPr>
                  <w:r>
                    <w:rPr>
                      <w:rFonts w:hint="eastAsia"/>
                      <w:color w:val="000000" w:themeColor="text1"/>
                      <w:kern w:val="0"/>
                      <w:sz w:val="18"/>
                      <w:szCs w:val="18"/>
                      <w:lang w:val="en-US" w:eastAsia="zh-CN" w:bidi="ar"/>
                      <w14:textFill>
                        <w14:solidFill>
                          <w14:schemeClr w14:val="tx1"/>
                        </w14:solidFill>
                      </w14:textFill>
                    </w:rPr>
                    <w:t>41.91</w:t>
                  </w:r>
                </w:p>
              </w:tc>
              <w:tc>
                <w:tcPr>
                  <w:tcW w:w="422" w:type="pct"/>
                  <w:shd w:val="clear" w:color="auto" w:fill="FFFFFF"/>
                  <w:vAlign w:val="center"/>
                </w:tcPr>
                <w:p w14:paraId="22CCC43C">
                  <w:pPr>
                    <w:widowControl/>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1</w:t>
                  </w:r>
                </w:p>
              </w:tc>
            </w:tr>
            <w:tr w14:paraId="38EB461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85" w:hRule="atLeast"/>
              </w:trPr>
              <w:tc>
                <w:tcPr>
                  <w:tcW w:w="114" w:type="pct"/>
                  <w:shd w:val="clear" w:color="auto" w:fill="FFFFFF"/>
                  <w:vAlign w:val="center"/>
                </w:tcPr>
                <w:p w14:paraId="5FB8275C">
                  <w:pPr>
                    <w:widowControl/>
                    <w:jc w:val="center"/>
                    <w:textAlignment w:val="center"/>
                    <w:rPr>
                      <w:rFonts w:hint="default"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11</w:t>
                  </w:r>
                </w:p>
              </w:tc>
              <w:tc>
                <w:tcPr>
                  <w:tcW w:w="268" w:type="pct"/>
                  <w:vMerge w:val="restart"/>
                  <w:shd w:val="clear" w:color="auto" w:fill="FFFFFF"/>
                  <w:vAlign w:val="center"/>
                </w:tcPr>
                <w:p w14:paraId="3DC99536">
                  <w:pPr>
                    <w:widowControl/>
                    <w:jc w:val="center"/>
                    <w:rPr>
                      <w:rFonts w:cs="宋体"/>
                      <w:color w:val="000000" w:themeColor="text1"/>
                      <w:sz w:val="18"/>
                      <w:szCs w:val="18"/>
                      <w14:textFill>
                        <w14:solidFill>
                          <w14:schemeClr w14:val="tx1"/>
                        </w14:solidFill>
                      </w14:textFill>
                    </w:rPr>
                  </w:pPr>
                  <w:r>
                    <w:rPr>
                      <w:rFonts w:hint="eastAsia" w:cs="宋体"/>
                      <w:color w:val="000000" w:themeColor="text1"/>
                      <w:sz w:val="18"/>
                      <w:szCs w:val="18"/>
                      <w14:textFill>
                        <w14:solidFill>
                          <w14:schemeClr w14:val="tx1"/>
                        </w14:solidFill>
                      </w14:textFill>
                    </w:rPr>
                    <w:t>压滤间</w:t>
                  </w:r>
                </w:p>
              </w:tc>
              <w:tc>
                <w:tcPr>
                  <w:tcW w:w="294" w:type="pct"/>
                  <w:noWrap/>
                  <w:vAlign w:val="center"/>
                </w:tcPr>
                <w:p w14:paraId="2766C523">
                  <w:pPr>
                    <w:widowControl/>
                    <w:jc w:val="center"/>
                    <w:textAlignment w:val="center"/>
                    <w:rPr>
                      <w:rFonts w:cs="宋体"/>
                      <w:color w:val="000000" w:themeColor="text1"/>
                      <w:sz w:val="18"/>
                      <w:szCs w:val="18"/>
                      <w14:textFill>
                        <w14:solidFill>
                          <w14:schemeClr w14:val="tx1"/>
                        </w14:solidFill>
                      </w14:textFill>
                    </w:rPr>
                  </w:pPr>
                  <w:r>
                    <w:rPr>
                      <w:rFonts w:hint="eastAsia" w:cs="宋体"/>
                      <w:color w:val="000000" w:themeColor="text1"/>
                      <w:kern w:val="0"/>
                      <w:sz w:val="18"/>
                      <w:szCs w:val="18"/>
                      <w:lang w:bidi="ar"/>
                      <w14:textFill>
                        <w14:solidFill>
                          <w14:schemeClr w14:val="tx1"/>
                        </w14:solidFill>
                      </w14:textFill>
                    </w:rPr>
                    <w:t>压泥机</w:t>
                  </w:r>
                </w:p>
              </w:tc>
              <w:tc>
                <w:tcPr>
                  <w:tcW w:w="408" w:type="pct"/>
                  <w:shd w:val="clear" w:color="auto" w:fill="FFFFFF"/>
                  <w:vAlign w:val="center"/>
                </w:tcPr>
                <w:p w14:paraId="47FDC16B">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80</w:t>
                  </w:r>
                  <w:r>
                    <w:rPr>
                      <w:rFonts w:hint="eastAsia" w:ascii="Times New Roman" w:eastAsia="宋体"/>
                      <w:color w:val="000000" w:themeColor="text1"/>
                      <w:kern w:val="0"/>
                      <w:sz w:val="18"/>
                      <w:szCs w:val="18"/>
                      <w:lang w:val="en-US" w:eastAsia="zh-CN" w:bidi="ar"/>
                      <w14:textFill>
                        <w14:solidFill>
                          <w14:schemeClr w14:val="tx1"/>
                        </w14:solidFill>
                      </w14:textFill>
                    </w:rPr>
                    <w:t>/1台</w:t>
                  </w:r>
                </w:p>
              </w:tc>
              <w:tc>
                <w:tcPr>
                  <w:tcW w:w="355" w:type="pct"/>
                  <w:vMerge w:val="continue"/>
                  <w:shd w:val="clear" w:color="auto" w:fill="FFFFFF"/>
                  <w:vAlign w:val="center"/>
                </w:tcPr>
                <w:p w14:paraId="1ED2BA4A">
                  <w:pPr>
                    <w:widowControl/>
                    <w:jc w:val="center"/>
                    <w:rPr>
                      <w:rFonts w:cs="宋体"/>
                      <w:color w:val="000000" w:themeColor="text1"/>
                      <w:sz w:val="18"/>
                      <w:szCs w:val="18"/>
                      <w14:textFill>
                        <w14:solidFill>
                          <w14:schemeClr w14:val="tx1"/>
                        </w14:solidFill>
                      </w14:textFill>
                    </w:rPr>
                  </w:pPr>
                </w:p>
              </w:tc>
              <w:tc>
                <w:tcPr>
                  <w:tcW w:w="185" w:type="pct"/>
                  <w:shd w:val="clear" w:color="auto" w:fill="FFFFFF"/>
                  <w:vAlign w:val="center"/>
                </w:tcPr>
                <w:p w14:paraId="7B9F83CC">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15.55</w:t>
                  </w:r>
                </w:p>
              </w:tc>
              <w:tc>
                <w:tcPr>
                  <w:tcW w:w="173" w:type="pct"/>
                  <w:shd w:val="clear" w:color="auto" w:fill="FFFFFF"/>
                  <w:vAlign w:val="center"/>
                </w:tcPr>
                <w:p w14:paraId="620F260D">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72.21</w:t>
                  </w:r>
                </w:p>
              </w:tc>
              <w:tc>
                <w:tcPr>
                  <w:tcW w:w="106" w:type="pct"/>
                  <w:shd w:val="clear" w:color="auto" w:fill="FFFFFF"/>
                  <w:vAlign w:val="center"/>
                </w:tcPr>
                <w:p w14:paraId="2CF1E864">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1.2</w:t>
                  </w:r>
                </w:p>
              </w:tc>
              <w:tc>
                <w:tcPr>
                  <w:tcW w:w="127" w:type="pct"/>
                  <w:shd w:val="clear" w:color="auto" w:fill="FFFFFF"/>
                  <w:vAlign w:val="center"/>
                </w:tcPr>
                <w:p w14:paraId="6DE90DDF">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5.5</w:t>
                  </w:r>
                </w:p>
              </w:tc>
              <w:tc>
                <w:tcPr>
                  <w:tcW w:w="162" w:type="pct"/>
                  <w:shd w:val="clear" w:color="auto" w:fill="FFFFFF"/>
                  <w:vAlign w:val="center"/>
                </w:tcPr>
                <w:p w14:paraId="7F4BF37C">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2.75</w:t>
                  </w:r>
                </w:p>
              </w:tc>
              <w:tc>
                <w:tcPr>
                  <w:tcW w:w="127" w:type="pct"/>
                  <w:shd w:val="clear" w:color="auto" w:fill="FFFFFF"/>
                  <w:vAlign w:val="center"/>
                </w:tcPr>
                <w:p w14:paraId="0BA744BB">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12.5</w:t>
                  </w:r>
                </w:p>
              </w:tc>
              <w:tc>
                <w:tcPr>
                  <w:tcW w:w="163" w:type="pct"/>
                  <w:shd w:val="clear" w:color="auto" w:fill="FFFFFF"/>
                  <w:vAlign w:val="center"/>
                </w:tcPr>
                <w:p w14:paraId="747A84AF">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2.75</w:t>
                  </w:r>
                </w:p>
              </w:tc>
              <w:tc>
                <w:tcPr>
                  <w:tcW w:w="145" w:type="pct"/>
                  <w:shd w:val="clear" w:color="auto" w:fill="FFFFFF"/>
                  <w:vAlign w:val="center"/>
                </w:tcPr>
                <w:p w14:paraId="30FDB5D0">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72.8 </w:t>
                  </w:r>
                </w:p>
              </w:tc>
              <w:tc>
                <w:tcPr>
                  <w:tcW w:w="145" w:type="pct"/>
                  <w:shd w:val="clear" w:color="auto" w:fill="FFFFFF"/>
                  <w:vAlign w:val="center"/>
                </w:tcPr>
                <w:p w14:paraId="2D8F81C3">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73.8 </w:t>
                  </w:r>
                </w:p>
              </w:tc>
              <w:tc>
                <w:tcPr>
                  <w:tcW w:w="145" w:type="pct"/>
                  <w:shd w:val="clear" w:color="auto" w:fill="FFFFFF"/>
                  <w:vAlign w:val="center"/>
                </w:tcPr>
                <w:p w14:paraId="7140193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72.5 </w:t>
                  </w:r>
                </w:p>
              </w:tc>
              <w:tc>
                <w:tcPr>
                  <w:tcW w:w="149" w:type="pct"/>
                  <w:shd w:val="clear" w:color="auto" w:fill="FFFFFF"/>
                  <w:vAlign w:val="center"/>
                </w:tcPr>
                <w:p w14:paraId="4735CD87">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73.8 </w:t>
                  </w:r>
                </w:p>
              </w:tc>
              <w:tc>
                <w:tcPr>
                  <w:tcW w:w="231" w:type="pct"/>
                  <w:vMerge w:val="continue"/>
                  <w:shd w:val="clear" w:color="auto" w:fill="FFFFFF"/>
                  <w:vAlign w:val="center"/>
                </w:tcPr>
                <w:p w14:paraId="0776A8F1">
                  <w:pPr>
                    <w:widowControl/>
                    <w:jc w:val="center"/>
                    <w:rPr>
                      <w:color w:val="000000" w:themeColor="text1"/>
                      <w:sz w:val="18"/>
                      <w:szCs w:val="18"/>
                      <w14:textFill>
                        <w14:solidFill>
                          <w14:schemeClr w14:val="tx1"/>
                        </w14:solidFill>
                      </w14:textFill>
                    </w:rPr>
                  </w:pPr>
                </w:p>
              </w:tc>
              <w:tc>
                <w:tcPr>
                  <w:tcW w:w="156" w:type="pct"/>
                  <w:shd w:val="clear" w:color="auto" w:fill="FFFFFF"/>
                  <w:vAlign w:val="center"/>
                </w:tcPr>
                <w:p w14:paraId="62B349B4">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26</w:t>
                  </w:r>
                </w:p>
              </w:tc>
              <w:tc>
                <w:tcPr>
                  <w:tcW w:w="156" w:type="pct"/>
                  <w:shd w:val="clear" w:color="auto" w:fill="FFFFFF"/>
                  <w:vAlign w:val="center"/>
                </w:tcPr>
                <w:p w14:paraId="7DB0FF17">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26</w:t>
                  </w:r>
                </w:p>
              </w:tc>
              <w:tc>
                <w:tcPr>
                  <w:tcW w:w="156" w:type="pct"/>
                  <w:shd w:val="clear" w:color="auto" w:fill="FFFFFF"/>
                  <w:vAlign w:val="center"/>
                </w:tcPr>
                <w:p w14:paraId="043F846E">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26</w:t>
                  </w:r>
                </w:p>
              </w:tc>
              <w:tc>
                <w:tcPr>
                  <w:tcW w:w="159" w:type="pct"/>
                  <w:shd w:val="clear" w:color="auto" w:fill="FFFFFF"/>
                  <w:vAlign w:val="center"/>
                </w:tcPr>
                <w:p w14:paraId="7922240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26</w:t>
                  </w:r>
                </w:p>
              </w:tc>
              <w:tc>
                <w:tcPr>
                  <w:tcW w:w="162" w:type="pct"/>
                  <w:shd w:val="clear" w:color="auto" w:fill="FFFFFF"/>
                  <w:vAlign w:val="center"/>
                </w:tcPr>
                <w:p w14:paraId="78A20CB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46.77 </w:t>
                  </w:r>
                </w:p>
              </w:tc>
              <w:tc>
                <w:tcPr>
                  <w:tcW w:w="162" w:type="pct"/>
                  <w:shd w:val="clear" w:color="auto" w:fill="FFFFFF"/>
                  <w:vAlign w:val="center"/>
                </w:tcPr>
                <w:p w14:paraId="18C55F3C">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47.78 </w:t>
                  </w:r>
                </w:p>
              </w:tc>
              <w:tc>
                <w:tcPr>
                  <w:tcW w:w="162" w:type="pct"/>
                  <w:shd w:val="clear" w:color="auto" w:fill="FFFFFF"/>
                  <w:vAlign w:val="center"/>
                </w:tcPr>
                <w:p w14:paraId="310A9F21">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46.46 </w:t>
                  </w:r>
                </w:p>
              </w:tc>
              <w:tc>
                <w:tcPr>
                  <w:tcW w:w="162" w:type="pct"/>
                  <w:shd w:val="clear" w:color="auto" w:fill="FFFFFF"/>
                  <w:vAlign w:val="center"/>
                </w:tcPr>
                <w:p w14:paraId="2A65A70E">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47.78 </w:t>
                  </w:r>
                </w:p>
              </w:tc>
              <w:tc>
                <w:tcPr>
                  <w:tcW w:w="422" w:type="pct"/>
                  <w:shd w:val="clear" w:color="auto" w:fill="FFFFFF"/>
                  <w:vAlign w:val="center"/>
                </w:tcPr>
                <w:p w14:paraId="214E14DB">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w:t>
                  </w:r>
                </w:p>
              </w:tc>
            </w:tr>
            <w:tr w14:paraId="3B5D211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85" w:hRule="atLeast"/>
              </w:trPr>
              <w:tc>
                <w:tcPr>
                  <w:tcW w:w="114" w:type="pct"/>
                  <w:shd w:val="clear" w:color="auto" w:fill="FFFFFF"/>
                  <w:vAlign w:val="center"/>
                </w:tcPr>
                <w:p w14:paraId="54C4CE03">
                  <w:pPr>
                    <w:widowControl/>
                    <w:jc w:val="center"/>
                    <w:textAlignment w:val="center"/>
                    <w:rPr>
                      <w:rFonts w:hint="default" w:eastAsia="宋体"/>
                      <w:color w:val="000000" w:themeColor="text1"/>
                      <w:sz w:val="18"/>
                      <w:szCs w:val="18"/>
                      <w:lang w:val="en-US" w:eastAsia="zh-CN"/>
                      <w14:textFill>
                        <w14:solidFill>
                          <w14:schemeClr w14:val="tx1"/>
                        </w14:solidFill>
                      </w14:textFill>
                    </w:rPr>
                  </w:pPr>
                  <w:r>
                    <w:rPr>
                      <w:rFonts w:hint="eastAsia" w:eastAsia="宋体"/>
                      <w:color w:val="000000" w:themeColor="text1"/>
                      <w:sz w:val="18"/>
                      <w:szCs w:val="18"/>
                      <w:lang w:val="en-US" w:eastAsia="zh-CN"/>
                      <w14:textFill>
                        <w14:solidFill>
                          <w14:schemeClr w14:val="tx1"/>
                        </w14:solidFill>
                      </w14:textFill>
                    </w:rPr>
                    <w:t>12</w:t>
                  </w:r>
                </w:p>
              </w:tc>
              <w:tc>
                <w:tcPr>
                  <w:tcW w:w="268" w:type="pct"/>
                  <w:vMerge w:val="continue"/>
                  <w:shd w:val="clear" w:color="auto" w:fill="FFFFFF"/>
                  <w:vAlign w:val="center"/>
                </w:tcPr>
                <w:p w14:paraId="200BBEE0">
                  <w:pPr>
                    <w:widowControl/>
                    <w:jc w:val="center"/>
                    <w:rPr>
                      <w:rFonts w:cs="宋体"/>
                      <w:color w:val="000000" w:themeColor="text1"/>
                      <w:sz w:val="18"/>
                      <w:szCs w:val="18"/>
                      <w14:textFill>
                        <w14:solidFill>
                          <w14:schemeClr w14:val="tx1"/>
                        </w14:solidFill>
                      </w14:textFill>
                    </w:rPr>
                  </w:pPr>
                </w:p>
              </w:tc>
              <w:tc>
                <w:tcPr>
                  <w:tcW w:w="294" w:type="pct"/>
                  <w:noWrap/>
                  <w:vAlign w:val="center"/>
                </w:tcPr>
                <w:p w14:paraId="495C8DA2">
                  <w:pPr>
                    <w:widowControl/>
                    <w:jc w:val="center"/>
                    <w:textAlignment w:val="center"/>
                    <w:rPr>
                      <w:rFonts w:cs="宋体"/>
                      <w:color w:val="000000" w:themeColor="text1"/>
                      <w:sz w:val="18"/>
                      <w:szCs w:val="18"/>
                      <w14:textFill>
                        <w14:solidFill>
                          <w14:schemeClr w14:val="tx1"/>
                        </w14:solidFill>
                      </w14:textFill>
                    </w:rPr>
                  </w:pPr>
                  <w:r>
                    <w:rPr>
                      <w:rFonts w:hint="eastAsia" w:cs="宋体"/>
                      <w:color w:val="000000" w:themeColor="text1"/>
                      <w:kern w:val="0"/>
                      <w:sz w:val="18"/>
                      <w:szCs w:val="18"/>
                      <w:lang w:bidi="ar"/>
                      <w14:textFill>
                        <w14:solidFill>
                          <w14:schemeClr w14:val="tx1"/>
                        </w14:solidFill>
                      </w14:textFill>
                    </w:rPr>
                    <w:t>压泥机</w:t>
                  </w:r>
                </w:p>
              </w:tc>
              <w:tc>
                <w:tcPr>
                  <w:tcW w:w="408" w:type="pct"/>
                  <w:shd w:val="clear" w:color="auto" w:fill="FFFFFF"/>
                  <w:vAlign w:val="center"/>
                </w:tcPr>
                <w:p w14:paraId="3B9A3557">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80</w:t>
                  </w:r>
                  <w:r>
                    <w:rPr>
                      <w:rFonts w:hint="eastAsia" w:ascii="Times New Roman" w:eastAsia="宋体"/>
                      <w:color w:val="000000" w:themeColor="text1"/>
                      <w:kern w:val="0"/>
                      <w:sz w:val="18"/>
                      <w:szCs w:val="18"/>
                      <w:lang w:val="en-US" w:eastAsia="zh-CN" w:bidi="ar"/>
                      <w14:textFill>
                        <w14:solidFill>
                          <w14:schemeClr w14:val="tx1"/>
                        </w14:solidFill>
                      </w14:textFill>
                    </w:rPr>
                    <w:t>/1台</w:t>
                  </w:r>
                </w:p>
              </w:tc>
              <w:tc>
                <w:tcPr>
                  <w:tcW w:w="355" w:type="pct"/>
                  <w:vMerge w:val="continue"/>
                  <w:shd w:val="clear" w:color="auto" w:fill="FFFFFF"/>
                  <w:vAlign w:val="center"/>
                </w:tcPr>
                <w:p w14:paraId="7D5CC3F8">
                  <w:pPr>
                    <w:widowControl/>
                    <w:jc w:val="center"/>
                    <w:rPr>
                      <w:rFonts w:cs="宋体"/>
                      <w:color w:val="000000" w:themeColor="text1"/>
                      <w:sz w:val="18"/>
                      <w:szCs w:val="18"/>
                      <w14:textFill>
                        <w14:solidFill>
                          <w14:schemeClr w14:val="tx1"/>
                        </w14:solidFill>
                      </w14:textFill>
                    </w:rPr>
                  </w:pPr>
                </w:p>
              </w:tc>
              <w:tc>
                <w:tcPr>
                  <w:tcW w:w="185" w:type="pct"/>
                  <w:shd w:val="clear" w:color="auto" w:fill="FFFFFF"/>
                  <w:vAlign w:val="center"/>
                </w:tcPr>
                <w:p w14:paraId="1B462732">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22.24</w:t>
                  </w:r>
                </w:p>
              </w:tc>
              <w:tc>
                <w:tcPr>
                  <w:tcW w:w="173" w:type="pct"/>
                  <w:shd w:val="clear" w:color="auto" w:fill="FFFFFF"/>
                  <w:vAlign w:val="center"/>
                </w:tcPr>
                <w:p w14:paraId="4DDEA251">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75.61</w:t>
                  </w:r>
                </w:p>
              </w:tc>
              <w:tc>
                <w:tcPr>
                  <w:tcW w:w="106" w:type="pct"/>
                  <w:shd w:val="clear" w:color="auto" w:fill="FFFFFF"/>
                  <w:vAlign w:val="center"/>
                </w:tcPr>
                <w:p w14:paraId="5E60347D">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1.2</w:t>
                  </w:r>
                </w:p>
              </w:tc>
              <w:tc>
                <w:tcPr>
                  <w:tcW w:w="127" w:type="pct"/>
                  <w:shd w:val="clear" w:color="auto" w:fill="FFFFFF"/>
                  <w:vAlign w:val="center"/>
                </w:tcPr>
                <w:p w14:paraId="478F41F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12</w:t>
                  </w:r>
                </w:p>
              </w:tc>
              <w:tc>
                <w:tcPr>
                  <w:tcW w:w="162" w:type="pct"/>
                  <w:shd w:val="clear" w:color="auto" w:fill="FFFFFF"/>
                  <w:vAlign w:val="center"/>
                </w:tcPr>
                <w:p w14:paraId="1E6EF920">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2.75</w:t>
                  </w:r>
                </w:p>
              </w:tc>
              <w:tc>
                <w:tcPr>
                  <w:tcW w:w="127" w:type="pct"/>
                  <w:shd w:val="clear" w:color="auto" w:fill="FFFFFF"/>
                  <w:vAlign w:val="center"/>
                </w:tcPr>
                <w:p w14:paraId="49288B2B">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6</w:t>
                  </w:r>
                </w:p>
              </w:tc>
              <w:tc>
                <w:tcPr>
                  <w:tcW w:w="163" w:type="pct"/>
                  <w:shd w:val="clear" w:color="auto" w:fill="FFFFFF"/>
                  <w:vAlign w:val="center"/>
                </w:tcPr>
                <w:p w14:paraId="434B5EDF">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2.75</w:t>
                  </w:r>
                </w:p>
              </w:tc>
              <w:tc>
                <w:tcPr>
                  <w:tcW w:w="145" w:type="pct"/>
                  <w:shd w:val="clear" w:color="auto" w:fill="FFFFFF"/>
                  <w:vAlign w:val="center"/>
                </w:tcPr>
                <w:p w14:paraId="67A1B768">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72.5 </w:t>
                  </w:r>
                </w:p>
              </w:tc>
              <w:tc>
                <w:tcPr>
                  <w:tcW w:w="145" w:type="pct"/>
                  <w:shd w:val="clear" w:color="auto" w:fill="FFFFFF"/>
                  <w:vAlign w:val="center"/>
                </w:tcPr>
                <w:p w14:paraId="31B624F8">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73.8 </w:t>
                  </w:r>
                </w:p>
              </w:tc>
              <w:tc>
                <w:tcPr>
                  <w:tcW w:w="145" w:type="pct"/>
                  <w:shd w:val="clear" w:color="auto" w:fill="FFFFFF"/>
                  <w:vAlign w:val="center"/>
                </w:tcPr>
                <w:p w14:paraId="70D4F9B6">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72.7 </w:t>
                  </w:r>
                </w:p>
              </w:tc>
              <w:tc>
                <w:tcPr>
                  <w:tcW w:w="149" w:type="pct"/>
                  <w:shd w:val="clear" w:color="auto" w:fill="FFFFFF"/>
                  <w:vAlign w:val="center"/>
                </w:tcPr>
                <w:p w14:paraId="694A869A">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73.8 </w:t>
                  </w:r>
                </w:p>
              </w:tc>
              <w:tc>
                <w:tcPr>
                  <w:tcW w:w="231" w:type="pct"/>
                  <w:vMerge w:val="continue"/>
                  <w:shd w:val="clear" w:color="auto" w:fill="FFFFFF"/>
                  <w:vAlign w:val="center"/>
                </w:tcPr>
                <w:p w14:paraId="6C7D511C">
                  <w:pPr>
                    <w:widowControl/>
                    <w:jc w:val="center"/>
                    <w:rPr>
                      <w:color w:val="000000" w:themeColor="text1"/>
                      <w:sz w:val="18"/>
                      <w:szCs w:val="18"/>
                      <w14:textFill>
                        <w14:solidFill>
                          <w14:schemeClr w14:val="tx1"/>
                        </w14:solidFill>
                      </w14:textFill>
                    </w:rPr>
                  </w:pPr>
                </w:p>
              </w:tc>
              <w:tc>
                <w:tcPr>
                  <w:tcW w:w="156" w:type="pct"/>
                  <w:shd w:val="clear" w:color="auto" w:fill="FFFFFF"/>
                  <w:vAlign w:val="center"/>
                </w:tcPr>
                <w:p w14:paraId="752B8095">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26</w:t>
                  </w:r>
                </w:p>
              </w:tc>
              <w:tc>
                <w:tcPr>
                  <w:tcW w:w="156" w:type="pct"/>
                  <w:shd w:val="clear" w:color="auto" w:fill="FFFFFF"/>
                  <w:vAlign w:val="center"/>
                </w:tcPr>
                <w:p w14:paraId="4244B912">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26</w:t>
                  </w:r>
                </w:p>
              </w:tc>
              <w:tc>
                <w:tcPr>
                  <w:tcW w:w="156" w:type="pct"/>
                  <w:shd w:val="clear" w:color="auto" w:fill="FFFFFF"/>
                  <w:vAlign w:val="center"/>
                </w:tcPr>
                <w:p w14:paraId="4B104692">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26</w:t>
                  </w:r>
                </w:p>
              </w:tc>
              <w:tc>
                <w:tcPr>
                  <w:tcW w:w="159" w:type="pct"/>
                  <w:shd w:val="clear" w:color="auto" w:fill="FFFFFF"/>
                  <w:vAlign w:val="center"/>
                </w:tcPr>
                <w:p w14:paraId="2AA83B93">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26</w:t>
                  </w:r>
                </w:p>
              </w:tc>
              <w:tc>
                <w:tcPr>
                  <w:tcW w:w="162" w:type="pct"/>
                  <w:shd w:val="clear" w:color="auto" w:fill="FFFFFF"/>
                  <w:vAlign w:val="center"/>
                </w:tcPr>
                <w:p w14:paraId="35C1EDE0">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46.46 </w:t>
                  </w:r>
                </w:p>
              </w:tc>
              <w:tc>
                <w:tcPr>
                  <w:tcW w:w="162" w:type="pct"/>
                  <w:shd w:val="clear" w:color="auto" w:fill="FFFFFF"/>
                  <w:vAlign w:val="center"/>
                </w:tcPr>
                <w:p w14:paraId="512BE4E9">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47.78 </w:t>
                  </w:r>
                </w:p>
              </w:tc>
              <w:tc>
                <w:tcPr>
                  <w:tcW w:w="162" w:type="pct"/>
                  <w:shd w:val="clear" w:color="auto" w:fill="FFFFFF"/>
                  <w:vAlign w:val="center"/>
                </w:tcPr>
                <w:p w14:paraId="54CA0558">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46.71 </w:t>
                  </w:r>
                </w:p>
              </w:tc>
              <w:tc>
                <w:tcPr>
                  <w:tcW w:w="162" w:type="pct"/>
                  <w:shd w:val="clear" w:color="auto" w:fill="FFFFFF"/>
                  <w:vAlign w:val="center"/>
                </w:tcPr>
                <w:p w14:paraId="6C6AA0BC">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 xml:space="preserve">47.78 </w:t>
                  </w:r>
                </w:p>
              </w:tc>
              <w:tc>
                <w:tcPr>
                  <w:tcW w:w="422" w:type="pct"/>
                  <w:shd w:val="clear" w:color="auto" w:fill="FFFFFF"/>
                  <w:vAlign w:val="center"/>
                </w:tcPr>
                <w:p w14:paraId="026BBC4F">
                  <w:pPr>
                    <w:widowControl/>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w:t>
                  </w:r>
                </w:p>
              </w:tc>
            </w:tr>
            <w:tr w14:paraId="65226DF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285" w:hRule="atLeast"/>
              </w:trPr>
              <w:tc>
                <w:tcPr>
                  <w:tcW w:w="5000" w:type="pct"/>
                  <w:gridSpan w:val="26"/>
                  <w:shd w:val="clear" w:color="auto" w:fill="FFFFFF"/>
                  <w:vAlign w:val="center"/>
                </w:tcPr>
                <w:p w14:paraId="053E06A6">
                  <w:pPr>
                    <w:widowControl/>
                    <w:textAlignment w:val="center"/>
                    <w:rPr>
                      <w:rFonts w:cs="宋体"/>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注：本次评价以厂区中心</w:t>
                  </w:r>
                  <w:r>
                    <w:rPr>
                      <w:rFonts w:hint="eastAsia"/>
                      <w:color w:val="000000" w:themeColor="text1"/>
                      <w:sz w:val="18"/>
                      <w:szCs w:val="18"/>
                      <w14:textFill>
                        <w14:solidFill>
                          <w14:schemeClr w14:val="tx1"/>
                        </w14:solidFill>
                      </w14:textFill>
                    </w:rPr>
                    <w:t>纬度N29°0′4.682″，经度E117°11′40.682″</w:t>
                  </w:r>
                  <w:r>
                    <w:rPr>
                      <w:color w:val="000000" w:themeColor="text1"/>
                      <w:sz w:val="18"/>
                      <w:szCs w:val="18"/>
                      <w14:textFill>
                        <w14:solidFill>
                          <w14:schemeClr w14:val="tx1"/>
                        </w14:solidFill>
                      </w14:textFill>
                    </w:rPr>
                    <w:t>为原点坐标（0，0，0），正东X轴为正方向，正北Y轴为正方向建立直角坐标系给出环境保护目标对应坐标。</w:t>
                  </w:r>
                </w:p>
              </w:tc>
            </w:tr>
          </w:tbl>
          <w:p w14:paraId="747E7861">
            <w:pPr>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表4-</w:t>
            </w:r>
            <w:r>
              <w:rPr>
                <w:rFonts w:hint="eastAsia"/>
                <w:b/>
                <w:color w:val="000000" w:themeColor="text1"/>
                <w:sz w:val="24"/>
                <w14:textFill>
                  <w14:solidFill>
                    <w14:schemeClr w14:val="tx1"/>
                  </w14:solidFill>
                </w14:textFill>
              </w:rPr>
              <w:t>15</w:t>
            </w:r>
            <w:r>
              <w:rPr>
                <w:b/>
                <w:color w:val="000000" w:themeColor="text1"/>
                <w:sz w:val="24"/>
                <w14:textFill>
                  <w14:solidFill>
                    <w14:schemeClr w14:val="tx1"/>
                  </w14:solidFill>
                </w14:textFill>
              </w:rPr>
              <w:t xml:space="preserve"> 项目</w:t>
            </w:r>
            <w:r>
              <w:rPr>
                <w:b/>
                <w:color w:val="000000" w:themeColor="text1"/>
                <w:kern w:val="0"/>
                <w:sz w:val="24"/>
                <w14:textFill>
                  <w14:solidFill>
                    <w14:schemeClr w14:val="tx1"/>
                  </w14:solidFill>
                </w14:textFill>
              </w:rPr>
              <w:t>噪声源强调查清单（室外声源）</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974"/>
              <w:gridCol w:w="1581"/>
              <w:gridCol w:w="974"/>
              <w:gridCol w:w="1048"/>
              <w:gridCol w:w="1048"/>
              <w:gridCol w:w="743"/>
              <w:gridCol w:w="2866"/>
              <w:gridCol w:w="2793"/>
              <w:gridCol w:w="1582"/>
            </w:tblGrid>
            <w:tr w14:paraId="478529D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57" w:hRule="atLeast"/>
                <w:jc w:val="center"/>
              </w:trPr>
              <w:tc>
                <w:tcPr>
                  <w:tcW w:w="358" w:type="pct"/>
                  <w:vMerge w:val="restart"/>
                  <w:vAlign w:val="center"/>
                </w:tcPr>
                <w:p w14:paraId="32DD130E">
                  <w:pPr>
                    <w:widowControl/>
                    <w:adjustRightInd w:val="0"/>
                    <w:snapToGrid w:val="0"/>
                    <w:jc w:val="center"/>
                    <w:textAlignment w:val="center"/>
                    <w:rPr>
                      <w:b/>
                      <w:bCs/>
                      <w:color w:val="000000" w:themeColor="text1"/>
                      <w:sz w:val="18"/>
                      <w:szCs w:val="18"/>
                      <w14:textFill>
                        <w14:solidFill>
                          <w14:schemeClr w14:val="tx1"/>
                        </w14:solidFill>
                      </w14:textFill>
                    </w:rPr>
                  </w:pPr>
                  <w:r>
                    <w:rPr>
                      <w:b/>
                      <w:bCs/>
                      <w:color w:val="000000" w:themeColor="text1"/>
                      <w:kern w:val="0"/>
                      <w:sz w:val="18"/>
                      <w:szCs w:val="18"/>
                      <w:lang w:bidi="ar"/>
                      <w14:textFill>
                        <w14:solidFill>
                          <w14:schemeClr w14:val="tx1"/>
                        </w14:solidFill>
                      </w14:textFill>
                    </w:rPr>
                    <w:t>序号</w:t>
                  </w:r>
                </w:p>
              </w:tc>
              <w:tc>
                <w:tcPr>
                  <w:tcW w:w="581" w:type="pct"/>
                  <w:vMerge w:val="restart"/>
                  <w:vAlign w:val="center"/>
                </w:tcPr>
                <w:p w14:paraId="6630D6A0">
                  <w:pPr>
                    <w:widowControl/>
                    <w:adjustRightInd w:val="0"/>
                    <w:snapToGrid w:val="0"/>
                    <w:jc w:val="center"/>
                    <w:textAlignment w:val="center"/>
                    <w:rPr>
                      <w:b/>
                      <w:bCs/>
                      <w:color w:val="000000" w:themeColor="text1"/>
                      <w:sz w:val="18"/>
                      <w:szCs w:val="18"/>
                      <w14:textFill>
                        <w14:solidFill>
                          <w14:schemeClr w14:val="tx1"/>
                        </w14:solidFill>
                      </w14:textFill>
                    </w:rPr>
                  </w:pPr>
                  <w:r>
                    <w:rPr>
                      <w:b/>
                      <w:bCs/>
                      <w:color w:val="000000" w:themeColor="text1"/>
                      <w:kern w:val="0"/>
                      <w:sz w:val="18"/>
                      <w:szCs w:val="18"/>
                      <w:lang w:bidi="ar"/>
                      <w14:textFill>
                        <w14:solidFill>
                          <w14:schemeClr w14:val="tx1"/>
                        </w14:solidFill>
                      </w14:textFill>
                    </w:rPr>
                    <w:t>声源名称</w:t>
                  </w:r>
                </w:p>
              </w:tc>
              <w:tc>
                <w:tcPr>
                  <w:tcW w:w="358" w:type="pct"/>
                  <w:vMerge w:val="restart"/>
                  <w:vAlign w:val="center"/>
                </w:tcPr>
                <w:p w14:paraId="7AA6B075">
                  <w:pPr>
                    <w:widowControl/>
                    <w:adjustRightInd w:val="0"/>
                    <w:snapToGrid w:val="0"/>
                    <w:jc w:val="center"/>
                    <w:textAlignment w:val="center"/>
                    <w:rPr>
                      <w:b/>
                      <w:bCs/>
                      <w:color w:val="000000" w:themeColor="text1"/>
                      <w:kern w:val="0"/>
                      <w:sz w:val="18"/>
                      <w:szCs w:val="18"/>
                      <w:lang w:bidi="ar"/>
                      <w14:textFill>
                        <w14:solidFill>
                          <w14:schemeClr w14:val="tx1"/>
                        </w14:solidFill>
                      </w14:textFill>
                    </w:rPr>
                  </w:pPr>
                  <w:r>
                    <w:rPr>
                      <w:b/>
                      <w:bCs/>
                      <w:color w:val="000000" w:themeColor="text1"/>
                      <w:kern w:val="0"/>
                      <w:sz w:val="18"/>
                      <w:szCs w:val="18"/>
                      <w:lang w:bidi="ar"/>
                      <w14:textFill>
                        <w14:solidFill>
                          <w14:schemeClr w14:val="tx1"/>
                        </w14:solidFill>
                      </w14:textFill>
                    </w:rPr>
                    <w:t>型号</w:t>
                  </w:r>
                </w:p>
              </w:tc>
              <w:tc>
                <w:tcPr>
                  <w:tcW w:w="1042" w:type="pct"/>
                  <w:gridSpan w:val="3"/>
                  <w:vAlign w:val="center"/>
                </w:tcPr>
                <w:p w14:paraId="67CC6DC4">
                  <w:pPr>
                    <w:widowControl/>
                    <w:adjustRightInd w:val="0"/>
                    <w:snapToGrid w:val="0"/>
                    <w:jc w:val="center"/>
                    <w:textAlignment w:val="center"/>
                    <w:rPr>
                      <w:b/>
                      <w:bCs/>
                      <w:color w:val="000000" w:themeColor="text1"/>
                      <w:sz w:val="18"/>
                      <w:szCs w:val="18"/>
                      <w14:textFill>
                        <w14:solidFill>
                          <w14:schemeClr w14:val="tx1"/>
                        </w14:solidFill>
                      </w14:textFill>
                    </w:rPr>
                  </w:pPr>
                  <w:r>
                    <w:rPr>
                      <w:b/>
                      <w:bCs/>
                      <w:color w:val="000000" w:themeColor="text1"/>
                      <w:kern w:val="0"/>
                      <w:sz w:val="18"/>
                      <w:szCs w:val="18"/>
                      <w:lang w:bidi="ar"/>
                      <w14:textFill>
                        <w14:solidFill>
                          <w14:schemeClr w14:val="tx1"/>
                        </w14:solidFill>
                      </w14:textFill>
                    </w:rPr>
                    <w:t>相对空间位置</w:t>
                  </w:r>
                </w:p>
              </w:tc>
              <w:tc>
                <w:tcPr>
                  <w:tcW w:w="1053" w:type="pct"/>
                  <w:vMerge w:val="restart"/>
                  <w:vAlign w:val="center"/>
                </w:tcPr>
                <w:p w14:paraId="289BDC62">
                  <w:pPr>
                    <w:widowControl/>
                    <w:adjustRightInd w:val="0"/>
                    <w:snapToGrid w:val="0"/>
                    <w:jc w:val="center"/>
                    <w:textAlignment w:val="center"/>
                    <w:rPr>
                      <w:b/>
                      <w:bCs/>
                      <w:color w:val="000000" w:themeColor="text1"/>
                      <w:sz w:val="18"/>
                      <w:szCs w:val="18"/>
                      <w14:textFill>
                        <w14:solidFill>
                          <w14:schemeClr w14:val="tx1"/>
                        </w14:solidFill>
                      </w14:textFill>
                    </w:rPr>
                  </w:pPr>
                  <w:r>
                    <w:rPr>
                      <w:b/>
                      <w:bCs/>
                      <w:color w:val="000000" w:themeColor="text1"/>
                      <w:kern w:val="0"/>
                      <w:sz w:val="18"/>
                      <w:szCs w:val="18"/>
                      <w:lang w:bidi="ar"/>
                      <w14:textFill>
                        <w14:solidFill>
                          <w14:schemeClr w14:val="tx1"/>
                        </w14:solidFill>
                      </w14:textFill>
                    </w:rPr>
                    <w:t>声功率级/dB（A）</w:t>
                  </w:r>
                </w:p>
              </w:tc>
              <w:tc>
                <w:tcPr>
                  <w:tcW w:w="1026" w:type="pct"/>
                  <w:vMerge w:val="restart"/>
                  <w:vAlign w:val="center"/>
                </w:tcPr>
                <w:p w14:paraId="7E626FD1">
                  <w:pPr>
                    <w:widowControl/>
                    <w:adjustRightInd w:val="0"/>
                    <w:snapToGrid w:val="0"/>
                    <w:jc w:val="center"/>
                    <w:textAlignment w:val="center"/>
                    <w:rPr>
                      <w:b/>
                      <w:bCs/>
                      <w:color w:val="000000" w:themeColor="text1"/>
                      <w:sz w:val="18"/>
                      <w:szCs w:val="18"/>
                      <w14:textFill>
                        <w14:solidFill>
                          <w14:schemeClr w14:val="tx1"/>
                        </w14:solidFill>
                      </w14:textFill>
                    </w:rPr>
                  </w:pPr>
                  <w:r>
                    <w:rPr>
                      <w:b/>
                      <w:bCs/>
                      <w:color w:val="000000" w:themeColor="text1"/>
                      <w:kern w:val="0"/>
                      <w:sz w:val="18"/>
                      <w:szCs w:val="18"/>
                      <w:lang w:bidi="ar"/>
                      <w14:textFill>
                        <w14:solidFill>
                          <w14:schemeClr w14:val="tx1"/>
                        </w14:solidFill>
                      </w14:textFill>
                    </w:rPr>
                    <w:t>声源控制措施</w:t>
                  </w:r>
                </w:p>
              </w:tc>
              <w:tc>
                <w:tcPr>
                  <w:tcW w:w="581" w:type="pct"/>
                  <w:vMerge w:val="restart"/>
                  <w:vAlign w:val="center"/>
                </w:tcPr>
                <w:p w14:paraId="2168AB6D">
                  <w:pPr>
                    <w:widowControl/>
                    <w:adjustRightInd w:val="0"/>
                    <w:snapToGrid w:val="0"/>
                    <w:jc w:val="center"/>
                    <w:textAlignment w:val="center"/>
                    <w:rPr>
                      <w:b/>
                      <w:bCs/>
                      <w:color w:val="000000" w:themeColor="text1"/>
                      <w:sz w:val="18"/>
                      <w:szCs w:val="18"/>
                      <w14:textFill>
                        <w14:solidFill>
                          <w14:schemeClr w14:val="tx1"/>
                        </w14:solidFill>
                      </w14:textFill>
                    </w:rPr>
                  </w:pPr>
                  <w:r>
                    <w:rPr>
                      <w:b/>
                      <w:bCs/>
                      <w:color w:val="000000" w:themeColor="text1"/>
                      <w:kern w:val="0"/>
                      <w:sz w:val="18"/>
                      <w:szCs w:val="18"/>
                      <w:lang w:bidi="ar"/>
                      <w14:textFill>
                        <w14:solidFill>
                          <w14:schemeClr w14:val="tx1"/>
                        </w14:solidFill>
                      </w14:textFill>
                    </w:rPr>
                    <w:t>运行时段</w:t>
                  </w:r>
                </w:p>
              </w:tc>
            </w:tr>
            <w:tr w14:paraId="6CC95EA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57" w:hRule="atLeast"/>
                <w:jc w:val="center"/>
              </w:trPr>
              <w:tc>
                <w:tcPr>
                  <w:tcW w:w="358" w:type="pct"/>
                  <w:vMerge w:val="continue"/>
                  <w:vAlign w:val="center"/>
                </w:tcPr>
                <w:p w14:paraId="5AA42F78">
                  <w:pPr>
                    <w:widowControl/>
                    <w:adjustRightInd w:val="0"/>
                    <w:snapToGrid w:val="0"/>
                    <w:jc w:val="center"/>
                    <w:rPr>
                      <w:b/>
                      <w:bCs/>
                      <w:color w:val="000000" w:themeColor="text1"/>
                      <w:sz w:val="18"/>
                      <w:szCs w:val="18"/>
                      <w14:textFill>
                        <w14:solidFill>
                          <w14:schemeClr w14:val="tx1"/>
                        </w14:solidFill>
                      </w14:textFill>
                    </w:rPr>
                  </w:pPr>
                </w:p>
              </w:tc>
              <w:tc>
                <w:tcPr>
                  <w:tcW w:w="581" w:type="pct"/>
                  <w:vMerge w:val="continue"/>
                  <w:vAlign w:val="center"/>
                </w:tcPr>
                <w:p w14:paraId="67BDF82A">
                  <w:pPr>
                    <w:widowControl/>
                    <w:adjustRightInd w:val="0"/>
                    <w:snapToGrid w:val="0"/>
                    <w:jc w:val="center"/>
                    <w:rPr>
                      <w:b/>
                      <w:bCs/>
                      <w:color w:val="000000" w:themeColor="text1"/>
                      <w:sz w:val="18"/>
                      <w:szCs w:val="18"/>
                      <w14:textFill>
                        <w14:solidFill>
                          <w14:schemeClr w14:val="tx1"/>
                        </w14:solidFill>
                      </w14:textFill>
                    </w:rPr>
                  </w:pPr>
                </w:p>
              </w:tc>
              <w:tc>
                <w:tcPr>
                  <w:tcW w:w="358" w:type="pct"/>
                  <w:vMerge w:val="continue"/>
                  <w:vAlign w:val="center"/>
                </w:tcPr>
                <w:p w14:paraId="7DE660D6">
                  <w:pPr>
                    <w:widowControl/>
                    <w:adjustRightInd w:val="0"/>
                    <w:snapToGrid w:val="0"/>
                    <w:jc w:val="center"/>
                    <w:rPr>
                      <w:b/>
                      <w:bCs/>
                      <w:color w:val="000000" w:themeColor="text1"/>
                      <w:sz w:val="18"/>
                      <w:szCs w:val="18"/>
                      <w14:textFill>
                        <w14:solidFill>
                          <w14:schemeClr w14:val="tx1"/>
                        </w14:solidFill>
                      </w14:textFill>
                    </w:rPr>
                  </w:pPr>
                </w:p>
              </w:tc>
              <w:tc>
                <w:tcPr>
                  <w:tcW w:w="385" w:type="pct"/>
                  <w:vAlign w:val="center"/>
                </w:tcPr>
                <w:p w14:paraId="0A1DDC12">
                  <w:pPr>
                    <w:widowControl/>
                    <w:adjustRightInd w:val="0"/>
                    <w:snapToGrid w:val="0"/>
                    <w:jc w:val="center"/>
                    <w:textAlignment w:val="center"/>
                    <w:rPr>
                      <w:b/>
                      <w:bCs/>
                      <w:color w:val="000000" w:themeColor="text1"/>
                      <w:sz w:val="18"/>
                      <w:szCs w:val="18"/>
                      <w14:textFill>
                        <w14:solidFill>
                          <w14:schemeClr w14:val="tx1"/>
                        </w14:solidFill>
                      </w14:textFill>
                    </w:rPr>
                  </w:pPr>
                  <w:r>
                    <w:rPr>
                      <w:b/>
                      <w:bCs/>
                      <w:color w:val="000000" w:themeColor="text1"/>
                      <w:kern w:val="0"/>
                      <w:sz w:val="18"/>
                      <w:szCs w:val="18"/>
                      <w:lang w:bidi="ar"/>
                      <w14:textFill>
                        <w14:solidFill>
                          <w14:schemeClr w14:val="tx1"/>
                        </w14:solidFill>
                      </w14:textFill>
                    </w:rPr>
                    <w:t>X</w:t>
                  </w:r>
                </w:p>
              </w:tc>
              <w:tc>
                <w:tcPr>
                  <w:tcW w:w="385" w:type="pct"/>
                  <w:vAlign w:val="center"/>
                </w:tcPr>
                <w:p w14:paraId="3690486D">
                  <w:pPr>
                    <w:widowControl/>
                    <w:adjustRightInd w:val="0"/>
                    <w:snapToGrid w:val="0"/>
                    <w:jc w:val="center"/>
                    <w:textAlignment w:val="center"/>
                    <w:rPr>
                      <w:b/>
                      <w:bCs/>
                      <w:color w:val="000000" w:themeColor="text1"/>
                      <w:sz w:val="18"/>
                      <w:szCs w:val="18"/>
                      <w14:textFill>
                        <w14:solidFill>
                          <w14:schemeClr w14:val="tx1"/>
                        </w14:solidFill>
                      </w14:textFill>
                    </w:rPr>
                  </w:pPr>
                  <w:r>
                    <w:rPr>
                      <w:b/>
                      <w:bCs/>
                      <w:color w:val="000000" w:themeColor="text1"/>
                      <w:kern w:val="0"/>
                      <w:sz w:val="18"/>
                      <w:szCs w:val="18"/>
                      <w:lang w:bidi="ar"/>
                      <w14:textFill>
                        <w14:solidFill>
                          <w14:schemeClr w14:val="tx1"/>
                        </w14:solidFill>
                      </w14:textFill>
                    </w:rPr>
                    <w:t>Y</w:t>
                  </w:r>
                </w:p>
              </w:tc>
              <w:tc>
                <w:tcPr>
                  <w:tcW w:w="273" w:type="pct"/>
                  <w:vAlign w:val="center"/>
                </w:tcPr>
                <w:p w14:paraId="583745AD">
                  <w:pPr>
                    <w:widowControl/>
                    <w:adjustRightInd w:val="0"/>
                    <w:snapToGrid w:val="0"/>
                    <w:jc w:val="center"/>
                    <w:textAlignment w:val="center"/>
                    <w:rPr>
                      <w:b/>
                      <w:bCs/>
                      <w:color w:val="000000" w:themeColor="text1"/>
                      <w:sz w:val="18"/>
                      <w:szCs w:val="18"/>
                      <w14:textFill>
                        <w14:solidFill>
                          <w14:schemeClr w14:val="tx1"/>
                        </w14:solidFill>
                      </w14:textFill>
                    </w:rPr>
                  </w:pPr>
                  <w:r>
                    <w:rPr>
                      <w:b/>
                      <w:bCs/>
                      <w:color w:val="000000" w:themeColor="text1"/>
                      <w:kern w:val="0"/>
                      <w:sz w:val="18"/>
                      <w:szCs w:val="18"/>
                      <w:lang w:bidi="ar"/>
                      <w14:textFill>
                        <w14:solidFill>
                          <w14:schemeClr w14:val="tx1"/>
                        </w14:solidFill>
                      </w14:textFill>
                    </w:rPr>
                    <w:t>Z</w:t>
                  </w:r>
                </w:p>
              </w:tc>
              <w:tc>
                <w:tcPr>
                  <w:tcW w:w="1053" w:type="pct"/>
                  <w:vMerge w:val="continue"/>
                  <w:vAlign w:val="center"/>
                </w:tcPr>
                <w:p w14:paraId="5B78F402">
                  <w:pPr>
                    <w:widowControl/>
                    <w:adjustRightInd w:val="0"/>
                    <w:snapToGrid w:val="0"/>
                    <w:jc w:val="center"/>
                    <w:rPr>
                      <w:b/>
                      <w:bCs/>
                      <w:color w:val="000000" w:themeColor="text1"/>
                      <w:sz w:val="18"/>
                      <w:szCs w:val="18"/>
                      <w14:textFill>
                        <w14:solidFill>
                          <w14:schemeClr w14:val="tx1"/>
                        </w14:solidFill>
                      </w14:textFill>
                    </w:rPr>
                  </w:pPr>
                </w:p>
              </w:tc>
              <w:tc>
                <w:tcPr>
                  <w:tcW w:w="1026" w:type="pct"/>
                  <w:vMerge w:val="continue"/>
                  <w:vAlign w:val="center"/>
                </w:tcPr>
                <w:p w14:paraId="4A35DBB9">
                  <w:pPr>
                    <w:widowControl/>
                    <w:adjustRightInd w:val="0"/>
                    <w:snapToGrid w:val="0"/>
                    <w:jc w:val="center"/>
                    <w:rPr>
                      <w:b/>
                      <w:bCs/>
                      <w:color w:val="000000" w:themeColor="text1"/>
                      <w:sz w:val="18"/>
                      <w:szCs w:val="18"/>
                      <w14:textFill>
                        <w14:solidFill>
                          <w14:schemeClr w14:val="tx1"/>
                        </w14:solidFill>
                      </w14:textFill>
                    </w:rPr>
                  </w:pPr>
                </w:p>
              </w:tc>
              <w:tc>
                <w:tcPr>
                  <w:tcW w:w="581" w:type="pct"/>
                  <w:vMerge w:val="continue"/>
                  <w:vAlign w:val="center"/>
                </w:tcPr>
                <w:p w14:paraId="0F3B30BC">
                  <w:pPr>
                    <w:widowControl/>
                    <w:adjustRightInd w:val="0"/>
                    <w:snapToGrid w:val="0"/>
                    <w:jc w:val="center"/>
                    <w:rPr>
                      <w:b/>
                      <w:bCs/>
                      <w:color w:val="000000" w:themeColor="text1"/>
                      <w:sz w:val="18"/>
                      <w:szCs w:val="18"/>
                      <w14:textFill>
                        <w14:solidFill>
                          <w14:schemeClr w14:val="tx1"/>
                        </w14:solidFill>
                      </w14:textFill>
                    </w:rPr>
                  </w:pPr>
                </w:p>
              </w:tc>
            </w:tr>
            <w:tr w14:paraId="1806B9C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57" w:hRule="atLeast"/>
                <w:jc w:val="center"/>
              </w:trPr>
              <w:tc>
                <w:tcPr>
                  <w:tcW w:w="358" w:type="pct"/>
                  <w:vAlign w:val="center"/>
                </w:tcPr>
                <w:p w14:paraId="044236DF">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1</w:t>
                  </w:r>
                </w:p>
              </w:tc>
              <w:tc>
                <w:tcPr>
                  <w:tcW w:w="581" w:type="pct"/>
                  <w:vAlign w:val="center"/>
                </w:tcPr>
                <w:p w14:paraId="7B3FADA6">
                  <w:pPr>
                    <w:pStyle w:val="9"/>
                    <w:adjustRightInd w:val="0"/>
                    <w:snapToGrid w:val="0"/>
                    <w:ind w:left="0" w:leftChars="0" w:firstLine="0" w:firstLineChars="0"/>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循环水泵</w:t>
                  </w:r>
                </w:p>
              </w:tc>
              <w:tc>
                <w:tcPr>
                  <w:tcW w:w="358" w:type="pct"/>
                  <w:vAlign w:val="center"/>
                </w:tcPr>
                <w:p w14:paraId="54F5B2B0">
                  <w:pPr>
                    <w:pStyle w:val="9"/>
                    <w:adjustRightInd w:val="0"/>
                    <w:snapToGrid w:val="0"/>
                    <w:ind w:left="0" w:leftChars="0" w:firstLine="0" w:firstLineChars="0"/>
                    <w:rPr>
                      <w:color w:val="000000" w:themeColor="text1"/>
                      <w:kern w:val="0"/>
                      <w:sz w:val="18"/>
                      <w:szCs w:val="18"/>
                      <w:lang w:bidi="ar"/>
                      <w14:textFill>
                        <w14:solidFill>
                          <w14:schemeClr w14:val="tx1"/>
                        </w14:solidFill>
                      </w14:textFill>
                    </w:rPr>
                  </w:pPr>
                  <w:r>
                    <w:rPr>
                      <w:color w:val="000000" w:themeColor="text1"/>
                      <w:sz w:val="18"/>
                      <w:szCs w:val="18"/>
                      <w14:textFill>
                        <w14:solidFill>
                          <w14:schemeClr w14:val="tx1"/>
                        </w14:solidFill>
                      </w14:textFill>
                    </w:rPr>
                    <w:t>/</w:t>
                  </w:r>
                </w:p>
              </w:tc>
              <w:tc>
                <w:tcPr>
                  <w:tcW w:w="385" w:type="pct"/>
                  <w:vAlign w:val="center"/>
                </w:tcPr>
                <w:p w14:paraId="70D4EDAA">
                  <w:pPr>
                    <w:widowControl/>
                    <w:adjustRightInd w:val="0"/>
                    <w:snapToGrid w:val="0"/>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11.76</w:t>
                  </w:r>
                </w:p>
              </w:tc>
              <w:tc>
                <w:tcPr>
                  <w:tcW w:w="385" w:type="pct"/>
                  <w:vAlign w:val="center"/>
                </w:tcPr>
                <w:p w14:paraId="33AE89E5">
                  <w:pPr>
                    <w:widowControl/>
                    <w:adjustRightInd w:val="0"/>
                    <w:snapToGrid w:val="0"/>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67.81</w:t>
                  </w:r>
                </w:p>
              </w:tc>
              <w:tc>
                <w:tcPr>
                  <w:tcW w:w="273" w:type="pct"/>
                  <w:vAlign w:val="center"/>
                </w:tcPr>
                <w:p w14:paraId="49ECE8D6">
                  <w:pPr>
                    <w:widowControl/>
                    <w:adjustRightInd w:val="0"/>
                    <w:snapToGrid w:val="0"/>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1.2</w:t>
                  </w:r>
                </w:p>
              </w:tc>
              <w:tc>
                <w:tcPr>
                  <w:tcW w:w="1053" w:type="pct"/>
                  <w:vAlign w:val="center"/>
                </w:tcPr>
                <w:p w14:paraId="20AD40FF">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80</w:t>
                  </w:r>
                </w:p>
              </w:tc>
              <w:tc>
                <w:tcPr>
                  <w:tcW w:w="1026" w:type="pct"/>
                  <w:vAlign w:val="center"/>
                </w:tcPr>
                <w:p w14:paraId="31A335A7">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减震基座、隔声罩</w:t>
                  </w:r>
                </w:p>
              </w:tc>
              <w:tc>
                <w:tcPr>
                  <w:tcW w:w="581" w:type="pct"/>
                  <w:vAlign w:val="center"/>
                </w:tcPr>
                <w:p w14:paraId="5D4E184A">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kern w:val="0"/>
                      <w:sz w:val="18"/>
                      <w:szCs w:val="18"/>
                      <w:lang w:bidi="ar"/>
                      <w14:textFill>
                        <w14:solidFill>
                          <w14:schemeClr w14:val="tx1"/>
                        </w14:solidFill>
                      </w14:textFill>
                    </w:rPr>
                    <w:t>昼间</w:t>
                  </w:r>
                </w:p>
              </w:tc>
            </w:tr>
            <w:tr w14:paraId="60195F1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57" w:hRule="atLeast"/>
                <w:jc w:val="center"/>
              </w:trPr>
              <w:tc>
                <w:tcPr>
                  <w:tcW w:w="358" w:type="pct"/>
                  <w:vAlign w:val="center"/>
                </w:tcPr>
                <w:p w14:paraId="5512F564">
                  <w:pPr>
                    <w:widowControl/>
                    <w:adjustRightInd w:val="0"/>
                    <w:snapToGrid w:val="0"/>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2</w:t>
                  </w:r>
                </w:p>
              </w:tc>
              <w:tc>
                <w:tcPr>
                  <w:tcW w:w="581" w:type="pct"/>
                  <w:vAlign w:val="center"/>
                </w:tcPr>
                <w:p w14:paraId="535CEA33">
                  <w:pPr>
                    <w:pStyle w:val="9"/>
                    <w:adjustRightInd w:val="0"/>
                    <w:snapToGrid w:val="0"/>
                    <w:ind w:left="0" w:leftChars="0" w:firstLine="0" w:firstLineChars="0"/>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风机</w:t>
                  </w:r>
                </w:p>
              </w:tc>
              <w:tc>
                <w:tcPr>
                  <w:tcW w:w="358" w:type="pct"/>
                  <w:vAlign w:val="center"/>
                </w:tcPr>
                <w:p w14:paraId="2E917D72">
                  <w:pPr>
                    <w:pStyle w:val="9"/>
                    <w:adjustRightInd w:val="0"/>
                    <w:snapToGrid w:val="0"/>
                    <w:ind w:left="0" w:leftChars="0" w:firstLine="0" w:firstLineChars="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w:t>
                  </w:r>
                </w:p>
              </w:tc>
              <w:tc>
                <w:tcPr>
                  <w:tcW w:w="385" w:type="pct"/>
                  <w:vAlign w:val="center"/>
                </w:tcPr>
                <w:p w14:paraId="1E864CDE">
                  <w:pPr>
                    <w:widowControl/>
                    <w:adjustRightInd w:val="0"/>
                    <w:snapToGrid w:val="0"/>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18.81</w:t>
                  </w:r>
                </w:p>
              </w:tc>
              <w:tc>
                <w:tcPr>
                  <w:tcW w:w="385" w:type="pct"/>
                  <w:vAlign w:val="center"/>
                </w:tcPr>
                <w:p w14:paraId="213F9AF2">
                  <w:pPr>
                    <w:widowControl/>
                    <w:adjustRightInd w:val="0"/>
                    <w:snapToGrid w:val="0"/>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58.7</w:t>
                  </w:r>
                </w:p>
              </w:tc>
              <w:tc>
                <w:tcPr>
                  <w:tcW w:w="273" w:type="pct"/>
                  <w:vAlign w:val="center"/>
                </w:tcPr>
                <w:p w14:paraId="2027F588">
                  <w:pPr>
                    <w:widowControl/>
                    <w:adjustRightInd w:val="0"/>
                    <w:snapToGrid w:val="0"/>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1.2</w:t>
                  </w:r>
                </w:p>
              </w:tc>
              <w:tc>
                <w:tcPr>
                  <w:tcW w:w="1053" w:type="pct"/>
                  <w:vAlign w:val="center"/>
                </w:tcPr>
                <w:p w14:paraId="38031E0D">
                  <w:pPr>
                    <w:widowControl/>
                    <w:adjustRightInd w:val="0"/>
                    <w:snapToGrid w:val="0"/>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80</w:t>
                  </w:r>
                </w:p>
              </w:tc>
              <w:tc>
                <w:tcPr>
                  <w:tcW w:w="1026" w:type="pct"/>
                  <w:vAlign w:val="center"/>
                </w:tcPr>
                <w:p w14:paraId="6AA4A2AD">
                  <w:pPr>
                    <w:widowControl/>
                    <w:adjustRightInd w:val="0"/>
                    <w:snapToGrid w:val="0"/>
                    <w:jc w:val="center"/>
                    <w:textAlignment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减震基座、隔声罩</w:t>
                  </w:r>
                </w:p>
              </w:tc>
              <w:tc>
                <w:tcPr>
                  <w:tcW w:w="581" w:type="pct"/>
                  <w:vAlign w:val="center"/>
                </w:tcPr>
                <w:p w14:paraId="4901AB67">
                  <w:pPr>
                    <w:widowControl/>
                    <w:adjustRightInd w:val="0"/>
                    <w:snapToGrid w:val="0"/>
                    <w:jc w:val="center"/>
                    <w:textAlignment w:val="center"/>
                    <w:rPr>
                      <w:color w:val="000000" w:themeColor="text1"/>
                      <w:kern w:val="0"/>
                      <w:sz w:val="18"/>
                      <w:szCs w:val="18"/>
                      <w:lang w:bidi="ar"/>
                      <w14:textFill>
                        <w14:solidFill>
                          <w14:schemeClr w14:val="tx1"/>
                        </w14:solidFill>
                      </w14:textFill>
                    </w:rPr>
                  </w:pPr>
                  <w:r>
                    <w:rPr>
                      <w:color w:val="000000" w:themeColor="text1"/>
                      <w:kern w:val="0"/>
                      <w:sz w:val="18"/>
                      <w:szCs w:val="18"/>
                      <w:lang w:bidi="ar"/>
                      <w14:textFill>
                        <w14:solidFill>
                          <w14:schemeClr w14:val="tx1"/>
                        </w14:solidFill>
                      </w14:textFill>
                    </w:rPr>
                    <w:t>昼间</w:t>
                  </w:r>
                </w:p>
              </w:tc>
            </w:tr>
            <w:tr w14:paraId="116FAC0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57" w:hRule="atLeast"/>
                <w:jc w:val="center"/>
              </w:trPr>
              <w:tc>
                <w:tcPr>
                  <w:tcW w:w="5000" w:type="pct"/>
                  <w:gridSpan w:val="9"/>
                  <w:vAlign w:val="center"/>
                </w:tcPr>
                <w:p w14:paraId="4862CD6D">
                  <w:pPr>
                    <w:widowControl/>
                    <w:adjustRightInd w:val="0"/>
                    <w:snapToGrid w:val="0"/>
                    <w:jc w:val="left"/>
                    <w:textAlignment w:val="center"/>
                    <w:rPr>
                      <w:color w:val="000000" w:themeColor="text1"/>
                      <w:kern w:val="0"/>
                      <w:sz w:val="18"/>
                      <w:szCs w:val="18"/>
                      <w:lang w:bidi="ar"/>
                      <w14:textFill>
                        <w14:solidFill>
                          <w14:schemeClr w14:val="tx1"/>
                        </w14:solidFill>
                      </w14:textFill>
                    </w:rPr>
                  </w:pPr>
                  <w:r>
                    <w:rPr>
                      <w:color w:val="000000" w:themeColor="text1"/>
                      <w:sz w:val="18"/>
                      <w:szCs w:val="18"/>
                      <w14:textFill>
                        <w14:solidFill>
                          <w14:schemeClr w14:val="tx1"/>
                        </w14:solidFill>
                      </w14:textFill>
                    </w:rPr>
                    <w:t>注：本次评价以厂区中心</w:t>
                  </w:r>
                  <w:r>
                    <w:rPr>
                      <w:rFonts w:hint="eastAsia"/>
                      <w:color w:val="000000" w:themeColor="text1"/>
                      <w:sz w:val="18"/>
                      <w:szCs w:val="18"/>
                      <w14:textFill>
                        <w14:solidFill>
                          <w14:schemeClr w14:val="tx1"/>
                        </w14:solidFill>
                      </w14:textFill>
                    </w:rPr>
                    <w:t>纬度N29°0′4.682″，经度E117°11′40.682″</w:t>
                  </w:r>
                  <w:r>
                    <w:rPr>
                      <w:color w:val="000000" w:themeColor="text1"/>
                      <w:sz w:val="18"/>
                      <w:szCs w:val="18"/>
                      <w14:textFill>
                        <w14:solidFill>
                          <w14:schemeClr w14:val="tx1"/>
                        </w14:solidFill>
                      </w14:textFill>
                    </w:rPr>
                    <w:t>为原点坐标（0，0，0），正东X轴为正方向，正北Y轴为正方向建立直角坐标系给出环境保护目标对应坐标。</w:t>
                  </w:r>
                </w:p>
              </w:tc>
            </w:tr>
          </w:tbl>
          <w:p w14:paraId="04279C28">
            <w:pPr>
              <w:snapToGrid w:val="0"/>
              <w:spacing w:line="360" w:lineRule="auto"/>
              <w:ind w:firstLine="482" w:firstLineChars="200"/>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2、噪声达标排放分析</w:t>
            </w:r>
          </w:p>
          <w:p w14:paraId="7E9E578F">
            <w:pPr>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本次评价选用点源的噪声预测模式，点噪声源在传播过程中，受到房间的吸收和屏蔽，又经距离衰减及空气吸收后，到达受声点，其模式为：</w:t>
            </w:r>
          </w:p>
          <w:p w14:paraId="1B920F86">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（1）单个室外的点声源在预测点产生的声级计算基本公式</w:t>
            </w:r>
          </w:p>
          <w:p w14:paraId="4D6A43D9">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a)根据声源声功率级或参考位置处的声压级、户外声传播衰减，计算预测点的声级，分别按</w:t>
            </w:r>
            <w:r>
              <w:rPr>
                <w:color w:val="000000" w:themeColor="text1"/>
                <w:sz w:val="24"/>
                <w14:textFill>
                  <w14:solidFill>
                    <w14:schemeClr w14:val="tx1"/>
                  </w14:solidFill>
                </w14:textFill>
              </w:rPr>
              <w:t>式（A.1）或式（A.2）计算：</w:t>
            </w:r>
          </w:p>
          <w:p w14:paraId="00B9B035">
            <w:pPr>
              <w:jc w:val="center"/>
              <w:rPr>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6004560" cy="236220"/>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a:xfrm>
                            <a:off x="0" y="0"/>
                            <a:ext cx="6004560" cy="236220"/>
                          </a:xfrm>
                          <a:prstGeom prst="rect">
                            <a:avLst/>
                          </a:prstGeom>
                          <a:noFill/>
                          <a:ln>
                            <a:noFill/>
                          </a:ln>
                        </pic:spPr>
                      </pic:pic>
                    </a:graphicData>
                  </a:graphic>
                </wp:inline>
              </w:drawing>
            </w:r>
            <w:r>
              <w:rPr>
                <w:color w:val="000000" w:themeColor="text1"/>
                <w:sz w:val="24"/>
                <w14:textFill>
                  <w14:solidFill>
                    <w14:schemeClr w14:val="tx1"/>
                  </w14:solidFill>
                </w14:textFill>
              </w:rPr>
              <w:t xml:space="preserve"> </w:t>
            </w:r>
          </w:p>
          <w:p w14:paraId="6EA98298">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式中：Lp(r) ——预测点处声压级</w:t>
            </w:r>
            <w:r>
              <w:rPr>
                <w:color w:val="000000" w:themeColor="text1"/>
                <w:sz w:val="24"/>
                <w14:textFill>
                  <w14:solidFill>
                    <w14:schemeClr w14:val="tx1"/>
                  </w14:solidFill>
                </w14:textFill>
              </w:rPr>
              <w:t>，dB；</w:t>
            </w:r>
          </w:p>
          <w:p w14:paraId="7803FAE6">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Lw—</w:t>
            </w:r>
            <w:r>
              <w:rPr>
                <w:rFonts w:hint="eastAsia"/>
                <w:color w:val="000000" w:themeColor="text1"/>
                <w:sz w:val="24"/>
                <w14:textFill>
                  <w14:solidFill>
                    <w14:schemeClr w14:val="tx1"/>
                  </w14:solidFill>
                </w14:textFill>
              </w:rPr>
              <w:t>倍频带声功率级，</w:t>
            </w:r>
            <w:r>
              <w:rPr>
                <w:color w:val="000000" w:themeColor="text1"/>
                <w:sz w:val="24"/>
                <w14:textFill>
                  <w14:solidFill>
                    <w14:schemeClr w14:val="tx1"/>
                  </w14:solidFill>
                </w14:textFill>
              </w:rPr>
              <w:t>dB</w:t>
            </w:r>
            <w:r>
              <w:rPr>
                <w:rFonts w:hint="eastAsia"/>
                <w:color w:val="000000" w:themeColor="text1"/>
                <w:sz w:val="24"/>
                <w14:textFill>
                  <w14:solidFill>
                    <w14:schemeClr w14:val="tx1"/>
                  </w14:solidFill>
                </w14:textFill>
              </w:rPr>
              <w:t xml:space="preserve">； </w:t>
            </w:r>
          </w:p>
          <w:p w14:paraId="4BBD54B2">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Dc—</w:t>
            </w:r>
            <w:r>
              <w:rPr>
                <w:rFonts w:hint="eastAsia"/>
                <w:color w:val="000000" w:themeColor="text1"/>
                <w:sz w:val="24"/>
                <w14:textFill>
                  <w14:solidFill>
                    <w14:schemeClr w14:val="tx1"/>
                  </w14:solidFill>
                </w14:textFill>
              </w:rPr>
              <w:t>指向性校正，</w:t>
            </w:r>
            <w:r>
              <w:rPr>
                <w:color w:val="000000" w:themeColor="text1"/>
                <w:sz w:val="24"/>
                <w14:textFill>
                  <w14:solidFill>
                    <w14:schemeClr w14:val="tx1"/>
                  </w14:solidFill>
                </w14:textFill>
              </w:rPr>
              <w:t>dB</w:t>
            </w:r>
            <w:r>
              <w:rPr>
                <w:rFonts w:hint="eastAsia"/>
                <w:color w:val="000000" w:themeColor="text1"/>
                <w:sz w:val="24"/>
                <w14:textFill>
                  <w14:solidFill>
                    <w14:schemeClr w14:val="tx1"/>
                  </w14:solidFill>
                </w14:textFill>
              </w:rPr>
              <w:t xml:space="preserve">；它描述点声源的等效连续声压级与产生声功率级的全向点声源在规定方向的级的偏差程度。指向性校正等于点声源的指向性指数 </w:t>
            </w:r>
            <w:r>
              <w:rPr>
                <w:color w:val="000000" w:themeColor="text1"/>
                <w:sz w:val="24"/>
                <w14:textFill>
                  <w14:solidFill>
                    <w14:schemeClr w14:val="tx1"/>
                  </w14:solidFill>
                </w14:textFill>
              </w:rPr>
              <w:t xml:space="preserve">DI </w:t>
            </w:r>
            <w:r>
              <w:rPr>
                <w:rFonts w:hint="eastAsia"/>
                <w:color w:val="000000" w:themeColor="text1"/>
                <w:sz w:val="24"/>
                <w14:textFill>
                  <w14:solidFill>
                    <w14:schemeClr w14:val="tx1"/>
                  </w14:solidFill>
                </w14:textFill>
              </w:rPr>
              <w:t>加上计到小于</w:t>
            </w:r>
            <w:r>
              <w:rPr>
                <w:color w:val="000000" w:themeColor="text1"/>
                <w:sz w:val="24"/>
                <w14:textFill>
                  <w14:solidFill>
                    <w14:schemeClr w14:val="tx1"/>
                  </w14:solidFill>
                </w14:textFill>
              </w:rPr>
              <w:t>4π</w:t>
            </w:r>
            <w:r>
              <w:rPr>
                <w:rFonts w:hint="eastAsia"/>
                <w:color w:val="000000" w:themeColor="text1"/>
                <w:sz w:val="24"/>
                <w14:textFill>
                  <w14:solidFill>
                    <w14:schemeClr w14:val="tx1"/>
                  </w14:solidFill>
                </w14:textFill>
              </w:rPr>
              <w:t>球面度（</w:t>
            </w:r>
            <w:r>
              <w:rPr>
                <w:color w:val="000000" w:themeColor="text1"/>
                <w:sz w:val="24"/>
                <w14:textFill>
                  <w14:solidFill>
                    <w14:schemeClr w14:val="tx1"/>
                  </w14:solidFill>
                </w14:textFill>
              </w:rPr>
              <w:t>sr</w:t>
            </w:r>
            <w:r>
              <w:rPr>
                <w:rFonts w:hint="eastAsia"/>
                <w:color w:val="000000" w:themeColor="text1"/>
                <w:sz w:val="24"/>
                <w14:textFill>
                  <w14:solidFill>
                    <w14:schemeClr w14:val="tx1"/>
                  </w14:solidFill>
                </w14:textFill>
              </w:rPr>
              <w:t>）立体角内的声传播指数</w:t>
            </w:r>
            <w:r>
              <w:rPr>
                <w:color w:val="000000" w:themeColor="text1"/>
                <w:sz w:val="24"/>
                <w14:textFill>
                  <w14:solidFill>
                    <w14:schemeClr w14:val="tx1"/>
                  </w14:solidFill>
                </w14:textFill>
              </w:rPr>
              <w:t>D</w:t>
            </w:r>
            <w:r>
              <w:rPr>
                <w:color w:val="000000" w:themeColor="text1"/>
                <w:sz w:val="24"/>
                <w:vertAlign w:val="subscript"/>
                <w14:textFill>
                  <w14:solidFill>
                    <w14:schemeClr w14:val="tx1"/>
                  </w14:solidFill>
                </w14:textFill>
              </w:rPr>
              <w:t>Ω</w:t>
            </w:r>
            <w:r>
              <w:rPr>
                <w:rFonts w:hint="eastAsia"/>
                <w:color w:val="000000" w:themeColor="text1"/>
                <w:sz w:val="24"/>
                <w14:textFill>
                  <w14:solidFill>
                    <w14:schemeClr w14:val="tx1"/>
                  </w14:solidFill>
                </w14:textFill>
              </w:rPr>
              <w:t>。对辐射到自由空间的全向点声源，</w:t>
            </w:r>
            <w:r>
              <w:rPr>
                <w:color w:val="000000" w:themeColor="text1"/>
                <w:sz w:val="24"/>
                <w14:textFill>
                  <w14:solidFill>
                    <w14:schemeClr w14:val="tx1"/>
                  </w14:solidFill>
                </w14:textFill>
              </w:rPr>
              <w:t>Dc=0dB</w:t>
            </w:r>
            <w:r>
              <w:rPr>
                <w:rFonts w:hint="eastAsia"/>
                <w:color w:val="000000" w:themeColor="text1"/>
                <w:sz w:val="24"/>
                <w14:textFill>
                  <w14:solidFill>
                    <w14:schemeClr w14:val="tx1"/>
                  </w14:solidFill>
                </w14:textFill>
              </w:rPr>
              <w:t xml:space="preserve">。 </w:t>
            </w:r>
          </w:p>
          <w:p w14:paraId="39671658">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A</w:t>
            </w:r>
            <w:r>
              <w:rPr>
                <w:color w:val="000000" w:themeColor="text1"/>
                <w:sz w:val="24"/>
                <w:vertAlign w:val="subscript"/>
                <w14:textFill>
                  <w14:solidFill>
                    <w14:schemeClr w14:val="tx1"/>
                  </w14:solidFill>
                </w14:textFill>
              </w:rPr>
              <w:t>div</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几何发散引起的倍频带衰减，</w:t>
            </w:r>
            <w:r>
              <w:rPr>
                <w:color w:val="000000" w:themeColor="text1"/>
                <w:sz w:val="24"/>
                <w14:textFill>
                  <w14:solidFill>
                    <w14:schemeClr w14:val="tx1"/>
                  </w14:solidFill>
                </w14:textFill>
              </w:rPr>
              <w:t>dB</w:t>
            </w:r>
            <w:r>
              <w:rPr>
                <w:rFonts w:hint="eastAsia"/>
                <w:color w:val="000000" w:themeColor="text1"/>
                <w:sz w:val="24"/>
                <w14:textFill>
                  <w14:solidFill>
                    <w14:schemeClr w14:val="tx1"/>
                  </w14:solidFill>
                </w14:textFill>
              </w:rPr>
              <w:t xml:space="preserve">； </w:t>
            </w:r>
          </w:p>
          <w:p w14:paraId="42D0F41A">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A</w:t>
            </w:r>
            <w:r>
              <w:rPr>
                <w:color w:val="000000" w:themeColor="text1"/>
                <w:sz w:val="24"/>
                <w:vertAlign w:val="subscript"/>
                <w14:textFill>
                  <w14:solidFill>
                    <w14:schemeClr w14:val="tx1"/>
                  </w14:solidFill>
                </w14:textFill>
              </w:rPr>
              <w:t>atm</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大气吸收引起的倍频带衰减，</w:t>
            </w:r>
            <w:r>
              <w:rPr>
                <w:color w:val="000000" w:themeColor="text1"/>
                <w:sz w:val="24"/>
                <w14:textFill>
                  <w14:solidFill>
                    <w14:schemeClr w14:val="tx1"/>
                  </w14:solidFill>
                </w14:textFill>
              </w:rPr>
              <w:t>dB</w:t>
            </w:r>
            <w:r>
              <w:rPr>
                <w:rFonts w:hint="eastAsia"/>
                <w:color w:val="000000" w:themeColor="text1"/>
                <w:sz w:val="24"/>
                <w14:textFill>
                  <w14:solidFill>
                    <w14:schemeClr w14:val="tx1"/>
                  </w14:solidFill>
                </w14:textFill>
              </w:rPr>
              <w:t xml:space="preserve">； </w:t>
            </w:r>
          </w:p>
          <w:p w14:paraId="653163E2">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A</w:t>
            </w:r>
            <w:r>
              <w:rPr>
                <w:color w:val="000000" w:themeColor="text1"/>
                <w:sz w:val="24"/>
                <w:vertAlign w:val="subscript"/>
                <w14:textFill>
                  <w14:solidFill>
                    <w14:schemeClr w14:val="tx1"/>
                  </w14:solidFill>
                </w14:textFill>
              </w:rPr>
              <w:t>gr</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地面效应引起的倍频带衰减，</w:t>
            </w:r>
            <w:r>
              <w:rPr>
                <w:color w:val="000000" w:themeColor="text1"/>
                <w:sz w:val="24"/>
                <w14:textFill>
                  <w14:solidFill>
                    <w14:schemeClr w14:val="tx1"/>
                  </w14:solidFill>
                </w14:textFill>
              </w:rPr>
              <w:t>dB</w:t>
            </w:r>
            <w:r>
              <w:rPr>
                <w:rFonts w:hint="eastAsia"/>
                <w:color w:val="000000" w:themeColor="text1"/>
                <w:sz w:val="24"/>
                <w14:textFill>
                  <w14:solidFill>
                    <w14:schemeClr w14:val="tx1"/>
                  </w14:solidFill>
                </w14:textFill>
              </w:rPr>
              <w:t>；</w:t>
            </w:r>
          </w:p>
          <w:p w14:paraId="32D1B828">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A</w:t>
            </w:r>
            <w:r>
              <w:rPr>
                <w:color w:val="000000" w:themeColor="text1"/>
                <w:sz w:val="24"/>
                <w:vertAlign w:val="subscript"/>
                <w14:textFill>
                  <w14:solidFill>
                    <w14:schemeClr w14:val="tx1"/>
                  </w14:solidFill>
                </w14:textFill>
              </w:rPr>
              <w:t>bar</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声屏障引起的倍频带衰减，</w:t>
            </w:r>
            <w:r>
              <w:rPr>
                <w:color w:val="000000" w:themeColor="text1"/>
                <w:sz w:val="24"/>
                <w14:textFill>
                  <w14:solidFill>
                    <w14:schemeClr w14:val="tx1"/>
                  </w14:solidFill>
                </w14:textFill>
              </w:rPr>
              <w:t>dB</w:t>
            </w:r>
            <w:r>
              <w:rPr>
                <w:rFonts w:hint="eastAsia"/>
                <w:color w:val="000000" w:themeColor="text1"/>
                <w:sz w:val="24"/>
                <w14:textFill>
                  <w14:solidFill>
                    <w14:schemeClr w14:val="tx1"/>
                  </w14:solidFill>
                </w14:textFill>
              </w:rPr>
              <w:t xml:space="preserve">； </w:t>
            </w:r>
          </w:p>
          <w:p w14:paraId="3292B551">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A</w:t>
            </w:r>
            <w:r>
              <w:rPr>
                <w:color w:val="000000" w:themeColor="text1"/>
                <w:sz w:val="24"/>
                <w:vertAlign w:val="subscript"/>
                <w14:textFill>
                  <w14:solidFill>
                    <w14:schemeClr w14:val="tx1"/>
                  </w14:solidFill>
                </w14:textFill>
              </w:rPr>
              <w:t>misc</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其他多方面效应引起的倍频带衰减，</w:t>
            </w:r>
            <w:r>
              <w:rPr>
                <w:color w:val="000000" w:themeColor="text1"/>
                <w:sz w:val="24"/>
                <w14:textFill>
                  <w14:solidFill>
                    <w14:schemeClr w14:val="tx1"/>
                  </w14:solidFill>
                </w14:textFill>
              </w:rPr>
              <w:t>dB</w:t>
            </w:r>
            <w:r>
              <w:rPr>
                <w:rFonts w:hint="eastAsia"/>
                <w:color w:val="000000" w:themeColor="text1"/>
                <w:sz w:val="24"/>
                <w14:textFill>
                  <w14:solidFill>
                    <w14:schemeClr w14:val="tx1"/>
                  </w14:solidFill>
                </w14:textFill>
              </w:rPr>
              <w:t>。</w:t>
            </w:r>
          </w:p>
          <w:p w14:paraId="4142B5A6">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如已知靠近声源处某点的倍频带声压级</w:t>
            </w:r>
            <w:r>
              <w:rPr>
                <w:color w:val="000000" w:themeColor="text1"/>
                <w:sz w:val="24"/>
                <w14:textFill>
                  <w14:solidFill>
                    <w14:schemeClr w14:val="tx1"/>
                  </w14:solidFill>
                </w14:textFill>
              </w:rPr>
              <w:t>L</w:t>
            </w:r>
            <w:r>
              <w:rPr>
                <w:color w:val="000000" w:themeColor="text1"/>
                <w:sz w:val="24"/>
                <w:vertAlign w:val="subscript"/>
                <w14:textFill>
                  <w14:solidFill>
                    <w14:schemeClr w14:val="tx1"/>
                  </w14:solidFill>
                </w14:textFill>
              </w:rPr>
              <w:t>p</w:t>
            </w:r>
            <w:r>
              <w:rPr>
                <w:color w:val="000000" w:themeColor="text1"/>
                <w:sz w:val="24"/>
                <w14:textFill>
                  <w14:solidFill>
                    <w14:schemeClr w14:val="tx1"/>
                  </w14:solidFill>
                </w14:textFill>
              </w:rPr>
              <w:t>(r</w:t>
            </w:r>
            <w:r>
              <w:rPr>
                <w:color w:val="000000" w:themeColor="text1"/>
                <w:sz w:val="24"/>
                <w:vertAlign w:val="subscript"/>
                <w14:textFill>
                  <w14:solidFill>
                    <w14:schemeClr w14:val="tx1"/>
                  </w14:solidFill>
                </w14:textFill>
              </w:rPr>
              <w:t>0</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时，相同方向预测点位置的倍频带声压级</w:t>
            </w:r>
            <w:r>
              <w:rPr>
                <w:color w:val="000000" w:themeColor="text1"/>
                <w:sz w:val="24"/>
                <w14:textFill>
                  <w14:solidFill>
                    <w14:schemeClr w14:val="tx1"/>
                  </w14:solidFill>
                </w14:textFill>
              </w:rPr>
              <w:t>L</w:t>
            </w:r>
            <w:r>
              <w:rPr>
                <w:color w:val="000000" w:themeColor="text1"/>
                <w:sz w:val="24"/>
                <w:vertAlign w:val="subscript"/>
                <w14:textFill>
                  <w14:solidFill>
                    <w14:schemeClr w14:val="tx1"/>
                  </w14:solidFill>
                </w14:textFill>
              </w:rPr>
              <w:t>p</w:t>
            </w:r>
            <w:r>
              <w:rPr>
                <w:color w:val="000000" w:themeColor="text1"/>
                <w:sz w:val="24"/>
                <w14:textFill>
                  <w14:solidFill>
                    <w14:schemeClr w14:val="tx1"/>
                  </w14:solidFill>
                </w14:textFill>
              </w:rPr>
              <w:t>(r)</w:t>
            </w:r>
            <w:r>
              <w:rPr>
                <w:rFonts w:hint="eastAsia"/>
                <w:color w:val="000000" w:themeColor="text1"/>
                <w:sz w:val="24"/>
                <w14:textFill>
                  <w14:solidFill>
                    <w14:schemeClr w14:val="tx1"/>
                  </w14:solidFill>
                </w14:textFill>
              </w:rPr>
              <w:t>可按公式（</w:t>
            </w:r>
            <w:r>
              <w:rPr>
                <w:color w:val="000000" w:themeColor="text1"/>
                <w:sz w:val="24"/>
                <w14:textFill>
                  <w14:solidFill>
                    <w14:schemeClr w14:val="tx1"/>
                  </w14:solidFill>
                </w14:textFill>
              </w:rPr>
              <w:t>A.2</w:t>
            </w:r>
            <w:r>
              <w:rPr>
                <w:rFonts w:hint="eastAsia"/>
                <w:color w:val="000000" w:themeColor="text1"/>
                <w:sz w:val="24"/>
                <w14:textFill>
                  <w14:solidFill>
                    <w14:schemeClr w14:val="tx1"/>
                  </w14:solidFill>
                </w14:textFill>
              </w:rPr>
              <w:t xml:space="preserve">）计算： </w:t>
            </w:r>
          </w:p>
          <w:p w14:paraId="373F7740">
            <w:pPr>
              <w:spacing w:line="360" w:lineRule="auto"/>
              <w:jc w:val="center"/>
              <w:rPr>
                <w:color w:val="000000" w:themeColor="text1"/>
                <w:sz w:val="24"/>
                <w14:textFill>
                  <w14:solidFill>
                    <w14:schemeClr w14:val="tx1"/>
                  </w14:solidFill>
                </w14:textFill>
              </w:rPr>
            </w:pPr>
            <w:r>
              <w:rPr>
                <w:i/>
                <w:iCs/>
                <w:color w:val="000000" w:themeColor="text1"/>
                <w:sz w:val="24"/>
                <w14:textFill>
                  <w14:solidFill>
                    <w14:schemeClr w14:val="tx1"/>
                  </w14:solidFill>
                </w14:textFill>
              </w:rPr>
              <w:t>Lp(r)=Lp(r</w:t>
            </w:r>
            <w:r>
              <w:rPr>
                <w:i/>
                <w:iCs/>
                <w:color w:val="000000" w:themeColor="text1"/>
                <w:sz w:val="24"/>
                <w:vertAlign w:val="subscript"/>
                <w14:textFill>
                  <w14:solidFill>
                    <w14:schemeClr w14:val="tx1"/>
                  </w14:solidFill>
                </w14:textFill>
              </w:rPr>
              <w:t>0</w:t>
            </w:r>
            <w:r>
              <w:rPr>
                <w:i/>
                <w:iCs/>
                <w:color w:val="000000" w:themeColor="text1"/>
                <w:sz w:val="24"/>
                <w14:textFill>
                  <w14:solidFill>
                    <w14:schemeClr w14:val="tx1"/>
                  </w14:solidFill>
                </w14:textFill>
              </w:rPr>
              <w:t>)+Dc-(A</w:t>
            </w:r>
            <w:r>
              <w:rPr>
                <w:i/>
                <w:iCs/>
                <w:color w:val="000000" w:themeColor="text1"/>
                <w:sz w:val="24"/>
                <w:vertAlign w:val="subscript"/>
                <w14:textFill>
                  <w14:solidFill>
                    <w14:schemeClr w14:val="tx1"/>
                  </w14:solidFill>
                </w14:textFill>
              </w:rPr>
              <w:t>div</w:t>
            </w:r>
            <w:r>
              <w:rPr>
                <w:i/>
                <w:iCs/>
                <w:color w:val="000000" w:themeColor="text1"/>
                <w:sz w:val="24"/>
                <w14:textFill>
                  <w14:solidFill>
                    <w14:schemeClr w14:val="tx1"/>
                  </w14:solidFill>
                </w14:textFill>
              </w:rPr>
              <w:t>+A</w:t>
            </w:r>
            <w:r>
              <w:rPr>
                <w:i/>
                <w:iCs/>
                <w:color w:val="000000" w:themeColor="text1"/>
                <w:sz w:val="24"/>
                <w:vertAlign w:val="subscript"/>
                <w14:textFill>
                  <w14:solidFill>
                    <w14:schemeClr w14:val="tx1"/>
                  </w14:solidFill>
                </w14:textFill>
              </w:rPr>
              <w:t>atm</w:t>
            </w:r>
            <w:r>
              <w:rPr>
                <w:i/>
                <w:iCs/>
                <w:color w:val="000000" w:themeColor="text1"/>
                <w:sz w:val="24"/>
                <w14:textFill>
                  <w14:solidFill>
                    <w14:schemeClr w14:val="tx1"/>
                  </w14:solidFill>
                </w14:textFill>
              </w:rPr>
              <w:t>+A</w:t>
            </w:r>
            <w:r>
              <w:rPr>
                <w:i/>
                <w:iCs/>
                <w:color w:val="000000" w:themeColor="text1"/>
                <w:sz w:val="24"/>
                <w:vertAlign w:val="subscript"/>
                <w14:textFill>
                  <w14:solidFill>
                    <w14:schemeClr w14:val="tx1"/>
                  </w14:solidFill>
                </w14:textFill>
              </w:rPr>
              <w:t>gr</w:t>
            </w:r>
            <w:r>
              <w:rPr>
                <w:i/>
                <w:iCs/>
                <w:color w:val="000000" w:themeColor="text1"/>
                <w:sz w:val="24"/>
                <w14:textFill>
                  <w14:solidFill>
                    <w14:schemeClr w14:val="tx1"/>
                  </w14:solidFill>
                </w14:textFill>
              </w:rPr>
              <w:t>+A</w:t>
            </w:r>
            <w:r>
              <w:rPr>
                <w:i/>
                <w:iCs/>
                <w:color w:val="000000" w:themeColor="text1"/>
                <w:sz w:val="24"/>
                <w:vertAlign w:val="subscript"/>
                <w14:textFill>
                  <w14:solidFill>
                    <w14:schemeClr w14:val="tx1"/>
                  </w14:solidFill>
                </w14:textFill>
              </w:rPr>
              <w:t>bar</w:t>
            </w:r>
            <w:r>
              <w:rPr>
                <w:i/>
                <w:iCs/>
                <w:color w:val="000000" w:themeColor="text1"/>
                <w:sz w:val="24"/>
                <w14:textFill>
                  <w14:solidFill>
                    <w14:schemeClr w14:val="tx1"/>
                  </w14:solidFill>
                </w14:textFill>
              </w:rPr>
              <w:t>+A</w:t>
            </w:r>
            <w:r>
              <w:rPr>
                <w:i/>
                <w:iCs/>
                <w:color w:val="000000" w:themeColor="text1"/>
                <w:sz w:val="24"/>
                <w:vertAlign w:val="subscript"/>
                <w14:textFill>
                  <w14:solidFill>
                    <w14:schemeClr w14:val="tx1"/>
                  </w14:solidFill>
                </w14:textFill>
              </w:rPr>
              <w:t>misc</w:t>
            </w:r>
            <w:r>
              <w:rPr>
                <w:i/>
                <w:iCs/>
                <w:color w:val="000000" w:themeColor="text1"/>
                <w:sz w:val="24"/>
                <w14:textFill>
                  <w14:solidFill>
                    <w14:schemeClr w14:val="tx1"/>
                  </w14:solidFill>
                </w14:textFill>
              </w:rPr>
              <w:t>)</w:t>
            </w:r>
            <w:r>
              <w:rPr>
                <w:color w:val="000000" w:themeColor="text1"/>
                <w:sz w:val="24"/>
                <w14:textFill>
                  <w14:solidFill>
                    <w14:schemeClr w14:val="tx1"/>
                  </w14:solidFill>
                </w14:textFill>
              </w:rPr>
              <w:t xml:space="preserve">                    (A.2)</w:t>
            </w:r>
          </w:p>
          <w:p w14:paraId="18CE92D7">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b)预测点的</w:t>
            </w:r>
            <w:r>
              <w:rPr>
                <w:color w:val="000000" w:themeColor="text1"/>
                <w:sz w:val="24"/>
                <w14:textFill>
                  <w14:solidFill>
                    <w14:schemeClr w14:val="tx1"/>
                  </w14:solidFill>
                </w14:textFill>
              </w:rPr>
              <w:t>A</w:t>
            </w:r>
            <w:r>
              <w:rPr>
                <w:rFonts w:hint="eastAsia"/>
                <w:color w:val="000000" w:themeColor="text1"/>
                <w:sz w:val="24"/>
                <w14:textFill>
                  <w14:solidFill>
                    <w14:schemeClr w14:val="tx1"/>
                  </w14:solidFill>
                </w14:textFill>
              </w:rPr>
              <w:t>声级</w:t>
            </w:r>
            <w:r>
              <w:rPr>
                <w:color w:val="000000" w:themeColor="text1"/>
                <w:sz w:val="24"/>
                <w14:textFill>
                  <w14:solidFill>
                    <w14:schemeClr w14:val="tx1"/>
                  </w14:solidFill>
                </w14:textFill>
              </w:rPr>
              <w:t>L</w:t>
            </w:r>
            <w:r>
              <w:rPr>
                <w:color w:val="000000" w:themeColor="text1"/>
                <w:sz w:val="24"/>
                <w:vertAlign w:val="subscript"/>
                <w14:textFill>
                  <w14:solidFill>
                    <w14:schemeClr w14:val="tx1"/>
                  </w14:solidFill>
                </w14:textFill>
              </w:rPr>
              <w:t>A</w:t>
            </w:r>
            <w:r>
              <w:rPr>
                <w:color w:val="000000" w:themeColor="text1"/>
                <w:sz w:val="24"/>
                <w14:textFill>
                  <w14:solidFill>
                    <w14:schemeClr w14:val="tx1"/>
                  </w14:solidFill>
                </w14:textFill>
              </w:rPr>
              <w:t>(r)</w:t>
            </w:r>
            <w:r>
              <w:rPr>
                <w:rFonts w:hint="eastAsia"/>
                <w:color w:val="000000" w:themeColor="text1"/>
                <w:sz w:val="24"/>
                <w14:textFill>
                  <w14:solidFill>
                    <w14:schemeClr w14:val="tx1"/>
                  </w14:solidFill>
                </w14:textFill>
              </w:rPr>
              <w:t>，可利用</w:t>
            </w:r>
            <w:r>
              <w:rPr>
                <w:color w:val="000000" w:themeColor="text1"/>
                <w:sz w:val="24"/>
                <w14:textFill>
                  <w14:solidFill>
                    <w14:schemeClr w14:val="tx1"/>
                  </w14:solidFill>
                </w14:textFill>
              </w:rPr>
              <w:t>8</w:t>
            </w:r>
            <w:r>
              <w:rPr>
                <w:rFonts w:hint="eastAsia"/>
                <w:color w:val="000000" w:themeColor="text1"/>
                <w:sz w:val="24"/>
                <w14:textFill>
                  <w14:solidFill>
                    <w14:schemeClr w14:val="tx1"/>
                  </w14:solidFill>
                </w14:textFill>
              </w:rPr>
              <w:t>个倍频带的声压级按公式（</w:t>
            </w:r>
            <w:r>
              <w:rPr>
                <w:color w:val="000000" w:themeColor="text1"/>
                <w:sz w:val="24"/>
                <w14:textFill>
                  <w14:solidFill>
                    <w14:schemeClr w14:val="tx1"/>
                  </w14:solidFill>
                </w14:textFill>
              </w:rPr>
              <w:t>A.3</w:t>
            </w:r>
            <w:r>
              <w:rPr>
                <w:rFonts w:hint="eastAsia"/>
                <w:color w:val="000000" w:themeColor="text1"/>
                <w:sz w:val="24"/>
                <w14:textFill>
                  <w14:solidFill>
                    <w14:schemeClr w14:val="tx1"/>
                  </w14:solidFill>
                </w14:textFill>
              </w:rPr>
              <w:t xml:space="preserve">）计算：  </w:t>
            </w:r>
          </w:p>
          <w:p w14:paraId="47E40B9C">
            <w:pPr>
              <w:spacing w:line="360" w:lineRule="auto"/>
              <w:jc w:val="center"/>
              <w:rPr>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2301240" cy="388620"/>
                  <wp:effectExtent l="0" t="0" r="381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a:xfrm>
                            <a:off x="0" y="0"/>
                            <a:ext cx="2301240" cy="388620"/>
                          </a:xfrm>
                          <a:prstGeom prst="rect">
                            <a:avLst/>
                          </a:prstGeom>
                          <a:noFill/>
                          <a:ln>
                            <a:noFill/>
                          </a:ln>
                        </pic:spPr>
                      </pic:pic>
                    </a:graphicData>
                  </a:graphic>
                </wp:inline>
              </w:drawing>
            </w:r>
            <w:r>
              <w:rPr>
                <w:color w:val="000000" w:themeColor="text1"/>
                <w:sz w:val="24"/>
                <w14:textFill>
                  <w14:solidFill>
                    <w14:schemeClr w14:val="tx1"/>
                  </w14:solidFill>
                </w14:textFill>
              </w:rPr>
              <w:t xml:space="preserve">                  (A.3)</w:t>
            </w:r>
          </w:p>
          <w:p w14:paraId="129E40C8">
            <w:pPr>
              <w:spacing w:line="360" w:lineRule="auto"/>
              <w:ind w:left="1140" w:leftChars="200" w:hanging="720" w:hangingChars="3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式中</w:t>
            </w:r>
            <w:r>
              <w:rPr>
                <w:color w:val="000000" w:themeColor="text1"/>
                <w:sz w:val="24"/>
                <w14:textFill>
                  <w14:solidFill>
                    <w14:schemeClr w14:val="tx1"/>
                  </w14:solidFill>
                </w14:textFill>
              </w:rPr>
              <w:t>：L</w:t>
            </w:r>
            <w:r>
              <w:rPr>
                <w:color w:val="000000" w:themeColor="text1"/>
                <w:sz w:val="24"/>
                <w:vertAlign w:val="subscript"/>
                <w14:textFill>
                  <w14:solidFill>
                    <w14:schemeClr w14:val="tx1"/>
                  </w14:solidFill>
                </w14:textFill>
              </w:rPr>
              <w:t>A</w:t>
            </w:r>
            <w:r>
              <w:rPr>
                <w:color w:val="000000" w:themeColor="text1"/>
                <w:sz w:val="24"/>
                <w14:textFill>
                  <w14:solidFill>
                    <w14:schemeClr w14:val="tx1"/>
                  </w14:solidFill>
                </w14:textFill>
              </w:rPr>
              <w:t>(r) ——距声源r处的A声级，dB(A)；L</w:t>
            </w:r>
            <w:r>
              <w:rPr>
                <w:color w:val="000000" w:themeColor="text1"/>
                <w:sz w:val="24"/>
                <w:vertAlign w:val="subscript"/>
                <w14:textFill>
                  <w14:solidFill>
                    <w14:schemeClr w14:val="tx1"/>
                  </w14:solidFill>
                </w14:textFill>
              </w:rPr>
              <w:t>pi</w:t>
            </w:r>
            <w:r>
              <w:rPr>
                <w:color w:val="000000" w:themeColor="text1"/>
                <w:sz w:val="24"/>
                <w14:textFill>
                  <w14:solidFill>
                    <w14:schemeClr w14:val="tx1"/>
                  </w14:solidFill>
                </w14:textFill>
              </w:rPr>
              <w:t>(r)—</w:t>
            </w:r>
            <w:r>
              <w:rPr>
                <w:rFonts w:hint="eastAsia"/>
                <w:color w:val="000000" w:themeColor="text1"/>
                <w:sz w:val="24"/>
                <w14:textFill>
                  <w14:solidFill>
                    <w14:schemeClr w14:val="tx1"/>
                  </w14:solidFill>
                </w14:textFill>
              </w:rPr>
              <w:t>预测点（</w:t>
            </w:r>
            <w:r>
              <w:rPr>
                <w:color w:val="000000" w:themeColor="text1"/>
                <w:sz w:val="24"/>
                <w14:textFill>
                  <w14:solidFill>
                    <w14:schemeClr w14:val="tx1"/>
                  </w14:solidFill>
                </w14:textFill>
              </w:rPr>
              <w:t>r</w:t>
            </w:r>
            <w:r>
              <w:rPr>
                <w:rFonts w:hint="eastAsia"/>
                <w:color w:val="000000" w:themeColor="text1"/>
                <w:sz w:val="24"/>
                <w14:textFill>
                  <w14:solidFill>
                    <w14:schemeClr w14:val="tx1"/>
                  </w14:solidFill>
                </w14:textFill>
              </w:rPr>
              <w:t xml:space="preserve">）处，第 </w:t>
            </w:r>
            <w:r>
              <w:rPr>
                <w:color w:val="000000" w:themeColor="text1"/>
                <w:sz w:val="24"/>
                <w14:textFill>
                  <w14:solidFill>
                    <w14:schemeClr w14:val="tx1"/>
                  </w14:solidFill>
                </w14:textFill>
              </w:rPr>
              <w:t>i</w:t>
            </w:r>
            <w:r>
              <w:rPr>
                <w:rFonts w:hint="eastAsia"/>
                <w:color w:val="000000" w:themeColor="text1"/>
                <w:sz w:val="24"/>
                <w14:textFill>
                  <w14:solidFill>
                    <w14:schemeClr w14:val="tx1"/>
                  </w14:solidFill>
                </w14:textFill>
              </w:rPr>
              <w:t>倍频带声压级，</w:t>
            </w:r>
            <w:r>
              <w:rPr>
                <w:color w:val="000000" w:themeColor="text1"/>
                <w:sz w:val="24"/>
                <w14:textFill>
                  <w14:solidFill>
                    <w14:schemeClr w14:val="tx1"/>
                  </w14:solidFill>
                </w14:textFill>
              </w:rPr>
              <w:t>dB</w:t>
            </w:r>
            <w:r>
              <w:rPr>
                <w:rFonts w:hint="eastAsia"/>
                <w:color w:val="000000" w:themeColor="text1"/>
                <w:sz w:val="24"/>
                <w14:textFill>
                  <w14:solidFill>
                    <w14:schemeClr w14:val="tx1"/>
                  </w14:solidFill>
                </w14:textFill>
              </w:rPr>
              <w:t xml:space="preserve">； </w:t>
            </w:r>
          </w:p>
          <w:p w14:paraId="5C27FBB7">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ΔL</w:t>
            </w:r>
            <w:r>
              <w:rPr>
                <w:color w:val="000000" w:themeColor="text1"/>
                <w:sz w:val="24"/>
                <w:vertAlign w:val="subscript"/>
                <w14:textFill>
                  <w14:solidFill>
                    <w14:schemeClr w14:val="tx1"/>
                  </w14:solidFill>
                </w14:textFill>
              </w:rPr>
              <w:t>i</w:t>
            </w:r>
            <w:r>
              <w:rPr>
                <w:color w:val="000000" w:themeColor="text1"/>
                <w:sz w:val="24"/>
                <w14:textFill>
                  <w14:solidFill>
                    <w14:schemeClr w14:val="tx1"/>
                  </w14:solidFill>
                </w14:textFill>
              </w:rPr>
              <w:t xml:space="preserve"> —i</w:t>
            </w:r>
            <w:r>
              <w:rPr>
                <w:rFonts w:hint="eastAsia"/>
                <w:color w:val="000000" w:themeColor="text1"/>
                <w:sz w:val="24"/>
                <w14:textFill>
                  <w14:solidFill>
                    <w14:schemeClr w14:val="tx1"/>
                  </w14:solidFill>
                </w14:textFill>
              </w:rPr>
              <w:t>倍频带</w:t>
            </w:r>
            <w:r>
              <w:rPr>
                <w:color w:val="000000" w:themeColor="text1"/>
                <w:sz w:val="24"/>
                <w14:textFill>
                  <w14:solidFill>
                    <w14:schemeClr w14:val="tx1"/>
                  </w14:solidFill>
                </w14:textFill>
              </w:rPr>
              <w:t>A</w:t>
            </w:r>
            <w:r>
              <w:rPr>
                <w:rFonts w:hint="eastAsia"/>
                <w:color w:val="000000" w:themeColor="text1"/>
                <w:sz w:val="24"/>
                <w14:textFill>
                  <w14:solidFill>
                    <w14:schemeClr w14:val="tx1"/>
                  </w14:solidFill>
                </w14:textFill>
              </w:rPr>
              <w:t>计权网络修正值，</w:t>
            </w:r>
            <w:r>
              <w:rPr>
                <w:color w:val="000000" w:themeColor="text1"/>
                <w:sz w:val="24"/>
                <w14:textFill>
                  <w14:solidFill>
                    <w14:schemeClr w14:val="tx1"/>
                  </w14:solidFill>
                </w14:textFill>
              </w:rPr>
              <w:t>dB</w:t>
            </w:r>
            <w:r>
              <w:rPr>
                <w:rFonts w:hint="eastAsia"/>
                <w:color w:val="000000" w:themeColor="text1"/>
                <w:sz w:val="24"/>
                <w14:textFill>
                  <w14:solidFill>
                    <w14:schemeClr w14:val="tx1"/>
                  </w14:solidFill>
                </w14:textFill>
              </w:rPr>
              <w:t xml:space="preserve">（见附录 </w:t>
            </w:r>
            <w:r>
              <w:rPr>
                <w:color w:val="000000" w:themeColor="text1"/>
                <w:sz w:val="24"/>
                <w14:textFill>
                  <w14:solidFill>
                    <w14:schemeClr w14:val="tx1"/>
                  </w14:solidFill>
                </w14:textFill>
              </w:rPr>
              <w:t>B</w:t>
            </w:r>
            <w:r>
              <w:rPr>
                <w:rFonts w:hint="eastAsia"/>
                <w:color w:val="000000" w:themeColor="text1"/>
                <w:sz w:val="24"/>
                <w14:textFill>
                  <w14:solidFill>
                    <w14:schemeClr w14:val="tx1"/>
                  </w14:solidFill>
                </w14:textFill>
              </w:rPr>
              <w:t xml:space="preserve">）。 </w:t>
            </w:r>
          </w:p>
          <w:p w14:paraId="04F08B21">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c</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在只考虑几何发散衰减时，可按式（A.4）计算:</w:t>
            </w:r>
          </w:p>
          <w:p w14:paraId="1B1616D4">
            <w:pPr>
              <w:pStyle w:val="56"/>
              <w:jc w:val="center"/>
              <w:rPr>
                <w:rFonts w:ascii="Times New Roman" w:eastAsia="宋体" w:cs="Times New Roman"/>
                <w:i/>
                <w:iCs/>
                <w:color w:val="000000" w:themeColor="text1"/>
                <w14:textFill>
                  <w14:solidFill>
                    <w14:schemeClr w14:val="tx1"/>
                  </w14:solidFill>
                </w14:textFill>
              </w:rPr>
            </w:pPr>
            <w:r>
              <w:rPr>
                <w:rFonts w:ascii="Times New Roman" w:eastAsia="宋体" w:cs="Times New Roman"/>
                <w:i/>
                <w:iCs/>
                <w:color w:val="000000" w:themeColor="text1"/>
                <w14:textFill>
                  <w14:solidFill>
                    <w14:schemeClr w14:val="tx1"/>
                  </w14:solidFill>
                </w14:textFill>
              </w:rPr>
              <w:t>L</w:t>
            </w:r>
            <w:r>
              <w:rPr>
                <w:rFonts w:ascii="Times New Roman" w:eastAsia="宋体" w:cs="Times New Roman"/>
                <w:i/>
                <w:iCs/>
                <w:color w:val="000000" w:themeColor="text1"/>
                <w:vertAlign w:val="subscript"/>
                <w14:textFill>
                  <w14:solidFill>
                    <w14:schemeClr w14:val="tx1"/>
                  </w14:solidFill>
                </w14:textFill>
              </w:rPr>
              <w:t>A</w:t>
            </w:r>
            <w:r>
              <w:rPr>
                <w:rFonts w:ascii="Times New Roman" w:eastAsia="宋体" w:cs="Times New Roman"/>
                <w:i/>
                <w:iCs/>
                <w:color w:val="000000" w:themeColor="text1"/>
                <w14:textFill>
                  <w14:solidFill>
                    <w14:schemeClr w14:val="tx1"/>
                  </w14:solidFill>
                </w14:textFill>
              </w:rPr>
              <w:t>（r）=L</w:t>
            </w:r>
            <w:r>
              <w:rPr>
                <w:rFonts w:ascii="Times New Roman" w:eastAsia="宋体" w:cs="Times New Roman"/>
                <w:i/>
                <w:iCs/>
                <w:color w:val="000000" w:themeColor="text1"/>
                <w:vertAlign w:val="subscript"/>
                <w14:textFill>
                  <w14:solidFill>
                    <w14:schemeClr w14:val="tx1"/>
                  </w14:solidFill>
                </w14:textFill>
              </w:rPr>
              <w:t>A</w:t>
            </w:r>
            <w:r>
              <w:rPr>
                <w:rFonts w:ascii="Times New Roman" w:eastAsia="宋体" w:cs="Times New Roman"/>
                <w:i/>
                <w:iCs/>
                <w:color w:val="000000" w:themeColor="text1"/>
                <w14:textFill>
                  <w14:solidFill>
                    <w14:schemeClr w14:val="tx1"/>
                  </w14:solidFill>
                </w14:textFill>
              </w:rPr>
              <w:t>(r</w:t>
            </w:r>
            <w:r>
              <w:rPr>
                <w:rFonts w:ascii="Times New Roman" w:eastAsia="宋体" w:cs="Times New Roman"/>
                <w:i/>
                <w:iCs/>
                <w:color w:val="000000" w:themeColor="text1"/>
                <w:vertAlign w:val="subscript"/>
                <w14:textFill>
                  <w14:solidFill>
                    <w14:schemeClr w14:val="tx1"/>
                  </w14:solidFill>
                </w14:textFill>
              </w:rPr>
              <w:t>0</w:t>
            </w:r>
            <w:r>
              <w:rPr>
                <w:rFonts w:ascii="Times New Roman" w:eastAsia="宋体" w:cs="Times New Roman"/>
                <w:i/>
                <w:iCs/>
                <w:color w:val="000000" w:themeColor="text1"/>
                <w14:textFill>
                  <w14:solidFill>
                    <w14:schemeClr w14:val="tx1"/>
                  </w14:solidFill>
                </w14:textFill>
              </w:rPr>
              <w:t>)-A</w:t>
            </w:r>
            <w:r>
              <w:rPr>
                <w:rFonts w:ascii="Times New Roman" w:eastAsia="宋体" w:cs="Times New Roman"/>
                <w:i/>
                <w:iCs/>
                <w:color w:val="000000" w:themeColor="text1"/>
                <w:vertAlign w:val="subscript"/>
                <w14:textFill>
                  <w14:solidFill>
                    <w14:schemeClr w14:val="tx1"/>
                  </w14:solidFill>
                </w14:textFill>
              </w:rPr>
              <w:t xml:space="preserve">div                    </w:t>
            </w:r>
            <w:r>
              <w:rPr>
                <w:rFonts w:ascii="Times New Roman" w:eastAsia="宋体" w:cs="Times New Roman"/>
                <w:color w:val="000000" w:themeColor="text1"/>
                <w14:textFill>
                  <w14:solidFill>
                    <w14:schemeClr w14:val="tx1"/>
                  </w14:solidFill>
                </w14:textFill>
              </w:rPr>
              <w:t xml:space="preserve"> (A.4)</w:t>
            </w:r>
          </w:p>
          <w:p w14:paraId="39769271">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式中：L</w:t>
            </w:r>
            <w:r>
              <w:rPr>
                <w:color w:val="000000" w:themeColor="text1"/>
                <w:sz w:val="24"/>
                <w:vertAlign w:val="subscript"/>
                <w14:textFill>
                  <w14:solidFill>
                    <w14:schemeClr w14:val="tx1"/>
                  </w14:solidFill>
                </w14:textFill>
              </w:rPr>
              <w:t>A</w:t>
            </w:r>
            <w:r>
              <w:rPr>
                <w:color w:val="000000" w:themeColor="text1"/>
                <w:sz w:val="24"/>
                <w14:textFill>
                  <w14:solidFill>
                    <w14:schemeClr w14:val="tx1"/>
                  </w14:solidFill>
                </w14:textFill>
              </w:rPr>
              <w:t>(r) ——距声源r处的A声级，dB(A)；</w:t>
            </w:r>
          </w:p>
          <w:p w14:paraId="14DCC136">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L</w:t>
            </w:r>
            <w:r>
              <w:rPr>
                <w:color w:val="000000" w:themeColor="text1"/>
                <w:sz w:val="24"/>
                <w:vertAlign w:val="subscript"/>
                <w14:textFill>
                  <w14:solidFill>
                    <w14:schemeClr w14:val="tx1"/>
                  </w14:solidFill>
                </w14:textFill>
              </w:rPr>
              <w:t>A</w:t>
            </w:r>
            <w:r>
              <w:rPr>
                <w:color w:val="000000" w:themeColor="text1"/>
                <w:sz w:val="24"/>
                <w14:textFill>
                  <w14:solidFill>
                    <w14:schemeClr w14:val="tx1"/>
                  </w14:solidFill>
                </w14:textFill>
              </w:rPr>
              <w:t>(r</w:t>
            </w:r>
            <w:r>
              <w:rPr>
                <w:color w:val="000000" w:themeColor="text1"/>
                <w:sz w:val="24"/>
                <w:vertAlign w:val="subscript"/>
                <w14:textFill>
                  <w14:solidFill>
                    <w14:schemeClr w14:val="tx1"/>
                  </w14:solidFill>
                </w14:textFill>
              </w:rPr>
              <w:t>0</w:t>
            </w:r>
            <w:r>
              <w:rPr>
                <w:color w:val="000000" w:themeColor="text1"/>
                <w:sz w:val="24"/>
                <w14:textFill>
                  <w14:solidFill>
                    <w14:schemeClr w14:val="tx1"/>
                  </w14:solidFill>
                </w14:textFill>
              </w:rPr>
              <w:t>) ——参考位置r</w:t>
            </w:r>
            <w:r>
              <w:rPr>
                <w:color w:val="000000" w:themeColor="text1"/>
                <w:sz w:val="24"/>
                <w:vertAlign w:val="subscript"/>
                <w14:textFill>
                  <w14:solidFill>
                    <w14:schemeClr w14:val="tx1"/>
                  </w14:solidFill>
                </w14:textFill>
              </w:rPr>
              <w:t>0</w:t>
            </w:r>
            <w:r>
              <w:rPr>
                <w:color w:val="000000" w:themeColor="text1"/>
                <w:sz w:val="24"/>
                <w14:textFill>
                  <w14:solidFill>
                    <w14:schemeClr w14:val="tx1"/>
                  </w14:solidFill>
                </w14:textFill>
              </w:rPr>
              <w:t>处的A声级，dB(A)；</w:t>
            </w:r>
          </w:p>
          <w:p w14:paraId="73ECE505">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A</w:t>
            </w:r>
            <w:r>
              <w:rPr>
                <w:color w:val="000000" w:themeColor="text1"/>
                <w:sz w:val="24"/>
                <w:vertAlign w:val="subscript"/>
                <w14:textFill>
                  <w14:solidFill>
                    <w14:schemeClr w14:val="tx1"/>
                  </w14:solidFill>
                </w14:textFill>
              </w:rPr>
              <w:t xml:space="preserve">div </w:t>
            </w:r>
            <w:r>
              <w:rPr>
                <w:color w:val="000000" w:themeColor="text1"/>
                <w:sz w:val="24"/>
                <w14:textFill>
                  <w14:solidFill>
                    <w14:schemeClr w14:val="tx1"/>
                  </w14:solidFill>
                </w14:textFill>
              </w:rPr>
              <w:t>——几何发散引起的衰减，d。</w:t>
            </w:r>
          </w:p>
          <w:p w14:paraId="621AD7B1">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（2）室内声源等效室外声源声功率级计算方法</w:t>
            </w:r>
          </w:p>
          <w:p w14:paraId="3AD18A47">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声源位于室内，室内声源可采用等效室外声源声功率级法进行计算。设靠近开口处（或窗户）室内、室外某倍频带的声压级分别为</w:t>
            </w:r>
            <w:r>
              <w:rPr>
                <w:color w:val="000000" w:themeColor="text1"/>
                <w:sz w:val="24"/>
                <w14:textFill>
                  <w14:solidFill>
                    <w14:schemeClr w14:val="tx1"/>
                  </w14:solidFill>
                </w14:textFill>
              </w:rPr>
              <w:t>L</w:t>
            </w:r>
            <w:r>
              <w:rPr>
                <w:color w:val="000000" w:themeColor="text1"/>
                <w:sz w:val="24"/>
                <w:vertAlign w:val="subscript"/>
                <w14:textFill>
                  <w14:solidFill>
                    <w14:schemeClr w14:val="tx1"/>
                  </w14:solidFill>
                </w14:textFill>
              </w:rPr>
              <w:t>p1</w:t>
            </w:r>
            <w:r>
              <w:rPr>
                <w:rFonts w:hint="eastAsia"/>
                <w:color w:val="000000" w:themeColor="text1"/>
                <w:sz w:val="24"/>
                <w14:textFill>
                  <w14:solidFill>
                    <w14:schemeClr w14:val="tx1"/>
                  </w14:solidFill>
                </w14:textFill>
              </w:rPr>
              <w:t>和</w:t>
            </w:r>
            <w:r>
              <w:rPr>
                <w:color w:val="000000" w:themeColor="text1"/>
                <w:sz w:val="24"/>
                <w14:textFill>
                  <w14:solidFill>
                    <w14:schemeClr w14:val="tx1"/>
                  </w14:solidFill>
                </w14:textFill>
              </w:rPr>
              <w:t>L</w:t>
            </w:r>
            <w:r>
              <w:rPr>
                <w:color w:val="000000" w:themeColor="text1"/>
                <w:sz w:val="24"/>
                <w:vertAlign w:val="subscript"/>
                <w14:textFill>
                  <w14:solidFill>
                    <w14:schemeClr w14:val="tx1"/>
                  </w14:solidFill>
                </w14:textFill>
              </w:rPr>
              <w:t>p2</w:t>
            </w:r>
            <w:r>
              <w:rPr>
                <w:rFonts w:hint="eastAsia"/>
                <w:color w:val="000000" w:themeColor="text1"/>
                <w:sz w:val="24"/>
                <w14:textFill>
                  <w14:solidFill>
                    <w14:schemeClr w14:val="tx1"/>
                  </w14:solidFill>
                </w14:textFill>
              </w:rPr>
              <w:t>。若声源所在室内声场为近似扩散声场，则室外的倍频带声压级可按公式（</w:t>
            </w:r>
            <w:r>
              <w:rPr>
                <w:color w:val="000000" w:themeColor="text1"/>
                <w:sz w:val="24"/>
                <w14:textFill>
                  <w14:solidFill>
                    <w14:schemeClr w14:val="tx1"/>
                  </w14:solidFill>
                </w14:textFill>
              </w:rPr>
              <w:t>A.5</w:t>
            </w:r>
            <w:r>
              <w:rPr>
                <w:rFonts w:hint="eastAsia"/>
                <w:color w:val="000000" w:themeColor="text1"/>
                <w:sz w:val="24"/>
                <w14:textFill>
                  <w14:solidFill>
                    <w14:schemeClr w14:val="tx1"/>
                  </w14:solidFill>
                </w14:textFill>
              </w:rPr>
              <w:t>）近似求出：</w:t>
            </w:r>
          </w:p>
          <w:p w14:paraId="13B28BA1">
            <w:pPr>
              <w:spacing w:line="360" w:lineRule="auto"/>
              <w:jc w:val="center"/>
              <w:rPr>
                <w:color w:val="000000" w:themeColor="text1"/>
                <w:sz w:val="24"/>
                <w14:textFill>
                  <w14:solidFill>
                    <w14:schemeClr w14:val="tx1"/>
                  </w14:solidFill>
                </w14:textFill>
              </w:rPr>
            </w:pPr>
            <w:r>
              <w:rPr>
                <w:i/>
                <w:iCs/>
                <w:color w:val="000000" w:themeColor="text1"/>
                <w:sz w:val="24"/>
                <w14:textFill>
                  <w14:solidFill>
                    <w14:schemeClr w14:val="tx1"/>
                  </w14:solidFill>
                </w14:textFill>
              </w:rPr>
              <w:t>L</w:t>
            </w:r>
            <w:r>
              <w:rPr>
                <w:i/>
                <w:iCs/>
                <w:color w:val="000000" w:themeColor="text1"/>
                <w:sz w:val="24"/>
                <w:vertAlign w:val="subscript"/>
                <w14:textFill>
                  <w14:solidFill>
                    <w14:schemeClr w14:val="tx1"/>
                  </w14:solidFill>
                </w14:textFill>
              </w:rPr>
              <w:t>p2</w:t>
            </w:r>
            <w:r>
              <w:rPr>
                <w:i/>
                <w:iCs/>
                <w:color w:val="000000" w:themeColor="text1"/>
                <w:sz w:val="24"/>
                <w14:textFill>
                  <w14:solidFill>
                    <w14:schemeClr w14:val="tx1"/>
                  </w14:solidFill>
                </w14:textFill>
              </w:rPr>
              <w:t>=L</w:t>
            </w:r>
            <w:r>
              <w:rPr>
                <w:i/>
                <w:iCs/>
                <w:color w:val="000000" w:themeColor="text1"/>
                <w:sz w:val="24"/>
                <w:vertAlign w:val="subscript"/>
                <w14:textFill>
                  <w14:solidFill>
                    <w14:schemeClr w14:val="tx1"/>
                  </w14:solidFill>
                </w14:textFill>
              </w:rPr>
              <w:t>p1</w:t>
            </w:r>
            <w:r>
              <w:rPr>
                <w:i/>
                <w:iCs/>
                <w:color w:val="000000" w:themeColor="text1"/>
                <w:sz w:val="24"/>
                <w14:textFill>
                  <w14:solidFill>
                    <w14:schemeClr w14:val="tx1"/>
                  </w14:solidFill>
                </w14:textFill>
              </w:rPr>
              <w:t>-</w:t>
            </w:r>
            <w:r>
              <w:rPr>
                <w:rFonts w:hint="eastAsia"/>
                <w:i/>
                <w:iCs/>
                <w:color w:val="000000" w:themeColor="text1"/>
                <w:sz w:val="24"/>
                <w14:textFill>
                  <w14:solidFill>
                    <w14:schemeClr w14:val="tx1"/>
                  </w14:solidFill>
                </w14:textFill>
              </w:rPr>
              <w:t>（</w:t>
            </w:r>
            <w:r>
              <w:rPr>
                <w:i/>
                <w:iCs/>
                <w:color w:val="000000" w:themeColor="text1"/>
                <w:sz w:val="24"/>
                <w14:textFill>
                  <w14:solidFill>
                    <w14:schemeClr w14:val="tx1"/>
                  </w14:solidFill>
                </w14:textFill>
              </w:rPr>
              <w:t>TL+6</w:t>
            </w:r>
            <w:r>
              <w:rPr>
                <w:rFonts w:hint="eastAsia"/>
                <w:i/>
                <w:iCs/>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 xml:space="preserve">                      （</w:t>
            </w:r>
            <w:r>
              <w:rPr>
                <w:color w:val="000000" w:themeColor="text1"/>
                <w:sz w:val="24"/>
                <w14:textFill>
                  <w14:solidFill>
                    <w14:schemeClr w14:val="tx1"/>
                  </w14:solidFill>
                </w14:textFill>
              </w:rPr>
              <w:t>A.5</w:t>
            </w:r>
            <w:r>
              <w:rPr>
                <w:rFonts w:hint="eastAsia"/>
                <w:color w:val="000000" w:themeColor="text1"/>
                <w:sz w:val="24"/>
                <w14:textFill>
                  <w14:solidFill>
                    <w14:schemeClr w14:val="tx1"/>
                  </w14:solidFill>
                </w14:textFill>
              </w:rPr>
              <w:t>）</w:t>
            </w:r>
          </w:p>
          <w:p w14:paraId="43A35E0E">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式中：</w:t>
            </w:r>
            <w:r>
              <w:rPr>
                <w:color w:val="000000" w:themeColor="text1"/>
                <w:sz w:val="24"/>
                <w14:textFill>
                  <w14:solidFill>
                    <w14:schemeClr w14:val="tx1"/>
                  </w14:solidFill>
                </w14:textFill>
              </w:rPr>
              <w:t>TL—</w:t>
            </w:r>
            <w:r>
              <w:rPr>
                <w:rFonts w:hint="eastAsia"/>
                <w:color w:val="000000" w:themeColor="text1"/>
                <w:sz w:val="24"/>
                <w14:textFill>
                  <w14:solidFill>
                    <w14:schemeClr w14:val="tx1"/>
                  </w14:solidFill>
                </w14:textFill>
              </w:rPr>
              <w:t>隔墙（或窗户）倍频带的隔声量，</w:t>
            </w:r>
            <w:r>
              <w:rPr>
                <w:color w:val="000000" w:themeColor="text1"/>
                <w:sz w:val="24"/>
                <w14:textFill>
                  <w14:solidFill>
                    <w14:schemeClr w14:val="tx1"/>
                  </w14:solidFill>
                </w14:textFill>
              </w:rPr>
              <w:t>dB</w:t>
            </w:r>
            <w:r>
              <w:rPr>
                <w:rFonts w:hint="eastAsia"/>
                <w:color w:val="000000" w:themeColor="text1"/>
                <w:sz w:val="24"/>
                <w14:textFill>
                  <w14:solidFill>
                    <w14:schemeClr w14:val="tx1"/>
                  </w14:solidFill>
                </w14:textFill>
              </w:rPr>
              <w:t>。</w:t>
            </w:r>
          </w:p>
          <w:p w14:paraId="6D5C0C42">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也可按公式（</w:t>
            </w:r>
            <w:r>
              <w:rPr>
                <w:color w:val="000000" w:themeColor="text1"/>
                <w:sz w:val="24"/>
                <w14:textFill>
                  <w14:solidFill>
                    <w14:schemeClr w14:val="tx1"/>
                  </w14:solidFill>
                </w14:textFill>
              </w:rPr>
              <w:t>A.6</w:t>
            </w:r>
            <w:r>
              <w:rPr>
                <w:rFonts w:hint="eastAsia"/>
                <w:color w:val="000000" w:themeColor="text1"/>
                <w:sz w:val="24"/>
                <w14:textFill>
                  <w14:solidFill>
                    <w14:schemeClr w14:val="tx1"/>
                  </w14:solidFill>
                </w14:textFill>
              </w:rPr>
              <w:t>）计算某一室内声源靠近围护结构处产生的倍频带声压级：</w:t>
            </w:r>
          </w:p>
          <w:p w14:paraId="7F4F439F">
            <w:pPr>
              <w:spacing w:line="360" w:lineRule="auto"/>
              <w:jc w:val="center"/>
              <w:rPr>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1653540" cy="381000"/>
                  <wp:effectExtent l="0" t="0" r="381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a:xfrm>
                            <a:off x="0" y="0"/>
                            <a:ext cx="1653540" cy="381000"/>
                          </a:xfrm>
                          <a:prstGeom prst="rect">
                            <a:avLst/>
                          </a:prstGeom>
                          <a:noFill/>
                          <a:ln>
                            <a:noFill/>
                          </a:ln>
                        </pic:spPr>
                      </pic:pic>
                    </a:graphicData>
                  </a:graphic>
                </wp:inline>
              </w:drawing>
            </w:r>
            <w:r>
              <w:rPr>
                <w:color w:val="000000" w:themeColor="text1"/>
                <w:sz w:val="24"/>
                <w14:textFill>
                  <w14:solidFill>
                    <w14:schemeClr w14:val="tx1"/>
                  </w14:solidFill>
                </w14:textFill>
              </w:rPr>
              <w:t xml:space="preserve">                 </w:t>
            </w:r>
            <w:r>
              <w:rPr>
                <w:rFonts w:hint="eastAsia"/>
                <w:color w:val="000000" w:themeColor="text1"/>
                <w:sz w:val="24"/>
                <w14:textFill>
                  <w14:solidFill>
                    <w14:schemeClr w14:val="tx1"/>
                  </w14:solidFill>
                </w14:textFill>
              </w:rPr>
              <w:t>（A.</w:t>
            </w:r>
            <w:r>
              <w:rPr>
                <w:color w:val="000000" w:themeColor="text1"/>
                <w:sz w:val="24"/>
                <w14:textFill>
                  <w14:solidFill>
                    <w14:schemeClr w14:val="tx1"/>
                  </w14:solidFill>
                </w14:textFill>
              </w:rPr>
              <w:t>6</w:t>
            </w:r>
            <w:r>
              <w:rPr>
                <w:rFonts w:hint="eastAsia"/>
                <w:color w:val="000000" w:themeColor="text1"/>
                <w:sz w:val="24"/>
                <w14:textFill>
                  <w14:solidFill>
                    <w14:schemeClr w14:val="tx1"/>
                  </w14:solidFill>
                </w14:textFill>
              </w:rPr>
              <w:t>）</w:t>
            </w:r>
          </w:p>
          <w:p w14:paraId="1EE23083">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式中：</w:t>
            </w:r>
            <w:r>
              <w:rPr>
                <w:color w:val="000000" w:themeColor="text1"/>
                <w:sz w:val="24"/>
                <w14:textFill>
                  <w14:solidFill>
                    <w14:schemeClr w14:val="tx1"/>
                  </w14:solidFill>
                </w14:textFill>
              </w:rPr>
              <w:t>Q—</w:t>
            </w:r>
            <w:r>
              <w:rPr>
                <w:rFonts w:hint="eastAsia"/>
                <w:color w:val="000000" w:themeColor="text1"/>
                <w:sz w:val="24"/>
                <w14:textFill>
                  <w14:solidFill>
                    <w14:schemeClr w14:val="tx1"/>
                  </w14:solidFill>
                </w14:textFill>
              </w:rPr>
              <w:t>指向性因数；通常对无指向性声源，当声源放在房间中心时，</w:t>
            </w:r>
            <w:r>
              <w:rPr>
                <w:color w:val="000000" w:themeColor="text1"/>
                <w:sz w:val="24"/>
                <w14:textFill>
                  <w14:solidFill>
                    <w14:schemeClr w14:val="tx1"/>
                  </w14:solidFill>
                </w14:textFill>
              </w:rPr>
              <w:t>Q=1</w:t>
            </w:r>
            <w:r>
              <w:rPr>
                <w:rFonts w:hint="eastAsia"/>
                <w:color w:val="000000" w:themeColor="text1"/>
                <w:sz w:val="24"/>
                <w14:textFill>
                  <w14:solidFill>
                    <w14:schemeClr w14:val="tx1"/>
                  </w14:solidFill>
                </w14:textFill>
              </w:rPr>
              <w:t>；当放在一面墙的中心时，</w:t>
            </w:r>
            <w:r>
              <w:rPr>
                <w:color w:val="000000" w:themeColor="text1"/>
                <w:sz w:val="24"/>
                <w14:textFill>
                  <w14:solidFill>
                    <w14:schemeClr w14:val="tx1"/>
                  </w14:solidFill>
                </w14:textFill>
              </w:rPr>
              <w:t>Q=2</w:t>
            </w:r>
            <w:r>
              <w:rPr>
                <w:rFonts w:hint="eastAsia"/>
                <w:color w:val="000000" w:themeColor="text1"/>
                <w:sz w:val="24"/>
                <w14:textFill>
                  <w14:solidFill>
                    <w14:schemeClr w14:val="tx1"/>
                  </w14:solidFill>
                </w14:textFill>
              </w:rPr>
              <w:t>；当放在两面墙夹角处时，</w:t>
            </w:r>
            <w:r>
              <w:rPr>
                <w:color w:val="000000" w:themeColor="text1"/>
                <w:sz w:val="24"/>
                <w14:textFill>
                  <w14:solidFill>
                    <w14:schemeClr w14:val="tx1"/>
                  </w14:solidFill>
                </w14:textFill>
              </w:rPr>
              <w:t>Q=4</w:t>
            </w:r>
            <w:r>
              <w:rPr>
                <w:rFonts w:hint="eastAsia"/>
                <w:color w:val="000000" w:themeColor="text1"/>
                <w:sz w:val="24"/>
                <w14:textFill>
                  <w14:solidFill>
                    <w14:schemeClr w14:val="tx1"/>
                  </w14:solidFill>
                </w14:textFill>
              </w:rPr>
              <w:t>；当放在三面墙夹角处时，</w:t>
            </w:r>
            <w:r>
              <w:rPr>
                <w:color w:val="000000" w:themeColor="text1"/>
                <w:sz w:val="24"/>
                <w14:textFill>
                  <w14:solidFill>
                    <w14:schemeClr w14:val="tx1"/>
                  </w14:solidFill>
                </w14:textFill>
              </w:rPr>
              <w:t>Q=8</w:t>
            </w:r>
            <w:r>
              <w:rPr>
                <w:rFonts w:hint="eastAsia"/>
                <w:color w:val="000000" w:themeColor="text1"/>
                <w:sz w:val="24"/>
                <w14:textFill>
                  <w14:solidFill>
                    <w14:schemeClr w14:val="tx1"/>
                  </w14:solidFill>
                </w14:textFill>
              </w:rPr>
              <w:t>。</w:t>
            </w:r>
          </w:p>
          <w:p w14:paraId="666BCDE8">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R—</w:t>
            </w:r>
            <w:r>
              <w:rPr>
                <w:rFonts w:hint="eastAsia"/>
                <w:color w:val="000000" w:themeColor="text1"/>
                <w:sz w:val="24"/>
                <w14:textFill>
                  <w14:solidFill>
                    <w14:schemeClr w14:val="tx1"/>
                  </w14:solidFill>
                </w14:textFill>
              </w:rPr>
              <w:t>房间常数；</w:t>
            </w:r>
            <w:r>
              <w:rPr>
                <w:color w:val="000000" w:themeColor="text1"/>
                <w:sz w:val="24"/>
                <w14:textFill>
                  <w14:solidFill>
                    <w14:schemeClr w14:val="tx1"/>
                  </w14:solidFill>
                </w14:textFill>
              </w:rPr>
              <w:t>R=Sα/</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1-α</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 xml:space="preserve">S </w:t>
            </w:r>
            <w:r>
              <w:rPr>
                <w:rFonts w:hint="eastAsia"/>
                <w:color w:val="000000" w:themeColor="text1"/>
                <w:sz w:val="24"/>
                <w14:textFill>
                  <w14:solidFill>
                    <w14:schemeClr w14:val="tx1"/>
                  </w14:solidFill>
                </w14:textFill>
              </w:rPr>
              <w:t>为房间内表面面积，</w:t>
            </w:r>
            <w:r>
              <w:rPr>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2</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α</w:t>
            </w:r>
            <w:r>
              <w:rPr>
                <w:rFonts w:hint="eastAsia"/>
                <w:color w:val="000000" w:themeColor="text1"/>
                <w:sz w:val="24"/>
                <w14:textFill>
                  <w14:solidFill>
                    <w14:schemeClr w14:val="tx1"/>
                  </w14:solidFill>
                </w14:textFill>
              </w:rPr>
              <w:t xml:space="preserve">为平均吸声系数。 </w:t>
            </w:r>
          </w:p>
          <w:p w14:paraId="50C71F96">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r—</w:t>
            </w:r>
            <w:r>
              <w:rPr>
                <w:rFonts w:hint="eastAsia"/>
                <w:color w:val="000000" w:themeColor="text1"/>
                <w:sz w:val="24"/>
                <w14:textFill>
                  <w14:solidFill>
                    <w14:schemeClr w14:val="tx1"/>
                  </w14:solidFill>
                </w14:textFill>
              </w:rPr>
              <w:t>声源到靠近围护结构某点处的距离，</w:t>
            </w:r>
            <w:r>
              <w:rPr>
                <w:color w:val="000000" w:themeColor="text1"/>
                <w:sz w:val="24"/>
                <w14:textFill>
                  <w14:solidFill>
                    <w14:schemeClr w14:val="tx1"/>
                  </w14:solidFill>
                </w14:textFill>
              </w:rPr>
              <w:t>m</w:t>
            </w:r>
            <w:r>
              <w:rPr>
                <w:rFonts w:hint="eastAsia"/>
                <w:color w:val="000000" w:themeColor="text1"/>
                <w:sz w:val="24"/>
                <w14:textFill>
                  <w14:solidFill>
                    <w14:schemeClr w14:val="tx1"/>
                  </w14:solidFill>
                </w14:textFill>
              </w:rPr>
              <w:t>。</w:t>
            </w:r>
          </w:p>
          <w:p w14:paraId="0213A353">
            <w:pPr>
              <w:spacing w:line="360" w:lineRule="auto"/>
              <w:ind w:firstLine="480" w:firstLineChars="200"/>
              <w:rPr>
                <w:color w:val="000000" w:themeColor="text1"/>
                <w:szCs w:val="21"/>
                <w14:textFill>
                  <w14:solidFill>
                    <w14:schemeClr w14:val="tx1"/>
                  </w14:solidFill>
                </w14:textFill>
              </w:rPr>
            </w:pPr>
            <w:r>
              <w:rPr>
                <w:rFonts w:hint="eastAsia"/>
                <w:color w:val="000000" w:themeColor="text1"/>
                <w:sz w:val="24"/>
                <w14:textFill>
                  <w14:solidFill>
                    <w14:schemeClr w14:val="tx1"/>
                  </w14:solidFill>
                </w14:textFill>
              </w:rPr>
              <w:t>然后按公式（</w:t>
            </w:r>
            <w:r>
              <w:rPr>
                <w:color w:val="000000" w:themeColor="text1"/>
                <w:sz w:val="24"/>
                <w14:textFill>
                  <w14:solidFill>
                    <w14:schemeClr w14:val="tx1"/>
                  </w14:solidFill>
                </w14:textFill>
              </w:rPr>
              <w:t>A.7</w:t>
            </w:r>
            <w:r>
              <w:rPr>
                <w:rFonts w:hint="eastAsia"/>
                <w:color w:val="000000" w:themeColor="text1"/>
                <w:sz w:val="24"/>
                <w14:textFill>
                  <w14:solidFill>
                    <w14:schemeClr w14:val="tx1"/>
                  </w14:solidFill>
                </w14:textFill>
              </w:rPr>
              <w:t>）计算出所有室内声源在围护结构处产生的</w:t>
            </w:r>
            <w:r>
              <w:rPr>
                <w:color w:val="000000" w:themeColor="text1"/>
                <w:sz w:val="24"/>
                <w14:textFill>
                  <w14:solidFill>
                    <w14:schemeClr w14:val="tx1"/>
                  </w14:solidFill>
                </w14:textFill>
              </w:rPr>
              <w:t>i</w:t>
            </w:r>
            <w:r>
              <w:rPr>
                <w:rFonts w:hint="eastAsia"/>
                <w:color w:val="000000" w:themeColor="text1"/>
                <w:sz w:val="24"/>
                <w14:textFill>
                  <w14:solidFill>
                    <w14:schemeClr w14:val="tx1"/>
                  </w14:solidFill>
                </w14:textFill>
              </w:rPr>
              <w:t>倍频带叠加声压级：</w:t>
            </w:r>
          </w:p>
          <w:p w14:paraId="466D54DC">
            <w:pPr>
              <w:spacing w:line="360" w:lineRule="auto"/>
              <w:ind w:firstLine="420" w:firstLineChars="200"/>
              <w:jc w:val="center"/>
              <w:rPr>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2103120" cy="533400"/>
                  <wp:effectExtent l="0" t="0" r="0"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a:xfrm>
                            <a:off x="0" y="0"/>
                            <a:ext cx="2103120" cy="533400"/>
                          </a:xfrm>
                          <a:prstGeom prst="rect">
                            <a:avLst/>
                          </a:prstGeom>
                          <a:noFill/>
                          <a:ln>
                            <a:noFill/>
                          </a:ln>
                        </pic:spPr>
                      </pic:pic>
                    </a:graphicData>
                  </a:graphic>
                </wp:inline>
              </w:drawing>
            </w:r>
            <w:r>
              <w:rPr>
                <w:rFonts w:hint="eastAsia"/>
                <w:color w:val="000000" w:themeColor="text1"/>
                <w:sz w:val="24"/>
                <w14:textFill>
                  <w14:solidFill>
                    <w14:schemeClr w14:val="tx1"/>
                  </w14:solidFill>
                </w14:textFill>
              </w:rPr>
              <w:t xml:space="preserve"> </w:t>
            </w:r>
            <w:r>
              <w:rPr>
                <w:color w:val="000000" w:themeColor="text1"/>
                <w:sz w:val="24"/>
                <w14:textFill>
                  <w14:solidFill>
                    <w14:schemeClr w14:val="tx1"/>
                  </w14:solidFill>
                </w14:textFill>
              </w:rPr>
              <w:t xml:space="preserve">               (A.7)</w:t>
            </w:r>
          </w:p>
          <w:p w14:paraId="6B5D4E1E">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式中：</w:t>
            </w:r>
            <w:r>
              <w:rPr>
                <w:color w:val="000000" w:themeColor="text1"/>
                <w:sz w:val="24"/>
                <w14:textFill>
                  <w14:solidFill>
                    <w14:schemeClr w14:val="tx1"/>
                  </w14:solidFill>
                </w14:textFill>
              </w:rPr>
              <w:t>L</w:t>
            </w:r>
            <w:r>
              <w:rPr>
                <w:color w:val="000000" w:themeColor="text1"/>
                <w:sz w:val="24"/>
                <w:vertAlign w:val="subscript"/>
                <w14:textFill>
                  <w14:solidFill>
                    <w14:schemeClr w14:val="tx1"/>
                  </w14:solidFill>
                </w14:textFill>
              </w:rPr>
              <w:t>pli</w:t>
            </w:r>
            <w:r>
              <w:rPr>
                <w:color w:val="000000" w:themeColor="text1"/>
                <w:sz w:val="24"/>
                <w14:textFill>
                  <w14:solidFill>
                    <w14:schemeClr w14:val="tx1"/>
                  </w14:solidFill>
                </w14:textFill>
              </w:rPr>
              <w:t>(T)—</w:t>
            </w:r>
            <w:r>
              <w:rPr>
                <w:rFonts w:hint="eastAsia"/>
                <w:color w:val="000000" w:themeColor="text1"/>
                <w:sz w:val="24"/>
                <w14:textFill>
                  <w14:solidFill>
                    <w14:schemeClr w14:val="tx1"/>
                  </w14:solidFill>
                </w14:textFill>
              </w:rPr>
              <w:t xml:space="preserve">靠近围护结构处室内 </w:t>
            </w:r>
            <w:r>
              <w:rPr>
                <w:color w:val="000000" w:themeColor="text1"/>
                <w:sz w:val="24"/>
                <w14:textFill>
                  <w14:solidFill>
                    <w14:schemeClr w14:val="tx1"/>
                  </w14:solidFill>
                </w14:textFill>
              </w:rPr>
              <w:t>N</w:t>
            </w:r>
            <w:r>
              <w:rPr>
                <w:rFonts w:hint="eastAsia"/>
                <w:color w:val="000000" w:themeColor="text1"/>
                <w:sz w:val="24"/>
                <w14:textFill>
                  <w14:solidFill>
                    <w14:schemeClr w14:val="tx1"/>
                  </w14:solidFill>
                </w14:textFill>
              </w:rPr>
              <w:t>个声源</w:t>
            </w:r>
            <w:r>
              <w:rPr>
                <w:color w:val="000000" w:themeColor="text1"/>
                <w:sz w:val="24"/>
                <w14:textFill>
                  <w14:solidFill>
                    <w14:schemeClr w14:val="tx1"/>
                  </w14:solidFill>
                </w14:textFill>
              </w:rPr>
              <w:t>i</w:t>
            </w:r>
            <w:r>
              <w:rPr>
                <w:rFonts w:hint="eastAsia"/>
                <w:color w:val="000000" w:themeColor="text1"/>
                <w:sz w:val="24"/>
                <w14:textFill>
                  <w14:solidFill>
                    <w14:schemeClr w14:val="tx1"/>
                  </w14:solidFill>
                </w14:textFill>
              </w:rPr>
              <w:t>倍频带的叠加声压级，</w:t>
            </w:r>
            <w:r>
              <w:rPr>
                <w:color w:val="000000" w:themeColor="text1"/>
                <w:sz w:val="24"/>
                <w14:textFill>
                  <w14:solidFill>
                    <w14:schemeClr w14:val="tx1"/>
                  </w14:solidFill>
                </w14:textFill>
              </w:rPr>
              <w:t>dB</w:t>
            </w:r>
            <w:r>
              <w:rPr>
                <w:rFonts w:hint="eastAsia"/>
                <w:color w:val="000000" w:themeColor="text1"/>
                <w:sz w:val="24"/>
                <w14:textFill>
                  <w14:solidFill>
                    <w14:schemeClr w14:val="tx1"/>
                  </w14:solidFill>
                </w14:textFill>
              </w:rPr>
              <w:t xml:space="preserve">； </w:t>
            </w:r>
          </w:p>
          <w:p w14:paraId="758ACFB4">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L</w:t>
            </w:r>
            <w:r>
              <w:rPr>
                <w:color w:val="000000" w:themeColor="text1"/>
                <w:sz w:val="24"/>
                <w:vertAlign w:val="subscript"/>
                <w14:textFill>
                  <w14:solidFill>
                    <w14:schemeClr w14:val="tx1"/>
                  </w14:solidFill>
                </w14:textFill>
              </w:rPr>
              <w:t>plij</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室内</w:t>
            </w:r>
            <w:r>
              <w:rPr>
                <w:color w:val="000000" w:themeColor="text1"/>
                <w:sz w:val="24"/>
                <w14:textFill>
                  <w14:solidFill>
                    <w14:schemeClr w14:val="tx1"/>
                  </w14:solidFill>
                </w14:textFill>
              </w:rPr>
              <w:t>j</w:t>
            </w:r>
            <w:r>
              <w:rPr>
                <w:rFonts w:hint="eastAsia"/>
                <w:color w:val="000000" w:themeColor="text1"/>
                <w:sz w:val="24"/>
                <w14:textFill>
                  <w14:solidFill>
                    <w14:schemeClr w14:val="tx1"/>
                  </w14:solidFill>
                </w14:textFill>
              </w:rPr>
              <w:t>声源</w:t>
            </w:r>
            <w:r>
              <w:rPr>
                <w:color w:val="000000" w:themeColor="text1"/>
                <w:sz w:val="24"/>
                <w14:textFill>
                  <w14:solidFill>
                    <w14:schemeClr w14:val="tx1"/>
                  </w14:solidFill>
                </w14:textFill>
              </w:rPr>
              <w:t>i</w:t>
            </w:r>
            <w:r>
              <w:rPr>
                <w:rFonts w:hint="eastAsia"/>
                <w:color w:val="000000" w:themeColor="text1"/>
                <w:sz w:val="24"/>
                <w14:textFill>
                  <w14:solidFill>
                    <w14:schemeClr w14:val="tx1"/>
                  </w14:solidFill>
                </w14:textFill>
              </w:rPr>
              <w:t>倍频带的声压级，</w:t>
            </w:r>
            <w:r>
              <w:rPr>
                <w:color w:val="000000" w:themeColor="text1"/>
                <w:sz w:val="24"/>
                <w14:textFill>
                  <w14:solidFill>
                    <w14:schemeClr w14:val="tx1"/>
                  </w14:solidFill>
                </w14:textFill>
              </w:rPr>
              <w:t>dB</w:t>
            </w:r>
            <w:r>
              <w:rPr>
                <w:rFonts w:hint="eastAsia"/>
                <w:color w:val="000000" w:themeColor="text1"/>
                <w:sz w:val="24"/>
                <w14:textFill>
                  <w14:solidFill>
                    <w14:schemeClr w14:val="tx1"/>
                  </w14:solidFill>
                </w14:textFill>
              </w:rPr>
              <w:t xml:space="preserve">； </w:t>
            </w:r>
          </w:p>
          <w:p w14:paraId="694F2180">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N—</w:t>
            </w:r>
            <w:r>
              <w:rPr>
                <w:rFonts w:hint="eastAsia"/>
                <w:color w:val="000000" w:themeColor="text1"/>
                <w:sz w:val="24"/>
                <w14:textFill>
                  <w14:solidFill>
                    <w14:schemeClr w14:val="tx1"/>
                  </w14:solidFill>
                </w14:textFill>
              </w:rPr>
              <w:t xml:space="preserve">室内声源总数。 </w:t>
            </w:r>
          </w:p>
          <w:p w14:paraId="1BC5281C">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在室内近似为扩散声场时，按公式（</w:t>
            </w:r>
            <w:r>
              <w:rPr>
                <w:color w:val="000000" w:themeColor="text1"/>
                <w:sz w:val="24"/>
                <w14:textFill>
                  <w14:solidFill>
                    <w14:schemeClr w14:val="tx1"/>
                  </w14:solidFill>
                </w14:textFill>
              </w:rPr>
              <w:t>A.8</w:t>
            </w:r>
            <w:r>
              <w:rPr>
                <w:rFonts w:hint="eastAsia"/>
                <w:color w:val="000000" w:themeColor="text1"/>
                <w:sz w:val="24"/>
                <w14:textFill>
                  <w14:solidFill>
                    <w14:schemeClr w14:val="tx1"/>
                  </w14:solidFill>
                </w14:textFill>
              </w:rPr>
              <w:t>）计算出靠近室外围护结构处的声压级：</w:t>
            </w:r>
          </w:p>
          <w:p w14:paraId="75A07044">
            <w:pPr>
              <w:spacing w:line="360" w:lineRule="auto"/>
              <w:jc w:val="center"/>
              <w:rPr>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1981200" cy="342900"/>
                  <wp:effectExtent l="0" t="0" r="0" b="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a:xfrm>
                            <a:off x="0" y="0"/>
                            <a:ext cx="1981200" cy="342900"/>
                          </a:xfrm>
                          <a:prstGeom prst="rect">
                            <a:avLst/>
                          </a:prstGeom>
                          <a:noFill/>
                          <a:ln>
                            <a:noFill/>
                          </a:ln>
                        </pic:spPr>
                      </pic:pic>
                    </a:graphicData>
                  </a:graphic>
                </wp:inline>
              </w:drawing>
            </w:r>
            <w:r>
              <w:rPr>
                <w:color w:val="000000" w:themeColor="text1"/>
                <w:sz w:val="24"/>
                <w14:textFill>
                  <w14:solidFill>
                    <w14:schemeClr w14:val="tx1"/>
                  </w14:solidFill>
                </w14:textFill>
              </w:rPr>
              <w:t xml:space="preserve">               (A.8)</w:t>
            </w:r>
          </w:p>
          <w:p w14:paraId="26FFE674">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式中：</w:t>
            </w:r>
            <w:r>
              <w:rPr>
                <w:color w:val="000000" w:themeColor="text1"/>
                <w:sz w:val="24"/>
                <w14:textFill>
                  <w14:solidFill>
                    <w14:schemeClr w14:val="tx1"/>
                  </w14:solidFill>
                </w14:textFill>
              </w:rPr>
              <w:t>L</w:t>
            </w:r>
            <w:r>
              <w:rPr>
                <w:color w:val="000000" w:themeColor="text1"/>
                <w:sz w:val="24"/>
                <w:vertAlign w:val="subscript"/>
                <w14:textFill>
                  <w14:solidFill>
                    <w14:schemeClr w14:val="tx1"/>
                  </w14:solidFill>
                </w14:textFill>
              </w:rPr>
              <w:t>p2i</w:t>
            </w:r>
            <w:r>
              <w:rPr>
                <w:color w:val="000000" w:themeColor="text1"/>
                <w:sz w:val="24"/>
                <w14:textFill>
                  <w14:solidFill>
                    <w14:schemeClr w14:val="tx1"/>
                  </w14:solidFill>
                </w14:textFill>
              </w:rPr>
              <w:t>(T)—</w:t>
            </w:r>
            <w:r>
              <w:rPr>
                <w:rFonts w:hint="eastAsia"/>
                <w:color w:val="000000" w:themeColor="text1"/>
                <w:sz w:val="24"/>
                <w14:textFill>
                  <w14:solidFill>
                    <w14:schemeClr w14:val="tx1"/>
                  </w14:solidFill>
                </w14:textFill>
              </w:rPr>
              <w:t>靠近围护结构处室</w:t>
            </w:r>
            <w:r>
              <w:rPr>
                <w:color w:val="000000" w:themeColor="text1"/>
                <w:sz w:val="24"/>
                <w14:textFill>
                  <w14:solidFill>
                    <w14:schemeClr w14:val="tx1"/>
                  </w14:solidFill>
                </w14:textFill>
              </w:rPr>
              <w:t>外N</w:t>
            </w:r>
            <w:r>
              <w:rPr>
                <w:rFonts w:hint="eastAsia"/>
                <w:color w:val="000000" w:themeColor="text1"/>
                <w:sz w:val="24"/>
                <w14:textFill>
                  <w14:solidFill>
                    <w14:schemeClr w14:val="tx1"/>
                  </w14:solidFill>
                </w14:textFill>
              </w:rPr>
              <w:t>个声源</w:t>
            </w:r>
            <w:r>
              <w:rPr>
                <w:color w:val="000000" w:themeColor="text1"/>
                <w:sz w:val="24"/>
                <w14:textFill>
                  <w14:solidFill>
                    <w14:schemeClr w14:val="tx1"/>
                  </w14:solidFill>
                </w14:textFill>
              </w:rPr>
              <w:t>i</w:t>
            </w:r>
            <w:r>
              <w:rPr>
                <w:rFonts w:hint="eastAsia"/>
                <w:color w:val="000000" w:themeColor="text1"/>
                <w:sz w:val="24"/>
                <w14:textFill>
                  <w14:solidFill>
                    <w14:schemeClr w14:val="tx1"/>
                  </w14:solidFill>
                </w14:textFill>
              </w:rPr>
              <w:t>倍频带的叠加声压级，</w:t>
            </w:r>
            <w:r>
              <w:rPr>
                <w:color w:val="000000" w:themeColor="text1"/>
                <w:sz w:val="24"/>
                <w14:textFill>
                  <w14:solidFill>
                    <w14:schemeClr w14:val="tx1"/>
                  </w14:solidFill>
                </w14:textFill>
              </w:rPr>
              <w:t>dB</w:t>
            </w:r>
            <w:r>
              <w:rPr>
                <w:rFonts w:hint="eastAsia"/>
                <w:color w:val="000000" w:themeColor="text1"/>
                <w:sz w:val="24"/>
                <w14:textFill>
                  <w14:solidFill>
                    <w14:schemeClr w14:val="tx1"/>
                  </w14:solidFill>
                </w14:textFill>
              </w:rPr>
              <w:t xml:space="preserve">； </w:t>
            </w:r>
          </w:p>
          <w:p w14:paraId="4238AC75">
            <w:pPr>
              <w:spacing w:line="360" w:lineRule="auto"/>
              <w:ind w:firstLine="1200" w:firstLineChars="500"/>
              <w:rPr>
                <w:color w:val="000000" w:themeColor="text1"/>
                <w:sz w:val="24"/>
                <w14:textFill>
                  <w14:solidFill>
                    <w14:schemeClr w14:val="tx1"/>
                  </w14:solidFill>
                </w14:textFill>
              </w:rPr>
            </w:pPr>
            <w:r>
              <w:rPr>
                <w:color w:val="000000" w:themeColor="text1"/>
                <w:sz w:val="24"/>
                <w14:textFill>
                  <w14:solidFill>
                    <w14:schemeClr w14:val="tx1"/>
                  </w14:solidFill>
                </w14:textFill>
              </w:rPr>
              <w:t>TL</w:t>
            </w:r>
            <w:r>
              <w:rPr>
                <w:color w:val="000000" w:themeColor="text1"/>
                <w:sz w:val="24"/>
                <w:vertAlign w:val="subscript"/>
                <w14:textFill>
                  <w14:solidFill>
                    <w14:schemeClr w14:val="tx1"/>
                  </w14:solidFill>
                </w14:textFill>
              </w:rPr>
              <w:t>i</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围护结构</w:t>
            </w:r>
            <w:r>
              <w:rPr>
                <w:color w:val="000000" w:themeColor="text1"/>
                <w:sz w:val="24"/>
                <w14:textFill>
                  <w14:solidFill>
                    <w14:schemeClr w14:val="tx1"/>
                  </w14:solidFill>
                </w14:textFill>
              </w:rPr>
              <w:t>i</w:t>
            </w:r>
            <w:r>
              <w:rPr>
                <w:rFonts w:hint="eastAsia"/>
                <w:color w:val="000000" w:themeColor="text1"/>
                <w:sz w:val="24"/>
                <w14:textFill>
                  <w14:solidFill>
                    <w14:schemeClr w14:val="tx1"/>
                  </w14:solidFill>
                </w14:textFill>
              </w:rPr>
              <w:t>倍频带的隔声量，</w:t>
            </w:r>
            <w:r>
              <w:rPr>
                <w:color w:val="000000" w:themeColor="text1"/>
                <w:sz w:val="24"/>
                <w14:textFill>
                  <w14:solidFill>
                    <w14:schemeClr w14:val="tx1"/>
                  </w14:solidFill>
                </w14:textFill>
              </w:rPr>
              <w:t>dB</w:t>
            </w:r>
            <w:r>
              <w:rPr>
                <w:rFonts w:hint="eastAsia"/>
                <w:color w:val="000000" w:themeColor="text1"/>
                <w:sz w:val="24"/>
                <w14:textFill>
                  <w14:solidFill>
                    <w14:schemeClr w14:val="tx1"/>
                  </w14:solidFill>
                </w14:textFill>
              </w:rPr>
              <w:t xml:space="preserve">。 </w:t>
            </w:r>
          </w:p>
          <w:p w14:paraId="133CE6D0">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然后按公式（</w:t>
            </w:r>
            <w:r>
              <w:rPr>
                <w:color w:val="000000" w:themeColor="text1"/>
                <w:sz w:val="24"/>
                <w14:textFill>
                  <w14:solidFill>
                    <w14:schemeClr w14:val="tx1"/>
                  </w14:solidFill>
                </w14:textFill>
              </w:rPr>
              <w:t>A.9</w:t>
            </w:r>
            <w:r>
              <w:rPr>
                <w:rFonts w:hint="eastAsia"/>
                <w:color w:val="000000" w:themeColor="text1"/>
                <w:sz w:val="24"/>
                <w14:textFill>
                  <w14:solidFill>
                    <w14:schemeClr w14:val="tx1"/>
                  </w14:solidFill>
                </w14:textFill>
              </w:rPr>
              <w:t>）将室外声源的声压级和透过面积换算成等效的室外声源，计算出中心位置位于透声面积（</w:t>
            </w:r>
            <w:r>
              <w:rPr>
                <w:color w:val="000000" w:themeColor="text1"/>
                <w:sz w:val="24"/>
                <w14:textFill>
                  <w14:solidFill>
                    <w14:schemeClr w14:val="tx1"/>
                  </w14:solidFill>
                </w14:textFill>
              </w:rPr>
              <w:t>S</w:t>
            </w:r>
            <w:r>
              <w:rPr>
                <w:rFonts w:hint="eastAsia"/>
                <w:color w:val="000000" w:themeColor="text1"/>
                <w:sz w:val="24"/>
                <w14:textFill>
                  <w14:solidFill>
                    <w14:schemeClr w14:val="tx1"/>
                  </w14:solidFill>
                </w14:textFill>
              </w:rPr>
              <w:t>）处的等效声源的倍频带声功率级。</w:t>
            </w:r>
          </w:p>
          <w:p w14:paraId="226F7907">
            <w:pPr>
              <w:spacing w:line="360" w:lineRule="auto"/>
              <w:jc w:val="center"/>
              <w:rPr>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1478280" cy="327660"/>
                  <wp:effectExtent l="0" t="0" r="762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a:xfrm>
                            <a:off x="0" y="0"/>
                            <a:ext cx="1478280" cy="327660"/>
                          </a:xfrm>
                          <a:prstGeom prst="rect">
                            <a:avLst/>
                          </a:prstGeom>
                          <a:noFill/>
                          <a:ln>
                            <a:noFill/>
                          </a:ln>
                        </pic:spPr>
                      </pic:pic>
                    </a:graphicData>
                  </a:graphic>
                </wp:inline>
              </w:drawing>
            </w:r>
            <w:r>
              <w:rPr>
                <w:color w:val="000000" w:themeColor="text1"/>
                <w:sz w:val="24"/>
                <w14:textFill>
                  <w14:solidFill>
                    <w14:schemeClr w14:val="tx1"/>
                  </w14:solidFill>
                </w14:textFill>
              </w:rPr>
              <w:t xml:space="preserve">               (A.9)</w:t>
            </w:r>
          </w:p>
          <w:p w14:paraId="2982D59D">
            <w:pPr>
              <w:snapToGrid w:val="0"/>
              <w:spacing w:line="360" w:lineRule="auto"/>
              <w:ind w:firstLine="480" w:firstLineChars="200"/>
              <w:jc w:val="left"/>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（3）</w:t>
            </w:r>
            <w:r>
              <w:rPr>
                <w:bCs/>
                <w:color w:val="000000" w:themeColor="text1"/>
                <w:sz w:val="24"/>
                <w14:textFill>
                  <w14:solidFill>
                    <w14:schemeClr w14:val="tx1"/>
                  </w14:solidFill>
                </w14:textFill>
              </w:rPr>
              <w:t>预测结果</w:t>
            </w:r>
          </w:p>
          <w:p w14:paraId="1B49BA3C">
            <w:pPr>
              <w:snapToGrid w:val="0"/>
              <w:spacing w:line="360" w:lineRule="auto"/>
              <w:ind w:firstLine="480" w:firstLineChars="200"/>
              <w:jc w:val="left"/>
              <w:rPr>
                <w:bCs/>
                <w:color w:val="000000" w:themeColor="text1"/>
                <w:sz w:val="24"/>
                <w14:textFill>
                  <w14:solidFill>
                    <w14:schemeClr w14:val="tx1"/>
                  </w14:solidFill>
                </w14:textFill>
              </w:rPr>
            </w:pPr>
            <w:r>
              <w:rPr>
                <w:bCs/>
                <w:color w:val="000000" w:themeColor="text1"/>
                <w:sz w:val="24"/>
                <w14:textFill>
                  <w14:solidFill>
                    <w14:schemeClr w14:val="tx1"/>
                  </w14:solidFill>
                </w14:textFill>
              </w:rPr>
              <w:t>项目设备主要安装在厂房内，本评价以厂房内设备噪声等效为室内点声源进行预测，</w:t>
            </w:r>
            <w:r>
              <w:rPr>
                <w:color w:val="000000" w:themeColor="text1"/>
                <w:sz w:val="24"/>
                <w14:textFill>
                  <w14:solidFill>
                    <w14:schemeClr w14:val="tx1"/>
                  </w14:solidFill>
                </w14:textFill>
              </w:rPr>
              <w:t>项目噪声</w:t>
            </w:r>
            <w:r>
              <w:rPr>
                <w:bCs/>
                <w:color w:val="000000" w:themeColor="text1"/>
                <w:sz w:val="24"/>
                <w14:textFill>
                  <w14:solidFill>
                    <w14:schemeClr w14:val="tx1"/>
                  </w14:solidFill>
                </w14:textFill>
              </w:rPr>
              <w:t>预测结果见</w:t>
            </w:r>
            <w:r>
              <w:rPr>
                <w:rFonts w:hint="eastAsia"/>
                <w:bCs/>
                <w:color w:val="000000" w:themeColor="text1"/>
                <w:sz w:val="24"/>
                <w14:textFill>
                  <w14:solidFill>
                    <w14:schemeClr w14:val="tx1"/>
                  </w14:solidFill>
                </w14:textFill>
              </w:rPr>
              <w:t>下表</w:t>
            </w:r>
            <w:r>
              <w:rPr>
                <w:bCs/>
                <w:color w:val="000000" w:themeColor="text1"/>
                <w:sz w:val="24"/>
                <w14:textFill>
                  <w14:solidFill>
                    <w14:schemeClr w14:val="tx1"/>
                  </w14:solidFill>
                </w14:textFill>
              </w:rPr>
              <w:t>。</w:t>
            </w:r>
          </w:p>
          <w:p w14:paraId="767A4D3C">
            <w:pPr>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表4-</w:t>
            </w:r>
            <w:r>
              <w:rPr>
                <w:rFonts w:hint="eastAsia"/>
                <w:b/>
                <w:bCs/>
                <w:color w:val="000000" w:themeColor="text1"/>
                <w:sz w:val="24"/>
                <w14:textFill>
                  <w14:solidFill>
                    <w14:schemeClr w14:val="tx1"/>
                  </w14:solidFill>
                </w14:textFill>
              </w:rPr>
              <w:t>16</w:t>
            </w:r>
            <w:r>
              <w:rPr>
                <w:b/>
                <w:bCs/>
                <w:color w:val="000000" w:themeColor="text1"/>
                <w:sz w:val="24"/>
                <w14:textFill>
                  <w14:solidFill>
                    <w14:schemeClr w14:val="tx1"/>
                  </w14:solidFill>
                </w14:textFill>
              </w:rPr>
              <w:t xml:space="preserve">   </w:t>
            </w:r>
            <w:r>
              <w:rPr>
                <w:b/>
                <w:color w:val="000000" w:themeColor="text1"/>
                <w:sz w:val="24"/>
                <w14:textFill>
                  <w14:solidFill>
                    <w14:schemeClr w14:val="tx1"/>
                  </w14:solidFill>
                </w14:textFill>
              </w:rPr>
              <w:t>厂界达标情况</w:t>
            </w:r>
            <w:r>
              <w:rPr>
                <w:b/>
                <w:bCs/>
                <w:color w:val="000000" w:themeColor="text1"/>
                <w:sz w:val="24"/>
                <w14:textFill>
                  <w14:solidFill>
                    <w14:schemeClr w14:val="tx1"/>
                  </w14:solidFill>
                </w14:textFill>
              </w:rPr>
              <w:t xml:space="preserve">   单位：dB(A)</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365"/>
              <w:gridCol w:w="1534"/>
              <w:gridCol w:w="1786"/>
              <w:gridCol w:w="1786"/>
              <w:gridCol w:w="1786"/>
              <w:gridCol w:w="1786"/>
              <w:gridCol w:w="1783"/>
              <w:gridCol w:w="1783"/>
            </w:tblGrid>
            <w:tr w14:paraId="75FA774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57" w:hRule="atLeast"/>
              </w:trPr>
              <w:tc>
                <w:tcPr>
                  <w:tcW w:w="502" w:type="pct"/>
                  <w:vMerge w:val="restart"/>
                  <w:vAlign w:val="center"/>
                </w:tcPr>
                <w:p w14:paraId="4CF1F4E7">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序号</w:t>
                  </w:r>
                </w:p>
              </w:tc>
              <w:tc>
                <w:tcPr>
                  <w:tcW w:w="564" w:type="pct"/>
                  <w:vMerge w:val="restart"/>
                  <w:vAlign w:val="center"/>
                </w:tcPr>
                <w:p w14:paraId="794D105D">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厂界</w:t>
                  </w:r>
                </w:p>
              </w:tc>
              <w:tc>
                <w:tcPr>
                  <w:tcW w:w="1968" w:type="pct"/>
                  <w:gridSpan w:val="3"/>
                  <w:vAlign w:val="center"/>
                </w:tcPr>
                <w:p w14:paraId="1C79C6CF">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昼间</w:t>
                  </w:r>
                </w:p>
              </w:tc>
              <w:tc>
                <w:tcPr>
                  <w:tcW w:w="1966" w:type="pct"/>
                  <w:gridSpan w:val="3"/>
                  <w:vAlign w:val="center"/>
                </w:tcPr>
                <w:p w14:paraId="06CCB2F8">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夜间</w:t>
                  </w:r>
                </w:p>
              </w:tc>
            </w:tr>
            <w:tr w14:paraId="67559B0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57" w:hRule="atLeast"/>
              </w:trPr>
              <w:tc>
                <w:tcPr>
                  <w:tcW w:w="502" w:type="pct"/>
                  <w:vMerge w:val="continue"/>
                  <w:vAlign w:val="center"/>
                </w:tcPr>
                <w:p w14:paraId="24BFF9C7">
                  <w:pPr>
                    <w:adjustRightInd w:val="0"/>
                    <w:snapToGrid w:val="0"/>
                    <w:jc w:val="center"/>
                    <w:rPr>
                      <w:color w:val="000000" w:themeColor="text1"/>
                      <w:sz w:val="18"/>
                      <w:szCs w:val="18"/>
                      <w14:textFill>
                        <w14:solidFill>
                          <w14:schemeClr w14:val="tx1"/>
                        </w14:solidFill>
                      </w14:textFill>
                    </w:rPr>
                  </w:pPr>
                </w:p>
              </w:tc>
              <w:tc>
                <w:tcPr>
                  <w:tcW w:w="564" w:type="pct"/>
                  <w:vMerge w:val="continue"/>
                  <w:vAlign w:val="center"/>
                </w:tcPr>
                <w:p w14:paraId="73DE064E">
                  <w:pPr>
                    <w:adjustRightInd w:val="0"/>
                    <w:snapToGrid w:val="0"/>
                    <w:jc w:val="center"/>
                    <w:rPr>
                      <w:color w:val="000000" w:themeColor="text1"/>
                      <w:sz w:val="18"/>
                      <w:szCs w:val="18"/>
                      <w14:textFill>
                        <w14:solidFill>
                          <w14:schemeClr w14:val="tx1"/>
                        </w14:solidFill>
                      </w14:textFill>
                    </w:rPr>
                  </w:pPr>
                </w:p>
              </w:tc>
              <w:tc>
                <w:tcPr>
                  <w:tcW w:w="656" w:type="pct"/>
                  <w:vAlign w:val="center"/>
                </w:tcPr>
                <w:p w14:paraId="27A4D553">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噪声标准值</w:t>
                  </w:r>
                  <w:r>
                    <w:rPr>
                      <w:color w:val="000000" w:themeColor="text1"/>
                      <w:sz w:val="18"/>
                      <w:szCs w:val="18"/>
                      <w14:textFill>
                        <w14:solidFill>
                          <w14:schemeClr w14:val="tx1"/>
                        </w14:solidFill>
                      </w14:textFill>
                    </w:rPr>
                    <w:t>dB(A)</w:t>
                  </w:r>
                </w:p>
              </w:tc>
              <w:tc>
                <w:tcPr>
                  <w:tcW w:w="656" w:type="pct"/>
                  <w:vAlign w:val="center"/>
                </w:tcPr>
                <w:p w14:paraId="799895B5">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噪声贡献值</w:t>
                  </w:r>
                  <w:r>
                    <w:rPr>
                      <w:color w:val="000000" w:themeColor="text1"/>
                      <w:sz w:val="18"/>
                      <w:szCs w:val="18"/>
                      <w14:textFill>
                        <w14:solidFill>
                          <w14:schemeClr w14:val="tx1"/>
                        </w14:solidFill>
                      </w14:textFill>
                    </w:rPr>
                    <w:t>dB(A)</w:t>
                  </w:r>
                </w:p>
              </w:tc>
              <w:tc>
                <w:tcPr>
                  <w:tcW w:w="656" w:type="pct"/>
                  <w:vAlign w:val="center"/>
                </w:tcPr>
                <w:p w14:paraId="6DB448AC">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超标和达标情况</w:t>
                  </w:r>
                </w:p>
              </w:tc>
              <w:tc>
                <w:tcPr>
                  <w:tcW w:w="656" w:type="pct"/>
                  <w:vAlign w:val="center"/>
                </w:tcPr>
                <w:p w14:paraId="3854DB81">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噪声标准值</w:t>
                  </w:r>
                  <w:r>
                    <w:rPr>
                      <w:color w:val="000000" w:themeColor="text1"/>
                      <w:sz w:val="18"/>
                      <w:szCs w:val="18"/>
                      <w14:textFill>
                        <w14:solidFill>
                          <w14:schemeClr w14:val="tx1"/>
                        </w14:solidFill>
                      </w14:textFill>
                    </w:rPr>
                    <w:t>dB(A)</w:t>
                  </w:r>
                </w:p>
              </w:tc>
              <w:tc>
                <w:tcPr>
                  <w:tcW w:w="655" w:type="pct"/>
                  <w:vAlign w:val="center"/>
                </w:tcPr>
                <w:p w14:paraId="2A75C8CB">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噪声贡献值</w:t>
                  </w:r>
                  <w:r>
                    <w:rPr>
                      <w:color w:val="000000" w:themeColor="text1"/>
                      <w:sz w:val="18"/>
                      <w:szCs w:val="18"/>
                      <w14:textFill>
                        <w14:solidFill>
                          <w14:schemeClr w14:val="tx1"/>
                        </w14:solidFill>
                      </w14:textFill>
                    </w:rPr>
                    <w:t>dB(A)</w:t>
                  </w:r>
                </w:p>
              </w:tc>
              <w:tc>
                <w:tcPr>
                  <w:tcW w:w="655" w:type="pct"/>
                  <w:vAlign w:val="center"/>
                </w:tcPr>
                <w:p w14:paraId="03A4E0ED">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超标和达标情况</w:t>
                  </w:r>
                </w:p>
              </w:tc>
            </w:tr>
            <w:tr w14:paraId="63C4E32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57" w:hRule="atLeast"/>
              </w:trPr>
              <w:tc>
                <w:tcPr>
                  <w:tcW w:w="502" w:type="pct"/>
                  <w:vAlign w:val="center"/>
                </w:tcPr>
                <w:p w14:paraId="5A28EE20">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p>
              </w:tc>
              <w:tc>
                <w:tcPr>
                  <w:tcW w:w="564" w:type="pct"/>
                  <w:vAlign w:val="center"/>
                </w:tcPr>
                <w:p w14:paraId="6F441D42">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东厂界</w:t>
                  </w:r>
                </w:p>
              </w:tc>
              <w:tc>
                <w:tcPr>
                  <w:tcW w:w="656" w:type="pct"/>
                  <w:vAlign w:val="center"/>
                </w:tcPr>
                <w:p w14:paraId="232372CD">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w:t>
                  </w:r>
                  <w:r>
                    <w:rPr>
                      <w:rFonts w:hint="eastAsia"/>
                      <w:color w:val="000000" w:themeColor="text1"/>
                      <w:sz w:val="18"/>
                      <w:szCs w:val="18"/>
                      <w14:textFill>
                        <w14:solidFill>
                          <w14:schemeClr w14:val="tx1"/>
                        </w14:solidFill>
                      </w14:textFill>
                    </w:rPr>
                    <w:t>5</w:t>
                  </w:r>
                </w:p>
              </w:tc>
              <w:tc>
                <w:tcPr>
                  <w:tcW w:w="656" w:type="pct"/>
                  <w:vAlign w:val="center"/>
                </w:tcPr>
                <w:p w14:paraId="21F7E5D6">
                  <w:pPr>
                    <w:adjustRightInd w:val="0"/>
                    <w:snapToGrid w:val="0"/>
                    <w:jc w:val="center"/>
                    <w:rPr>
                      <w:rFonts w:hint="eastAsia" w:eastAsia="宋体"/>
                      <w:color w:val="000000" w:themeColor="text1"/>
                      <w:sz w:val="18"/>
                      <w:szCs w:val="18"/>
                      <w:lang w:val="en-US" w:eastAsia="zh-CN"/>
                      <w14:textFill>
                        <w14:solidFill>
                          <w14:schemeClr w14:val="tx1"/>
                        </w14:solidFill>
                      </w14:textFill>
                    </w:rPr>
                  </w:pPr>
                  <w:r>
                    <w:rPr>
                      <w:color w:val="000000" w:themeColor="text1"/>
                      <w:sz w:val="18"/>
                      <w:szCs w:val="18"/>
                      <w14:textFill>
                        <w14:solidFill>
                          <w14:schemeClr w14:val="tx1"/>
                        </w14:solidFill>
                      </w14:textFill>
                    </w:rPr>
                    <w:t>4</w:t>
                  </w:r>
                  <w:r>
                    <w:rPr>
                      <w:rFonts w:hint="eastAsia"/>
                      <w:color w:val="000000" w:themeColor="text1"/>
                      <w:sz w:val="18"/>
                      <w:szCs w:val="18"/>
                      <w:lang w:val="en-US" w:eastAsia="zh-CN"/>
                      <w14:textFill>
                        <w14:solidFill>
                          <w14:schemeClr w14:val="tx1"/>
                        </w14:solidFill>
                      </w14:textFill>
                    </w:rPr>
                    <w:t>6</w:t>
                  </w:r>
                  <w:r>
                    <w:rPr>
                      <w:color w:val="000000" w:themeColor="text1"/>
                      <w:sz w:val="18"/>
                      <w:szCs w:val="18"/>
                      <w14:textFill>
                        <w14:solidFill>
                          <w14:schemeClr w14:val="tx1"/>
                        </w14:solidFill>
                      </w14:textFill>
                    </w:rPr>
                    <w:t>.</w:t>
                  </w:r>
                  <w:r>
                    <w:rPr>
                      <w:rFonts w:hint="eastAsia"/>
                      <w:color w:val="000000" w:themeColor="text1"/>
                      <w:sz w:val="18"/>
                      <w:szCs w:val="18"/>
                      <w:lang w:val="en-US" w:eastAsia="zh-CN"/>
                      <w14:textFill>
                        <w14:solidFill>
                          <w14:schemeClr w14:val="tx1"/>
                        </w14:solidFill>
                      </w14:textFill>
                    </w:rPr>
                    <w:t>3</w:t>
                  </w:r>
                </w:p>
              </w:tc>
              <w:tc>
                <w:tcPr>
                  <w:tcW w:w="656" w:type="pct"/>
                  <w:vAlign w:val="center"/>
                </w:tcPr>
                <w:p w14:paraId="3E390188">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达标</w:t>
                  </w:r>
                </w:p>
              </w:tc>
              <w:tc>
                <w:tcPr>
                  <w:tcW w:w="656" w:type="pct"/>
                  <w:vAlign w:val="center"/>
                </w:tcPr>
                <w:p w14:paraId="2BFCA07D">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55</w:t>
                  </w:r>
                </w:p>
              </w:tc>
              <w:tc>
                <w:tcPr>
                  <w:tcW w:w="1783" w:type="dxa"/>
                  <w:vAlign w:val="center"/>
                </w:tcPr>
                <w:p w14:paraId="15A5AC56">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4</w:t>
                  </w:r>
                  <w:r>
                    <w:rPr>
                      <w:rFonts w:hint="eastAsia"/>
                      <w:color w:val="000000" w:themeColor="text1"/>
                      <w:sz w:val="18"/>
                      <w:szCs w:val="18"/>
                      <w:lang w:val="en-US" w:eastAsia="zh-CN"/>
                      <w14:textFill>
                        <w14:solidFill>
                          <w14:schemeClr w14:val="tx1"/>
                        </w14:solidFill>
                      </w14:textFill>
                    </w:rPr>
                    <w:t>6</w:t>
                  </w:r>
                  <w:r>
                    <w:rPr>
                      <w:color w:val="000000" w:themeColor="text1"/>
                      <w:sz w:val="18"/>
                      <w:szCs w:val="18"/>
                      <w14:textFill>
                        <w14:solidFill>
                          <w14:schemeClr w14:val="tx1"/>
                        </w14:solidFill>
                      </w14:textFill>
                    </w:rPr>
                    <w:t>.</w:t>
                  </w:r>
                  <w:r>
                    <w:rPr>
                      <w:rFonts w:hint="eastAsia"/>
                      <w:color w:val="000000" w:themeColor="text1"/>
                      <w:sz w:val="18"/>
                      <w:szCs w:val="18"/>
                      <w:lang w:val="en-US" w:eastAsia="zh-CN"/>
                      <w14:textFill>
                        <w14:solidFill>
                          <w14:schemeClr w14:val="tx1"/>
                        </w14:solidFill>
                      </w14:textFill>
                    </w:rPr>
                    <w:t>3</w:t>
                  </w:r>
                </w:p>
              </w:tc>
              <w:tc>
                <w:tcPr>
                  <w:tcW w:w="655" w:type="pct"/>
                  <w:vAlign w:val="center"/>
                </w:tcPr>
                <w:p w14:paraId="0FD11951">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达标</w:t>
                  </w:r>
                </w:p>
              </w:tc>
            </w:tr>
            <w:tr w14:paraId="6D0F38F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57" w:hRule="atLeast"/>
              </w:trPr>
              <w:tc>
                <w:tcPr>
                  <w:tcW w:w="502" w:type="pct"/>
                  <w:vAlign w:val="center"/>
                </w:tcPr>
                <w:p w14:paraId="134A7DB9">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p>
              </w:tc>
              <w:tc>
                <w:tcPr>
                  <w:tcW w:w="564" w:type="pct"/>
                  <w:vAlign w:val="center"/>
                </w:tcPr>
                <w:p w14:paraId="2BC5EB0A">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南厂界</w:t>
                  </w:r>
                </w:p>
              </w:tc>
              <w:tc>
                <w:tcPr>
                  <w:tcW w:w="656" w:type="pct"/>
                  <w:vAlign w:val="center"/>
                </w:tcPr>
                <w:p w14:paraId="62D6A763">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w:t>
                  </w:r>
                  <w:r>
                    <w:rPr>
                      <w:rFonts w:hint="eastAsia"/>
                      <w:color w:val="000000" w:themeColor="text1"/>
                      <w:sz w:val="18"/>
                      <w:szCs w:val="18"/>
                      <w14:textFill>
                        <w14:solidFill>
                          <w14:schemeClr w14:val="tx1"/>
                        </w14:solidFill>
                      </w14:textFill>
                    </w:rPr>
                    <w:t>5</w:t>
                  </w:r>
                </w:p>
              </w:tc>
              <w:tc>
                <w:tcPr>
                  <w:tcW w:w="656" w:type="pct"/>
                  <w:vAlign w:val="center"/>
                </w:tcPr>
                <w:p w14:paraId="5FE0691D">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w:t>
                  </w:r>
                  <w:r>
                    <w:rPr>
                      <w:rFonts w:hint="eastAsia"/>
                      <w:color w:val="000000" w:themeColor="text1"/>
                      <w:sz w:val="18"/>
                      <w:szCs w:val="18"/>
                      <w:lang w:val="en-US" w:eastAsia="zh-CN"/>
                      <w14:textFill>
                        <w14:solidFill>
                          <w14:schemeClr w14:val="tx1"/>
                        </w14:solidFill>
                      </w14:textFill>
                    </w:rPr>
                    <w:t>6.2</w:t>
                  </w:r>
                </w:p>
              </w:tc>
              <w:tc>
                <w:tcPr>
                  <w:tcW w:w="656" w:type="pct"/>
                  <w:vAlign w:val="center"/>
                </w:tcPr>
                <w:p w14:paraId="3F2D69CF">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达标</w:t>
                  </w:r>
                </w:p>
              </w:tc>
              <w:tc>
                <w:tcPr>
                  <w:tcW w:w="656" w:type="pct"/>
                </w:tcPr>
                <w:p w14:paraId="4C40EFBB">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55</w:t>
                  </w:r>
                </w:p>
              </w:tc>
              <w:tc>
                <w:tcPr>
                  <w:tcW w:w="1783" w:type="dxa"/>
                  <w:vAlign w:val="center"/>
                </w:tcPr>
                <w:p w14:paraId="7239C859">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w:t>
                  </w:r>
                  <w:r>
                    <w:rPr>
                      <w:rFonts w:hint="eastAsia"/>
                      <w:color w:val="000000" w:themeColor="text1"/>
                      <w:sz w:val="18"/>
                      <w:szCs w:val="18"/>
                      <w:lang w:val="en-US" w:eastAsia="zh-CN"/>
                      <w14:textFill>
                        <w14:solidFill>
                          <w14:schemeClr w14:val="tx1"/>
                        </w14:solidFill>
                      </w14:textFill>
                    </w:rPr>
                    <w:t>6.2</w:t>
                  </w:r>
                </w:p>
              </w:tc>
              <w:tc>
                <w:tcPr>
                  <w:tcW w:w="655" w:type="pct"/>
                  <w:vAlign w:val="center"/>
                </w:tcPr>
                <w:p w14:paraId="2DC8025B">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达标</w:t>
                  </w:r>
                </w:p>
              </w:tc>
            </w:tr>
            <w:tr w14:paraId="32C5414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57" w:hRule="atLeast"/>
              </w:trPr>
              <w:tc>
                <w:tcPr>
                  <w:tcW w:w="502" w:type="pct"/>
                  <w:vAlign w:val="center"/>
                </w:tcPr>
                <w:p w14:paraId="7C0A639A">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w:t>
                  </w:r>
                </w:p>
              </w:tc>
              <w:tc>
                <w:tcPr>
                  <w:tcW w:w="564" w:type="pct"/>
                  <w:vAlign w:val="center"/>
                </w:tcPr>
                <w:p w14:paraId="359C0A8D">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西厂界</w:t>
                  </w:r>
                </w:p>
              </w:tc>
              <w:tc>
                <w:tcPr>
                  <w:tcW w:w="656" w:type="pct"/>
                  <w:vAlign w:val="center"/>
                </w:tcPr>
                <w:p w14:paraId="3E4D8396">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w:t>
                  </w:r>
                  <w:r>
                    <w:rPr>
                      <w:rFonts w:hint="eastAsia"/>
                      <w:color w:val="000000" w:themeColor="text1"/>
                      <w:sz w:val="18"/>
                      <w:szCs w:val="18"/>
                      <w14:textFill>
                        <w14:solidFill>
                          <w14:schemeClr w14:val="tx1"/>
                        </w14:solidFill>
                      </w14:textFill>
                    </w:rPr>
                    <w:t>5</w:t>
                  </w:r>
                </w:p>
              </w:tc>
              <w:tc>
                <w:tcPr>
                  <w:tcW w:w="656" w:type="pct"/>
                  <w:vAlign w:val="center"/>
                </w:tcPr>
                <w:p w14:paraId="3EBDEC75">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37</w:t>
                  </w:r>
                  <w:r>
                    <w:rPr>
                      <w:color w:val="000000" w:themeColor="text1"/>
                      <w:sz w:val="18"/>
                      <w:szCs w:val="18"/>
                      <w14:textFill>
                        <w14:solidFill>
                          <w14:schemeClr w14:val="tx1"/>
                        </w14:solidFill>
                      </w14:textFill>
                    </w:rPr>
                    <w:t xml:space="preserve">.8 </w:t>
                  </w:r>
                </w:p>
              </w:tc>
              <w:tc>
                <w:tcPr>
                  <w:tcW w:w="656" w:type="pct"/>
                  <w:vAlign w:val="center"/>
                </w:tcPr>
                <w:p w14:paraId="17250B9D">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达标</w:t>
                  </w:r>
                </w:p>
              </w:tc>
              <w:tc>
                <w:tcPr>
                  <w:tcW w:w="656" w:type="pct"/>
                </w:tcPr>
                <w:p w14:paraId="033B47FA">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55</w:t>
                  </w:r>
                </w:p>
              </w:tc>
              <w:tc>
                <w:tcPr>
                  <w:tcW w:w="1783" w:type="dxa"/>
                  <w:vAlign w:val="center"/>
                </w:tcPr>
                <w:p w14:paraId="1444EF4E">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37</w:t>
                  </w:r>
                  <w:r>
                    <w:rPr>
                      <w:color w:val="000000" w:themeColor="text1"/>
                      <w:sz w:val="18"/>
                      <w:szCs w:val="18"/>
                      <w14:textFill>
                        <w14:solidFill>
                          <w14:schemeClr w14:val="tx1"/>
                        </w14:solidFill>
                      </w14:textFill>
                    </w:rPr>
                    <w:t xml:space="preserve">.8 </w:t>
                  </w:r>
                </w:p>
              </w:tc>
              <w:tc>
                <w:tcPr>
                  <w:tcW w:w="655" w:type="pct"/>
                  <w:vAlign w:val="center"/>
                </w:tcPr>
                <w:p w14:paraId="339D40A1">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达标</w:t>
                  </w:r>
                </w:p>
              </w:tc>
            </w:tr>
            <w:tr w14:paraId="6B0FCBA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57" w:hRule="atLeast"/>
              </w:trPr>
              <w:tc>
                <w:tcPr>
                  <w:tcW w:w="502" w:type="pct"/>
                  <w:vAlign w:val="center"/>
                </w:tcPr>
                <w:p w14:paraId="5466CE29">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4</w:t>
                  </w:r>
                </w:p>
              </w:tc>
              <w:tc>
                <w:tcPr>
                  <w:tcW w:w="564" w:type="pct"/>
                  <w:vAlign w:val="center"/>
                </w:tcPr>
                <w:p w14:paraId="06FFD4AA">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北厂界</w:t>
                  </w:r>
                </w:p>
              </w:tc>
              <w:tc>
                <w:tcPr>
                  <w:tcW w:w="656" w:type="pct"/>
                  <w:vAlign w:val="center"/>
                </w:tcPr>
                <w:p w14:paraId="1F8E221A">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6</w:t>
                  </w:r>
                  <w:r>
                    <w:rPr>
                      <w:rFonts w:hint="eastAsia"/>
                      <w:color w:val="000000" w:themeColor="text1"/>
                      <w:sz w:val="18"/>
                      <w:szCs w:val="18"/>
                      <w14:textFill>
                        <w14:solidFill>
                          <w14:schemeClr w14:val="tx1"/>
                        </w14:solidFill>
                      </w14:textFill>
                    </w:rPr>
                    <w:t>5</w:t>
                  </w:r>
                </w:p>
              </w:tc>
              <w:tc>
                <w:tcPr>
                  <w:tcW w:w="656" w:type="pct"/>
                  <w:vAlign w:val="center"/>
                </w:tcPr>
                <w:p w14:paraId="2ABEF698">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w:t>
                  </w:r>
                  <w:r>
                    <w:rPr>
                      <w:rFonts w:hint="eastAsia"/>
                      <w:color w:val="000000" w:themeColor="text1"/>
                      <w:sz w:val="18"/>
                      <w:szCs w:val="18"/>
                      <w:lang w:val="en-US" w:eastAsia="zh-CN"/>
                      <w14:textFill>
                        <w14:solidFill>
                          <w14:schemeClr w14:val="tx1"/>
                        </w14:solidFill>
                      </w14:textFill>
                    </w:rPr>
                    <w:t>8</w:t>
                  </w:r>
                  <w:r>
                    <w:rPr>
                      <w:color w:val="000000" w:themeColor="text1"/>
                      <w:sz w:val="18"/>
                      <w:szCs w:val="18"/>
                      <w14:textFill>
                        <w14:solidFill>
                          <w14:schemeClr w14:val="tx1"/>
                        </w14:solidFill>
                      </w14:textFill>
                    </w:rPr>
                    <w:t>.9</w:t>
                  </w:r>
                </w:p>
              </w:tc>
              <w:tc>
                <w:tcPr>
                  <w:tcW w:w="656" w:type="pct"/>
                  <w:vAlign w:val="center"/>
                </w:tcPr>
                <w:p w14:paraId="7B06F311">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达标</w:t>
                  </w:r>
                </w:p>
              </w:tc>
              <w:tc>
                <w:tcPr>
                  <w:tcW w:w="656" w:type="pct"/>
                </w:tcPr>
                <w:p w14:paraId="54A7C8D0">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55</w:t>
                  </w:r>
                </w:p>
              </w:tc>
              <w:tc>
                <w:tcPr>
                  <w:tcW w:w="1783" w:type="dxa"/>
                  <w:vAlign w:val="center"/>
                </w:tcPr>
                <w:p w14:paraId="43CFB44C">
                  <w:pPr>
                    <w:adjustRightInd w:val="0"/>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w:t>
                  </w:r>
                  <w:r>
                    <w:rPr>
                      <w:rFonts w:hint="eastAsia"/>
                      <w:color w:val="000000" w:themeColor="text1"/>
                      <w:sz w:val="18"/>
                      <w:szCs w:val="18"/>
                      <w:lang w:val="en-US" w:eastAsia="zh-CN"/>
                      <w14:textFill>
                        <w14:solidFill>
                          <w14:schemeClr w14:val="tx1"/>
                        </w14:solidFill>
                      </w14:textFill>
                    </w:rPr>
                    <w:t>8</w:t>
                  </w:r>
                  <w:r>
                    <w:rPr>
                      <w:color w:val="000000" w:themeColor="text1"/>
                      <w:sz w:val="18"/>
                      <w:szCs w:val="18"/>
                      <w14:textFill>
                        <w14:solidFill>
                          <w14:schemeClr w14:val="tx1"/>
                        </w14:solidFill>
                      </w14:textFill>
                    </w:rPr>
                    <w:t>.9</w:t>
                  </w:r>
                </w:p>
              </w:tc>
              <w:tc>
                <w:tcPr>
                  <w:tcW w:w="655" w:type="pct"/>
                  <w:vAlign w:val="center"/>
                </w:tcPr>
                <w:p w14:paraId="12448E32">
                  <w:pPr>
                    <w:adjustRightInd w:val="0"/>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达标</w:t>
                  </w:r>
                </w:p>
              </w:tc>
            </w:tr>
          </w:tbl>
          <w:p w14:paraId="5805E944">
            <w:pPr>
              <w:spacing w:line="360" w:lineRule="auto"/>
              <w:ind w:firstLine="480" w:firstLineChars="200"/>
              <w:jc w:val="left"/>
              <w:rPr>
                <w:b/>
                <w:color w:val="000000" w:themeColor="text1"/>
                <w:sz w:val="24"/>
                <w14:textFill>
                  <w14:solidFill>
                    <w14:schemeClr w14:val="tx1"/>
                  </w14:solidFill>
                </w14:textFill>
              </w:rPr>
            </w:pPr>
            <w:r>
              <w:rPr>
                <w:bCs/>
                <w:color w:val="000000" w:themeColor="text1"/>
                <w:sz w:val="24"/>
                <w14:textFill>
                  <w14:solidFill>
                    <w14:schemeClr w14:val="tx1"/>
                  </w14:solidFill>
                </w14:textFill>
              </w:rPr>
              <w:t>根据预测结果可知，建设项目使用生产设备通过消声减振、墙壁、围墙阻隔等措施之后，其噪声在厂区边界处能够达到《工业企业厂界环境噪声排放标准》（GB12348-2008）中</w:t>
            </w:r>
            <w:r>
              <w:rPr>
                <w:rFonts w:hint="eastAsia"/>
                <w:bCs/>
                <w:color w:val="000000" w:themeColor="text1"/>
                <w:sz w:val="24"/>
                <w14:textFill>
                  <w14:solidFill>
                    <w14:schemeClr w14:val="tx1"/>
                  </w14:solidFill>
                </w14:textFill>
              </w:rPr>
              <w:t>3</w:t>
            </w:r>
            <w:r>
              <w:rPr>
                <w:bCs/>
                <w:color w:val="000000" w:themeColor="text1"/>
                <w:sz w:val="24"/>
                <w14:textFill>
                  <w14:solidFill>
                    <w14:schemeClr w14:val="tx1"/>
                  </w14:solidFill>
                </w14:textFill>
              </w:rPr>
              <w:t>类标准要求，对周边环境无明显影响。</w:t>
            </w:r>
          </w:p>
          <w:p w14:paraId="75D2B6BB">
            <w:pPr>
              <w:spacing w:line="360" w:lineRule="auto"/>
              <w:ind w:firstLine="482" w:firstLineChars="200"/>
              <w:jc w:val="left"/>
              <w:rPr>
                <w:b/>
                <w:color w:val="000000" w:themeColor="text1"/>
                <w:sz w:val="24"/>
                <w14:textFill>
                  <w14:solidFill>
                    <w14:schemeClr w14:val="tx1"/>
                  </w14:solidFill>
                </w14:textFill>
              </w:rPr>
            </w:pPr>
            <w:r>
              <w:rPr>
                <w:b/>
                <w:color w:val="000000" w:themeColor="text1"/>
                <w:sz w:val="24"/>
                <w14:textFill>
                  <w14:solidFill>
                    <w14:schemeClr w14:val="tx1"/>
                  </w14:solidFill>
                </w14:textFill>
              </w:rPr>
              <w:t>3、环保措施</w:t>
            </w:r>
          </w:p>
          <w:p w14:paraId="2FB92CC1">
            <w:pPr>
              <w:spacing w:line="360" w:lineRule="auto"/>
              <w:ind w:firstLine="480" w:firstLineChars="200"/>
              <w:jc w:val="left"/>
              <w:rPr>
                <w:bCs/>
                <w:color w:val="000000" w:themeColor="text1"/>
                <w:sz w:val="24"/>
                <w14:textFill>
                  <w14:solidFill>
                    <w14:schemeClr w14:val="tx1"/>
                  </w14:solidFill>
                </w14:textFill>
              </w:rPr>
            </w:pPr>
            <w:r>
              <w:rPr>
                <w:bCs/>
                <w:color w:val="000000" w:themeColor="text1"/>
                <w:sz w:val="24"/>
                <w14:textFill>
                  <w14:solidFill>
                    <w14:schemeClr w14:val="tx1"/>
                  </w14:solidFill>
                </w14:textFill>
              </w:rPr>
              <w:t>本次评价建议建设单位采取以下措施：</w:t>
            </w:r>
          </w:p>
          <w:p w14:paraId="6DF6B5A9">
            <w:pPr>
              <w:spacing w:line="360" w:lineRule="auto"/>
              <w:ind w:firstLine="480" w:firstLineChars="200"/>
              <w:rPr>
                <w:bCs/>
                <w:color w:val="000000" w:themeColor="text1"/>
                <w:sz w:val="24"/>
                <w14:textFill>
                  <w14:solidFill>
                    <w14:schemeClr w14:val="tx1"/>
                  </w14:solidFill>
                </w14:textFill>
              </w:rPr>
            </w:pPr>
            <w:r>
              <w:rPr>
                <w:bCs/>
                <w:color w:val="000000" w:themeColor="text1"/>
                <w:sz w:val="24"/>
                <w14:textFill>
                  <w14:solidFill>
                    <w14:schemeClr w14:val="tx1"/>
                  </w14:solidFill>
                </w14:textFill>
              </w:rPr>
              <w:t>（1）采购时优先采购低噪设备，可使得噪声对周边环境的影响进一步减小。</w:t>
            </w:r>
          </w:p>
          <w:p w14:paraId="2CA41486">
            <w:pPr>
              <w:spacing w:line="360" w:lineRule="auto"/>
              <w:ind w:firstLine="480" w:firstLineChars="200"/>
              <w:rPr>
                <w:color w:val="000000" w:themeColor="text1"/>
                <w:kern w:val="21"/>
                <w:sz w:val="24"/>
                <w14:textFill>
                  <w14:solidFill>
                    <w14:schemeClr w14:val="tx1"/>
                  </w14:solidFill>
                </w14:textFill>
              </w:rPr>
            </w:pPr>
            <w:r>
              <w:rPr>
                <w:bCs/>
                <w:color w:val="000000" w:themeColor="text1"/>
                <w:sz w:val="24"/>
                <w14:textFill>
                  <w14:solidFill>
                    <w14:schemeClr w14:val="tx1"/>
                  </w14:solidFill>
                </w14:textFill>
              </w:rPr>
              <w:t>（2）采用基础减振措施，同时要对噪声设备的整体布局进行合理规划。</w:t>
            </w:r>
          </w:p>
          <w:p w14:paraId="2DB42389">
            <w:pPr>
              <w:spacing w:line="360" w:lineRule="auto"/>
              <w:ind w:firstLine="480" w:firstLineChars="200"/>
              <w:rPr>
                <w:rFonts w:hint="eastAsia" w:ascii="Times New Roman" w:hAnsi="Times New Roman" w:eastAsia="宋体" w:cs="Times New Roman"/>
                <w:color w:val="000000" w:themeColor="text1"/>
                <w:kern w:val="21"/>
                <w:sz w:val="24"/>
                <w:lang w:eastAsia="zh-CN"/>
                <w14:textFill>
                  <w14:solidFill>
                    <w14:schemeClr w14:val="tx1"/>
                  </w14:solidFill>
                </w14:textFill>
              </w:rPr>
            </w:pPr>
            <w:r>
              <w:rPr>
                <w:color w:val="000000" w:themeColor="text1"/>
                <w:kern w:val="21"/>
                <w:sz w:val="24"/>
                <w14:textFill>
                  <w14:solidFill>
                    <w14:schemeClr w14:val="tx1"/>
                  </w14:solidFill>
                </w14:textFill>
              </w:rPr>
              <w:t>（3）建议厂房墙壁材料应加厚，进一步加强隔声效果。</w:t>
            </w:r>
            <w:r>
              <w:rPr>
                <w:rFonts w:hint="eastAsia"/>
                <w:color w:val="000000" w:themeColor="text1"/>
                <w:kern w:val="21"/>
                <w:sz w:val="24"/>
                <w14:textFill>
                  <w14:solidFill>
                    <w14:schemeClr w14:val="tx1"/>
                  </w14:solidFill>
                </w14:textFill>
              </w:rPr>
              <w:t>主体采用钢筋混凝土框架结构，墙体为240mm厚实心砖，内墙面铺设5mm厚隔声岩棉+石膏板装饰（隔声量≥40dB(A)）；屋顶采用彩钢板+保温隔声层</w:t>
            </w:r>
            <w:r>
              <w:rPr>
                <w:rFonts w:hint="eastAsia"/>
                <w:color w:val="000000" w:themeColor="text1"/>
                <w:kern w:val="21"/>
                <w:sz w:val="24"/>
                <w:lang w:eastAsia="zh-CN"/>
                <w14:textFill>
                  <w14:solidFill>
                    <w14:schemeClr w14:val="tx1"/>
                  </w14:solidFill>
                </w14:textFill>
              </w:rPr>
              <w:t>。</w:t>
            </w:r>
          </w:p>
          <w:p w14:paraId="6BAC4EBF">
            <w:pPr>
              <w:spacing w:line="360" w:lineRule="auto"/>
              <w:ind w:firstLine="480" w:firstLineChars="200"/>
              <w:rPr>
                <w:rFonts w:hint="eastAsia" w:ascii="Times New Roman" w:hAnsi="Times New Roman" w:eastAsia="宋体" w:cs="Times New Roman"/>
                <w:color w:val="000000" w:themeColor="text1"/>
                <w:kern w:val="21"/>
                <w:sz w:val="24"/>
                <w:lang w:eastAsia="zh-CN"/>
                <w14:textFill>
                  <w14:solidFill>
                    <w14:schemeClr w14:val="tx1"/>
                  </w14:solidFill>
                </w14:textFill>
              </w:rPr>
            </w:pPr>
            <w:r>
              <w:rPr>
                <w:rFonts w:hint="eastAsia" w:ascii="Times New Roman" w:hAnsi="Times New Roman" w:eastAsia="宋体" w:cs="Times New Roman"/>
                <w:color w:val="000000" w:themeColor="text1"/>
                <w:kern w:val="21"/>
                <w:sz w:val="24"/>
                <w:lang w:eastAsia="zh-CN"/>
                <w14:textFill>
                  <w14:solidFill>
                    <w14:schemeClr w14:val="tx1"/>
                  </w14:solidFill>
                </w14:textFill>
              </w:rPr>
              <w:t>（</w:t>
            </w:r>
            <w:r>
              <w:rPr>
                <w:rFonts w:hint="eastAsia" w:ascii="Times New Roman" w:hAnsi="Times New Roman" w:eastAsia="宋体" w:cs="Times New Roman"/>
                <w:color w:val="000000" w:themeColor="text1"/>
                <w:kern w:val="21"/>
                <w:sz w:val="24"/>
                <w:lang w:val="en-US" w:eastAsia="zh-CN"/>
                <w14:textFill>
                  <w14:solidFill>
                    <w14:schemeClr w14:val="tx1"/>
                  </w14:solidFill>
                </w14:textFill>
              </w:rPr>
              <w:t>4</w:t>
            </w:r>
            <w:r>
              <w:rPr>
                <w:rFonts w:hint="eastAsia" w:ascii="Times New Roman" w:hAnsi="Times New Roman" w:eastAsia="宋体" w:cs="Times New Roman"/>
                <w:color w:val="000000" w:themeColor="text1"/>
                <w:kern w:val="21"/>
                <w:sz w:val="24"/>
                <w:lang w:eastAsia="zh-CN"/>
                <w14:textFill>
                  <w14:solidFill>
                    <w14:schemeClr w14:val="tx1"/>
                  </w14:solidFill>
                </w14:textFill>
              </w:rPr>
              <w:t>）设备集中布置于车间中部区域，其中上料机、颚式破碎机、反击破碎机等高强度噪声设备（声功率级80-90dB(A)）布置在车间内侧，远离东、南、西、北四面边界；送料机、装载机、空压机布置于车间中部偏北区域，距各边界距离5-65m，设备之间保持5-10m间距，避免噪声叠加增强。</w:t>
            </w:r>
          </w:p>
          <w:p w14:paraId="4EE6CC37">
            <w:pPr>
              <w:spacing w:line="360" w:lineRule="auto"/>
              <w:ind w:firstLine="480" w:firstLineChars="200"/>
              <w:rPr>
                <w:rFonts w:hint="eastAsia"/>
                <w:color w:val="000000" w:themeColor="text1"/>
                <w:lang w:eastAsia="zh-CN"/>
                <w14:textFill>
                  <w14:solidFill>
                    <w14:schemeClr w14:val="tx1"/>
                  </w14:solidFill>
                </w14:textFill>
              </w:rPr>
            </w:pPr>
            <w:r>
              <w:rPr>
                <w:rFonts w:hint="eastAsia" w:ascii="Times New Roman" w:hAnsi="Times New Roman" w:eastAsia="宋体" w:cs="Times New Roman"/>
                <w:color w:val="000000" w:themeColor="text1"/>
                <w:kern w:val="21"/>
                <w:sz w:val="24"/>
                <w:lang w:eastAsia="zh-CN"/>
                <w14:textFill>
                  <w14:solidFill>
                    <w14:schemeClr w14:val="tx1"/>
                  </w14:solidFill>
                </w14:textFill>
              </w:rPr>
              <w:t>（</w:t>
            </w:r>
            <w:r>
              <w:rPr>
                <w:rFonts w:hint="eastAsia" w:ascii="Times New Roman" w:hAnsi="Times New Roman" w:eastAsia="宋体" w:cs="Times New Roman"/>
                <w:color w:val="000000" w:themeColor="text1"/>
                <w:kern w:val="21"/>
                <w:sz w:val="24"/>
                <w:lang w:val="en-US" w:eastAsia="zh-CN"/>
                <w14:textFill>
                  <w14:solidFill>
                    <w14:schemeClr w14:val="tx1"/>
                  </w14:solidFill>
                </w14:textFill>
              </w:rPr>
              <w:t>5</w:t>
            </w:r>
            <w:r>
              <w:rPr>
                <w:rFonts w:hint="eastAsia" w:ascii="Times New Roman" w:hAnsi="Times New Roman" w:eastAsia="宋体" w:cs="Times New Roman"/>
                <w:color w:val="000000" w:themeColor="text1"/>
                <w:kern w:val="21"/>
                <w:sz w:val="24"/>
                <w:lang w:eastAsia="zh-CN"/>
                <w14:textFill>
                  <w14:solidFill>
                    <w14:schemeClr w14:val="tx1"/>
                  </w14:solidFill>
                </w14:textFill>
              </w:rPr>
              <w:t>）门窗是噪声传播的薄弱环节，其开闭状态直接影响建筑物插入损失，设置4扇双开钢制隔声门，8扇固定双层中空玻璃窗，日常运行时，门窗均处于关闭状态，仅在设备检修、通风换气时短暂开启，开启时间占比≤5%，对整体插入损失影响较小。</w:t>
            </w:r>
          </w:p>
          <w:p w14:paraId="72C403DA">
            <w:pPr>
              <w:spacing w:line="360" w:lineRule="auto"/>
              <w:ind w:firstLine="480" w:firstLineChars="200"/>
              <w:rPr>
                <w:bCs/>
                <w:color w:val="000000" w:themeColor="text1"/>
                <w:sz w:val="24"/>
                <w14:textFill>
                  <w14:solidFill>
                    <w14:schemeClr w14:val="tx1"/>
                  </w14:solidFill>
                </w14:textFill>
              </w:rPr>
            </w:pPr>
            <w:r>
              <w:rPr>
                <w:bCs/>
                <w:color w:val="000000" w:themeColor="text1"/>
                <w:sz w:val="24"/>
                <w14:textFill>
                  <w14:solidFill>
                    <w14:schemeClr w14:val="tx1"/>
                  </w14:solidFill>
                </w14:textFill>
              </w:rPr>
              <w:t>（</w:t>
            </w:r>
            <w:r>
              <w:rPr>
                <w:rFonts w:hint="eastAsia"/>
                <w:bCs/>
                <w:color w:val="000000" w:themeColor="text1"/>
                <w:sz w:val="24"/>
                <w:lang w:val="en-US" w:eastAsia="zh-CN"/>
                <w14:textFill>
                  <w14:solidFill>
                    <w14:schemeClr w14:val="tx1"/>
                  </w14:solidFill>
                </w14:textFill>
              </w:rPr>
              <w:t>6</w:t>
            </w:r>
            <w:r>
              <w:rPr>
                <w:bCs/>
                <w:color w:val="000000" w:themeColor="text1"/>
                <w:sz w:val="24"/>
                <w14:textFill>
                  <w14:solidFill>
                    <w14:schemeClr w14:val="tx1"/>
                  </w14:solidFill>
                </w14:textFill>
              </w:rPr>
              <w:t>）对高分贝设备</w:t>
            </w:r>
            <w:r>
              <w:rPr>
                <w:rFonts w:hint="eastAsia"/>
                <w:bCs/>
                <w:color w:val="000000" w:themeColor="text1"/>
                <w:sz w:val="24"/>
                <w14:textFill>
                  <w14:solidFill>
                    <w14:schemeClr w14:val="tx1"/>
                  </w14:solidFill>
                </w14:textFill>
              </w:rPr>
              <w:t>（空压机、反击破碎机等）</w:t>
            </w:r>
            <w:r>
              <w:rPr>
                <w:bCs/>
                <w:color w:val="000000" w:themeColor="text1"/>
                <w:sz w:val="24"/>
                <w14:textFill>
                  <w14:solidFill>
                    <w14:schemeClr w14:val="tx1"/>
                  </w14:solidFill>
                </w14:textFill>
              </w:rPr>
              <w:t>设置隔声罩、隔声房及隔声效果等量的其他设施，需保证隔声效果在25-30dB以上；</w:t>
            </w:r>
          </w:p>
          <w:p w14:paraId="64D4AE2A">
            <w:pPr>
              <w:spacing w:line="360" w:lineRule="auto"/>
              <w:ind w:firstLine="480" w:firstLineChars="200"/>
              <w:jc w:val="left"/>
              <w:rPr>
                <w:bCs/>
                <w:color w:val="000000" w:themeColor="text1"/>
                <w:sz w:val="24"/>
                <w14:textFill>
                  <w14:solidFill>
                    <w14:schemeClr w14:val="tx1"/>
                  </w14:solidFill>
                </w14:textFill>
              </w:rPr>
            </w:pPr>
            <w:r>
              <w:rPr>
                <w:bCs/>
                <w:color w:val="000000" w:themeColor="text1"/>
                <w:sz w:val="24"/>
                <w14:textFill>
                  <w14:solidFill>
                    <w14:schemeClr w14:val="tx1"/>
                  </w14:solidFill>
                </w14:textFill>
              </w:rPr>
              <w:t>（</w:t>
            </w:r>
            <w:r>
              <w:rPr>
                <w:rFonts w:hint="eastAsia"/>
                <w:bCs/>
                <w:color w:val="000000" w:themeColor="text1"/>
                <w:sz w:val="24"/>
                <w:lang w:val="en-US" w:eastAsia="zh-CN"/>
                <w14:textFill>
                  <w14:solidFill>
                    <w14:schemeClr w14:val="tx1"/>
                  </w14:solidFill>
                </w14:textFill>
              </w:rPr>
              <w:t>7</w:t>
            </w:r>
            <w:r>
              <w:rPr>
                <w:bCs/>
                <w:color w:val="000000" w:themeColor="text1"/>
                <w:sz w:val="24"/>
                <w14:textFill>
                  <w14:solidFill>
                    <w14:schemeClr w14:val="tx1"/>
                  </w14:solidFill>
                </w14:textFill>
              </w:rPr>
              <w:t>）合理规划使用时段，严禁在非正常生产时间内开启高分贝设备，并避免同时段开启全部高分贝设备的情况。</w:t>
            </w:r>
          </w:p>
          <w:p w14:paraId="4E2A77B8">
            <w:pPr>
              <w:spacing w:line="360" w:lineRule="auto"/>
              <w:ind w:firstLine="482" w:firstLineChars="200"/>
              <w:jc w:val="left"/>
              <w:rPr>
                <w:b/>
                <w:color w:val="000000" w:themeColor="text1"/>
                <w:sz w:val="24"/>
                <w14:textFill>
                  <w14:solidFill>
                    <w14:schemeClr w14:val="tx1"/>
                  </w14:solidFill>
                </w14:textFill>
              </w:rPr>
            </w:pPr>
            <w:r>
              <w:rPr>
                <w:b/>
                <w:color w:val="000000" w:themeColor="text1"/>
                <w:sz w:val="24"/>
                <w14:textFill>
                  <w14:solidFill>
                    <w14:schemeClr w14:val="tx1"/>
                  </w14:solidFill>
                </w14:textFill>
              </w:rPr>
              <w:t>4、监测计划</w:t>
            </w:r>
          </w:p>
          <w:p w14:paraId="4E3FAE5A">
            <w:pPr>
              <w:spacing w:line="360" w:lineRule="auto"/>
              <w:ind w:firstLine="480" w:firstLineChars="200"/>
              <w:jc w:val="left"/>
              <w:rPr>
                <w:bCs/>
                <w:color w:val="000000" w:themeColor="text1"/>
                <w:sz w:val="24"/>
                <w14:textFill>
                  <w14:solidFill>
                    <w14:schemeClr w14:val="tx1"/>
                  </w14:solidFill>
                </w14:textFill>
              </w:rPr>
            </w:pPr>
            <w:r>
              <w:rPr>
                <w:bCs/>
                <w:color w:val="000000" w:themeColor="text1"/>
                <w:sz w:val="24"/>
                <w14:textFill>
                  <w14:solidFill>
                    <w14:schemeClr w14:val="tx1"/>
                  </w14:solidFill>
                </w14:textFill>
              </w:rPr>
              <w:t>本项目在运营期中，应做好声环境的监测计划，</w:t>
            </w:r>
            <w:r>
              <w:rPr>
                <w:rFonts w:hint="eastAsia"/>
                <w:bCs/>
                <w:color w:val="000000" w:themeColor="text1"/>
                <w:sz w:val="24"/>
                <w14:textFill>
                  <w14:solidFill>
                    <w14:schemeClr w14:val="tx1"/>
                  </w14:solidFill>
                </w14:textFill>
              </w:rPr>
              <w:t>按照《排污许可证申请与核发技术规范 工业噪声》（HJ 1301—2023）</w:t>
            </w:r>
            <w:r>
              <w:rPr>
                <w:color w:val="000000" w:themeColor="text1"/>
                <w:kern w:val="18"/>
                <w:sz w:val="24"/>
                <w14:textFill>
                  <w14:solidFill>
                    <w14:schemeClr w14:val="tx1"/>
                  </w14:solidFill>
                </w14:textFill>
              </w:rPr>
              <w:t>，</w:t>
            </w:r>
            <w:r>
              <w:rPr>
                <w:bCs/>
                <w:color w:val="000000" w:themeColor="text1"/>
                <w:sz w:val="24"/>
                <w14:textFill>
                  <w14:solidFill>
                    <w14:schemeClr w14:val="tx1"/>
                  </w14:solidFill>
                </w14:textFill>
              </w:rPr>
              <w:t>监测频次为1次/季度，监测点位为四周厂界共4个点位，监测内容为dB(A)。</w:t>
            </w:r>
          </w:p>
          <w:p w14:paraId="7C108ABC">
            <w:pPr>
              <w:snapToGrid w:val="0"/>
              <w:jc w:val="center"/>
              <w:rPr>
                <w:b/>
                <w:bCs/>
                <w:color w:val="000000" w:themeColor="text1"/>
                <w:kern w:val="21"/>
                <w:sz w:val="24"/>
                <w14:textFill>
                  <w14:solidFill>
                    <w14:schemeClr w14:val="tx1"/>
                  </w14:solidFill>
                </w14:textFill>
              </w:rPr>
            </w:pPr>
            <w:r>
              <w:rPr>
                <w:b/>
                <w:color w:val="000000" w:themeColor="text1"/>
                <w:sz w:val="24"/>
                <w14:textFill>
                  <w14:solidFill>
                    <w14:schemeClr w14:val="tx1"/>
                  </w14:solidFill>
                </w14:textFill>
              </w:rPr>
              <w:t>表4-</w:t>
            </w:r>
            <w:r>
              <w:rPr>
                <w:rFonts w:hint="eastAsia"/>
                <w:b/>
                <w:color w:val="000000" w:themeColor="text1"/>
                <w:sz w:val="24"/>
                <w14:textFill>
                  <w14:solidFill>
                    <w14:schemeClr w14:val="tx1"/>
                  </w14:solidFill>
                </w14:textFill>
              </w:rPr>
              <w:t xml:space="preserve">17   </w:t>
            </w:r>
            <w:r>
              <w:rPr>
                <w:b/>
                <w:color w:val="000000" w:themeColor="text1"/>
                <w:sz w:val="24"/>
                <w14:textFill>
                  <w14:solidFill>
                    <w14:schemeClr w14:val="tx1"/>
                  </w14:solidFill>
                </w14:textFill>
              </w:rPr>
              <w:t>噪声监测计划一览表</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935"/>
              <w:gridCol w:w="1306"/>
              <w:gridCol w:w="2561"/>
              <w:gridCol w:w="7807"/>
            </w:tblGrid>
            <w:tr w14:paraId="6B03067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711" w:type="pct"/>
                  <w:vAlign w:val="center"/>
                </w:tcPr>
                <w:p w14:paraId="21A7388C">
                  <w:pPr>
                    <w:snapToGrid w:val="0"/>
                    <w:spacing w:line="240" w:lineRule="atLeast"/>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监测点位</w:t>
                  </w:r>
                </w:p>
              </w:tc>
              <w:tc>
                <w:tcPr>
                  <w:tcW w:w="480" w:type="pct"/>
                  <w:vAlign w:val="center"/>
                </w:tcPr>
                <w:p w14:paraId="27311C37">
                  <w:pPr>
                    <w:snapToGrid w:val="0"/>
                    <w:spacing w:line="240" w:lineRule="atLeast"/>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监测指标</w:t>
                  </w:r>
                </w:p>
              </w:tc>
              <w:tc>
                <w:tcPr>
                  <w:tcW w:w="941" w:type="pct"/>
                  <w:vAlign w:val="center"/>
                </w:tcPr>
                <w:p w14:paraId="22143D27">
                  <w:pPr>
                    <w:snapToGrid w:val="0"/>
                    <w:spacing w:line="240" w:lineRule="atLeast"/>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监测频次</w:t>
                  </w:r>
                </w:p>
              </w:tc>
              <w:tc>
                <w:tcPr>
                  <w:tcW w:w="2868" w:type="pct"/>
                  <w:vAlign w:val="center"/>
                </w:tcPr>
                <w:p w14:paraId="7D7ACC78">
                  <w:pPr>
                    <w:snapToGrid w:val="0"/>
                    <w:spacing w:line="240" w:lineRule="atLeast"/>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执行排放标准</w:t>
                  </w:r>
                </w:p>
              </w:tc>
            </w:tr>
            <w:tr w14:paraId="4AA7279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jc w:val="center"/>
              </w:trPr>
              <w:tc>
                <w:tcPr>
                  <w:tcW w:w="711" w:type="pct"/>
                  <w:vAlign w:val="center"/>
                </w:tcPr>
                <w:p w14:paraId="6E1CBCA7">
                  <w:pPr>
                    <w:snapToGrid w:val="0"/>
                    <w:spacing w:line="240" w:lineRule="atLeast"/>
                    <w:jc w:val="center"/>
                    <w:rPr>
                      <w:rFonts w:eastAsia="新宋体"/>
                      <w:b/>
                      <w:bCs/>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四周厂界外1m</w:t>
                  </w:r>
                </w:p>
              </w:tc>
              <w:tc>
                <w:tcPr>
                  <w:tcW w:w="480" w:type="pct"/>
                  <w:vAlign w:val="center"/>
                </w:tcPr>
                <w:p w14:paraId="5F7E4B60">
                  <w:pPr>
                    <w:snapToGrid w:val="0"/>
                    <w:spacing w:line="240" w:lineRule="atLeast"/>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噪声</w:t>
                  </w:r>
                </w:p>
              </w:tc>
              <w:tc>
                <w:tcPr>
                  <w:tcW w:w="941" w:type="pct"/>
                  <w:vAlign w:val="center"/>
                </w:tcPr>
                <w:p w14:paraId="0B1E93B2">
                  <w:pPr>
                    <w:snapToGrid w:val="0"/>
                    <w:spacing w:line="240" w:lineRule="atLeast"/>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1次/季度，昼</w:t>
                  </w:r>
                  <w:r>
                    <w:rPr>
                      <w:rFonts w:hint="eastAsia" w:eastAsia="新宋体"/>
                      <w:color w:val="000000" w:themeColor="text1"/>
                      <w:sz w:val="18"/>
                      <w:szCs w:val="18"/>
                      <w14:textFill>
                        <w14:solidFill>
                          <w14:schemeClr w14:val="tx1"/>
                        </w14:solidFill>
                      </w14:textFill>
                    </w:rPr>
                    <w:t>间</w:t>
                  </w:r>
                  <w:r>
                    <w:rPr>
                      <w:rFonts w:eastAsia="新宋体"/>
                      <w:color w:val="000000" w:themeColor="text1"/>
                      <w:sz w:val="18"/>
                      <w:szCs w:val="18"/>
                      <w14:textFill>
                        <w14:solidFill>
                          <w14:schemeClr w14:val="tx1"/>
                        </w14:solidFill>
                      </w14:textFill>
                    </w:rPr>
                    <w:t>1次</w:t>
                  </w:r>
                </w:p>
              </w:tc>
              <w:tc>
                <w:tcPr>
                  <w:tcW w:w="2868" w:type="pct"/>
                  <w:vAlign w:val="center"/>
                </w:tcPr>
                <w:p w14:paraId="2F14C3C5">
                  <w:pPr>
                    <w:snapToGrid w:val="0"/>
                    <w:spacing w:line="240" w:lineRule="atLeast"/>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执行《工业企业厂界环境噪声排放标准》（GB12348-2008）</w:t>
                  </w:r>
                  <w:r>
                    <w:rPr>
                      <w:rFonts w:hint="eastAsia" w:eastAsia="新宋体"/>
                      <w:color w:val="000000" w:themeColor="text1"/>
                      <w:sz w:val="18"/>
                      <w:szCs w:val="18"/>
                      <w14:textFill>
                        <w14:solidFill>
                          <w14:schemeClr w14:val="tx1"/>
                        </w14:solidFill>
                      </w14:textFill>
                    </w:rPr>
                    <w:t>3</w:t>
                  </w:r>
                  <w:r>
                    <w:rPr>
                      <w:rFonts w:eastAsia="新宋体"/>
                      <w:color w:val="000000" w:themeColor="text1"/>
                      <w:sz w:val="18"/>
                      <w:szCs w:val="18"/>
                      <w14:textFill>
                        <w14:solidFill>
                          <w14:schemeClr w14:val="tx1"/>
                        </w14:solidFill>
                      </w14:textFill>
                    </w:rPr>
                    <w:t>类标准</w:t>
                  </w:r>
                </w:p>
              </w:tc>
            </w:tr>
          </w:tbl>
          <w:p w14:paraId="09A5DF10">
            <w:pPr>
              <w:snapToGrid w:val="0"/>
              <w:spacing w:line="360" w:lineRule="auto"/>
              <w:ind w:firstLine="482" w:firstLineChars="200"/>
              <w:rPr>
                <w:b/>
                <w:color w:val="000000" w:themeColor="text1"/>
                <w:sz w:val="24"/>
                <w14:textFill>
                  <w14:solidFill>
                    <w14:schemeClr w14:val="tx1"/>
                  </w14:solidFill>
                </w14:textFill>
              </w:rPr>
            </w:pPr>
            <w:r>
              <w:rPr>
                <w:b/>
                <w:color w:val="000000" w:themeColor="text1"/>
                <w:sz w:val="24"/>
                <w14:textFill>
                  <w14:solidFill>
                    <w14:schemeClr w14:val="tx1"/>
                  </w14:solidFill>
                </w14:textFill>
              </w:rPr>
              <w:t>四、运营期固体废物环境影响和保护措施</w:t>
            </w:r>
          </w:p>
          <w:p w14:paraId="3B6B262E">
            <w:pPr>
              <w:spacing w:line="336" w:lineRule="auto"/>
              <w:ind w:firstLine="482" w:firstLineChars="200"/>
              <w:rPr>
                <w:b/>
                <w:bCs/>
                <w:color w:val="000000" w:themeColor="text1"/>
                <w:kern w:val="0"/>
                <w:sz w:val="24"/>
                <w14:textFill>
                  <w14:solidFill>
                    <w14:schemeClr w14:val="tx1"/>
                  </w14:solidFill>
                </w14:textFill>
              </w:rPr>
            </w:pPr>
            <w:r>
              <w:rPr>
                <w:b/>
                <w:bCs/>
                <w:color w:val="000000" w:themeColor="text1"/>
                <w:kern w:val="0"/>
                <w:sz w:val="24"/>
                <w14:textFill>
                  <w14:solidFill>
                    <w14:schemeClr w14:val="tx1"/>
                  </w14:solidFill>
                </w14:textFill>
              </w:rPr>
              <w:t>1、固体废物产生环节、名称、属性、产排量、处置去向等情况</w:t>
            </w:r>
          </w:p>
          <w:p w14:paraId="18A4837D">
            <w:pPr>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表4-</w:t>
            </w:r>
            <w:r>
              <w:rPr>
                <w:rFonts w:hint="eastAsia"/>
                <w:b/>
                <w:bCs/>
                <w:color w:val="000000" w:themeColor="text1"/>
                <w:sz w:val="24"/>
                <w14:textFill>
                  <w14:solidFill>
                    <w14:schemeClr w14:val="tx1"/>
                  </w14:solidFill>
                </w14:textFill>
              </w:rPr>
              <w:t>18</w:t>
            </w:r>
            <w:r>
              <w:rPr>
                <w:b/>
                <w:bCs/>
                <w:color w:val="000000" w:themeColor="text1"/>
                <w:sz w:val="24"/>
                <w14:textFill>
                  <w14:solidFill>
                    <w14:schemeClr w14:val="tx1"/>
                  </w14:solidFill>
                </w14:textFill>
              </w:rPr>
              <w:t xml:space="preserve">   固体废物产生与处置情况一览表</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353"/>
              <w:gridCol w:w="961"/>
              <w:gridCol w:w="876"/>
              <w:gridCol w:w="1282"/>
              <w:gridCol w:w="991"/>
              <w:gridCol w:w="1062"/>
              <w:gridCol w:w="1094"/>
              <w:gridCol w:w="917"/>
              <w:gridCol w:w="917"/>
              <w:gridCol w:w="1494"/>
              <w:gridCol w:w="2662"/>
            </w:tblGrid>
            <w:tr w14:paraId="307B8C7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51" w:hRule="atLeast"/>
              </w:trPr>
              <w:tc>
                <w:tcPr>
                  <w:tcW w:w="497" w:type="pct"/>
                  <w:vAlign w:val="center"/>
                </w:tcPr>
                <w:p w14:paraId="7A54FE8A">
                  <w:pPr>
                    <w:widowControl/>
                    <w:jc w:val="center"/>
                    <w:rPr>
                      <w:color w:val="000000" w:themeColor="text1"/>
                      <w:sz w:val="18"/>
                      <w:szCs w:val="18"/>
                      <w14:textFill>
                        <w14:solidFill>
                          <w14:schemeClr w14:val="tx1"/>
                        </w14:solidFill>
                      </w14:textFill>
                    </w:rPr>
                  </w:pPr>
                  <w:bookmarkStart w:id="57" w:name="_Hlk70712772"/>
                  <w:r>
                    <w:rPr>
                      <w:color w:val="000000" w:themeColor="text1"/>
                      <w:sz w:val="18"/>
                      <w:szCs w:val="18"/>
                      <w14:textFill>
                        <w14:solidFill>
                          <w14:schemeClr w14:val="tx1"/>
                        </w14:solidFill>
                      </w14:textFill>
                    </w:rPr>
                    <w:t>固废种类</w:t>
                  </w:r>
                </w:p>
              </w:tc>
              <w:tc>
                <w:tcPr>
                  <w:tcW w:w="353" w:type="pct"/>
                  <w:tcBorders>
                    <w:bottom w:val="single" w:color="auto" w:sz="4" w:space="0"/>
                  </w:tcBorders>
                  <w:vAlign w:val="center"/>
                </w:tcPr>
                <w:p w14:paraId="29B5F3D0">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产生环节</w:t>
                  </w:r>
                </w:p>
              </w:tc>
              <w:tc>
                <w:tcPr>
                  <w:tcW w:w="322" w:type="pct"/>
                  <w:tcBorders>
                    <w:bottom w:val="single" w:color="auto" w:sz="4" w:space="0"/>
                  </w:tcBorders>
                  <w:vAlign w:val="center"/>
                </w:tcPr>
                <w:p w14:paraId="445739D2">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属性</w:t>
                  </w:r>
                </w:p>
              </w:tc>
              <w:tc>
                <w:tcPr>
                  <w:tcW w:w="471" w:type="pct"/>
                  <w:vAlign w:val="center"/>
                </w:tcPr>
                <w:p w14:paraId="6151FD29">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类别及代码</w:t>
                  </w:r>
                </w:p>
              </w:tc>
              <w:tc>
                <w:tcPr>
                  <w:tcW w:w="364" w:type="pct"/>
                  <w:vAlign w:val="center"/>
                </w:tcPr>
                <w:p w14:paraId="2169FFDD">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产生量(t/a)</w:t>
                  </w:r>
                </w:p>
              </w:tc>
              <w:tc>
                <w:tcPr>
                  <w:tcW w:w="390" w:type="pct"/>
                  <w:vAlign w:val="center"/>
                </w:tcPr>
                <w:p w14:paraId="7A897F53">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主要有毒有害物质名称</w:t>
                  </w:r>
                </w:p>
              </w:tc>
              <w:tc>
                <w:tcPr>
                  <w:tcW w:w="402" w:type="pct"/>
                  <w:vAlign w:val="center"/>
                </w:tcPr>
                <w:p w14:paraId="07E67C48">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物理性状</w:t>
                  </w:r>
                </w:p>
              </w:tc>
              <w:tc>
                <w:tcPr>
                  <w:tcW w:w="337" w:type="pct"/>
                  <w:vAlign w:val="center"/>
                </w:tcPr>
                <w:p w14:paraId="303A83A4">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环境危险特性</w:t>
                  </w:r>
                </w:p>
              </w:tc>
              <w:tc>
                <w:tcPr>
                  <w:tcW w:w="337" w:type="pct"/>
                  <w:vAlign w:val="center"/>
                </w:tcPr>
                <w:p w14:paraId="4FD8E7DE">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贮存方式</w:t>
                  </w:r>
                </w:p>
              </w:tc>
              <w:tc>
                <w:tcPr>
                  <w:tcW w:w="549" w:type="pct"/>
                  <w:vAlign w:val="center"/>
                </w:tcPr>
                <w:p w14:paraId="4F441FD1">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处置量(t/a)</w:t>
                  </w:r>
                </w:p>
              </w:tc>
              <w:tc>
                <w:tcPr>
                  <w:tcW w:w="978" w:type="pct"/>
                  <w:vAlign w:val="center"/>
                </w:tcPr>
                <w:p w14:paraId="03856B8C">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处置方式和去向</w:t>
                  </w:r>
                </w:p>
              </w:tc>
            </w:tr>
            <w:tr w14:paraId="769EA2D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97" w:type="pct"/>
                  <w:vAlign w:val="center"/>
                </w:tcPr>
                <w:p w14:paraId="0EC76F78">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压滤泥渣</w:t>
                  </w:r>
                </w:p>
              </w:tc>
              <w:tc>
                <w:tcPr>
                  <w:tcW w:w="353" w:type="pct"/>
                  <w:vAlign w:val="center"/>
                </w:tcPr>
                <w:p w14:paraId="140C0CB6">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废水处理</w:t>
                  </w:r>
                </w:p>
              </w:tc>
              <w:tc>
                <w:tcPr>
                  <w:tcW w:w="322" w:type="pct"/>
                  <w:vMerge w:val="restart"/>
                  <w:vAlign w:val="center"/>
                </w:tcPr>
                <w:p w14:paraId="2D506BD9">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一般</w:t>
                  </w:r>
                </w:p>
                <w:p w14:paraId="0146337C">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固废</w:t>
                  </w:r>
                </w:p>
              </w:tc>
              <w:tc>
                <w:tcPr>
                  <w:tcW w:w="471" w:type="pct"/>
                  <w:vAlign w:val="center"/>
                </w:tcPr>
                <w:p w14:paraId="7D31D2BE">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900-099-S07</w:t>
                  </w:r>
                </w:p>
              </w:tc>
              <w:tc>
                <w:tcPr>
                  <w:tcW w:w="364" w:type="pct"/>
                  <w:vAlign w:val="center"/>
                </w:tcPr>
                <w:p w14:paraId="7B6EB3CA">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17988.263</w:t>
                  </w:r>
                </w:p>
              </w:tc>
              <w:tc>
                <w:tcPr>
                  <w:tcW w:w="390" w:type="pct"/>
                  <w:vAlign w:val="center"/>
                </w:tcPr>
                <w:p w14:paraId="60F43FFF">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402" w:type="pct"/>
                  <w:vAlign w:val="center"/>
                </w:tcPr>
                <w:p w14:paraId="1547FDF8">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固态</w:t>
                  </w:r>
                </w:p>
              </w:tc>
              <w:tc>
                <w:tcPr>
                  <w:tcW w:w="337" w:type="pct"/>
                  <w:vAlign w:val="center"/>
                </w:tcPr>
                <w:p w14:paraId="05E6CEE4">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337" w:type="pct"/>
                  <w:vMerge w:val="restart"/>
                  <w:vAlign w:val="center"/>
                </w:tcPr>
                <w:p w14:paraId="029BB25C">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一般固废暂存库</w:t>
                  </w:r>
                </w:p>
              </w:tc>
              <w:tc>
                <w:tcPr>
                  <w:tcW w:w="549" w:type="pct"/>
                  <w:vAlign w:val="center"/>
                </w:tcPr>
                <w:p w14:paraId="2A16295F">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17988.263</w:t>
                  </w:r>
                </w:p>
              </w:tc>
              <w:tc>
                <w:tcPr>
                  <w:tcW w:w="978" w:type="pct"/>
                  <w:vAlign w:val="center"/>
                </w:tcPr>
                <w:p w14:paraId="2F3DF2F6">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统一收集后</w:t>
                  </w:r>
                  <w:r>
                    <w:rPr>
                      <w:rFonts w:hint="eastAsia"/>
                      <w:color w:val="000000" w:themeColor="text1"/>
                      <w:sz w:val="18"/>
                      <w:szCs w:val="18"/>
                      <w14:textFill>
                        <w14:solidFill>
                          <w14:schemeClr w14:val="tx1"/>
                        </w14:solidFill>
                      </w14:textFill>
                    </w:rPr>
                    <w:t>综合</w:t>
                  </w:r>
                  <w:r>
                    <w:rPr>
                      <w:color w:val="000000" w:themeColor="text1"/>
                      <w:sz w:val="18"/>
                      <w:szCs w:val="18"/>
                      <w14:textFill>
                        <w14:solidFill>
                          <w14:schemeClr w14:val="tx1"/>
                        </w14:solidFill>
                      </w14:textFill>
                    </w:rPr>
                    <w:t>外售</w:t>
                  </w:r>
                  <w:r>
                    <w:rPr>
                      <w:rFonts w:hint="eastAsia"/>
                      <w:color w:val="000000" w:themeColor="text1"/>
                      <w:sz w:val="18"/>
                      <w:szCs w:val="18"/>
                      <w14:textFill>
                        <w14:solidFill>
                          <w14:schemeClr w14:val="tx1"/>
                        </w14:solidFill>
                      </w14:textFill>
                    </w:rPr>
                    <w:t>处理</w:t>
                  </w:r>
                </w:p>
              </w:tc>
            </w:tr>
            <w:tr w14:paraId="7C29D78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78" w:hRule="atLeast"/>
              </w:trPr>
              <w:tc>
                <w:tcPr>
                  <w:tcW w:w="497" w:type="pct"/>
                  <w:vAlign w:val="center"/>
                </w:tcPr>
                <w:p w14:paraId="3EDA7D15">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废布袋</w:t>
                  </w:r>
                </w:p>
              </w:tc>
              <w:tc>
                <w:tcPr>
                  <w:tcW w:w="353" w:type="pct"/>
                  <w:vAlign w:val="center"/>
                </w:tcPr>
                <w:p w14:paraId="5EFD5A15">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环保设施</w:t>
                  </w:r>
                </w:p>
              </w:tc>
              <w:tc>
                <w:tcPr>
                  <w:tcW w:w="322" w:type="pct"/>
                  <w:vMerge w:val="continue"/>
                  <w:vAlign w:val="center"/>
                </w:tcPr>
                <w:p w14:paraId="3875AE19">
                  <w:pPr>
                    <w:widowControl/>
                    <w:jc w:val="center"/>
                    <w:rPr>
                      <w:color w:val="000000" w:themeColor="text1"/>
                      <w:sz w:val="18"/>
                      <w:szCs w:val="18"/>
                      <w14:textFill>
                        <w14:solidFill>
                          <w14:schemeClr w14:val="tx1"/>
                        </w14:solidFill>
                      </w14:textFill>
                    </w:rPr>
                  </w:pPr>
                </w:p>
              </w:tc>
              <w:tc>
                <w:tcPr>
                  <w:tcW w:w="471" w:type="pct"/>
                  <w:vAlign w:val="center"/>
                </w:tcPr>
                <w:p w14:paraId="15A4C017">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900-099-S17</w:t>
                  </w:r>
                </w:p>
              </w:tc>
              <w:tc>
                <w:tcPr>
                  <w:tcW w:w="364" w:type="pct"/>
                  <w:vAlign w:val="center"/>
                </w:tcPr>
                <w:p w14:paraId="6C69DF03">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0.016</w:t>
                  </w:r>
                </w:p>
              </w:tc>
              <w:tc>
                <w:tcPr>
                  <w:tcW w:w="390" w:type="pct"/>
                  <w:vAlign w:val="center"/>
                </w:tcPr>
                <w:p w14:paraId="349D59D2">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402" w:type="pct"/>
                  <w:vAlign w:val="center"/>
                </w:tcPr>
                <w:p w14:paraId="138B9E24">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固态</w:t>
                  </w:r>
                </w:p>
              </w:tc>
              <w:tc>
                <w:tcPr>
                  <w:tcW w:w="337" w:type="pct"/>
                  <w:vAlign w:val="center"/>
                </w:tcPr>
                <w:p w14:paraId="6E3E7E2D">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337" w:type="pct"/>
                  <w:vMerge w:val="continue"/>
                  <w:vAlign w:val="center"/>
                </w:tcPr>
                <w:p w14:paraId="6E7B7FE7">
                  <w:pPr>
                    <w:widowControl/>
                    <w:jc w:val="center"/>
                    <w:rPr>
                      <w:color w:val="000000" w:themeColor="text1"/>
                      <w:sz w:val="18"/>
                      <w:szCs w:val="18"/>
                      <w14:textFill>
                        <w14:solidFill>
                          <w14:schemeClr w14:val="tx1"/>
                        </w14:solidFill>
                      </w14:textFill>
                    </w:rPr>
                  </w:pPr>
                </w:p>
              </w:tc>
              <w:tc>
                <w:tcPr>
                  <w:tcW w:w="549" w:type="pct"/>
                  <w:vAlign w:val="center"/>
                </w:tcPr>
                <w:p w14:paraId="12E6AEFE">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0.016</w:t>
                  </w:r>
                </w:p>
              </w:tc>
              <w:tc>
                <w:tcPr>
                  <w:tcW w:w="978" w:type="pct"/>
                  <w:vAlign w:val="center"/>
                </w:tcPr>
                <w:p w14:paraId="36D3F34E">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统一收集后</w:t>
                  </w:r>
                  <w:r>
                    <w:rPr>
                      <w:rFonts w:hint="eastAsia"/>
                      <w:color w:val="000000" w:themeColor="text1"/>
                      <w:sz w:val="18"/>
                      <w:szCs w:val="18"/>
                      <w14:textFill>
                        <w14:solidFill>
                          <w14:schemeClr w14:val="tx1"/>
                        </w14:solidFill>
                      </w14:textFill>
                    </w:rPr>
                    <w:t>综合</w:t>
                  </w:r>
                  <w:r>
                    <w:rPr>
                      <w:color w:val="000000" w:themeColor="text1"/>
                      <w:sz w:val="18"/>
                      <w:szCs w:val="18"/>
                      <w14:textFill>
                        <w14:solidFill>
                          <w14:schemeClr w14:val="tx1"/>
                        </w14:solidFill>
                      </w14:textFill>
                    </w:rPr>
                    <w:t>外售</w:t>
                  </w:r>
                  <w:r>
                    <w:rPr>
                      <w:rFonts w:hint="eastAsia"/>
                      <w:color w:val="000000" w:themeColor="text1"/>
                      <w:sz w:val="18"/>
                      <w:szCs w:val="18"/>
                      <w14:textFill>
                        <w14:solidFill>
                          <w14:schemeClr w14:val="tx1"/>
                        </w14:solidFill>
                      </w14:textFill>
                    </w:rPr>
                    <w:t>处理</w:t>
                  </w:r>
                </w:p>
              </w:tc>
            </w:tr>
            <w:tr w14:paraId="5117206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78" w:hRule="atLeast"/>
              </w:trPr>
              <w:tc>
                <w:tcPr>
                  <w:tcW w:w="497" w:type="pct"/>
                  <w:vAlign w:val="center"/>
                </w:tcPr>
                <w:p w14:paraId="6C3ED206">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废含油抹布及劳保用品</w:t>
                  </w:r>
                </w:p>
              </w:tc>
              <w:tc>
                <w:tcPr>
                  <w:tcW w:w="353" w:type="pct"/>
                  <w:vAlign w:val="center"/>
                </w:tcPr>
                <w:p w14:paraId="410C2AFD">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设备保养</w:t>
                  </w:r>
                </w:p>
              </w:tc>
              <w:tc>
                <w:tcPr>
                  <w:tcW w:w="322" w:type="pct"/>
                  <w:vMerge w:val="restart"/>
                  <w:tcBorders>
                    <w:top w:val="single" w:color="auto" w:sz="4" w:space="0"/>
                  </w:tcBorders>
                  <w:vAlign w:val="center"/>
                </w:tcPr>
                <w:p w14:paraId="0AD9FAAA">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危险</w:t>
                  </w:r>
                </w:p>
                <w:p w14:paraId="6771FB8F">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废物</w:t>
                  </w:r>
                </w:p>
              </w:tc>
              <w:tc>
                <w:tcPr>
                  <w:tcW w:w="471" w:type="pct"/>
                  <w:vAlign w:val="center"/>
                </w:tcPr>
                <w:p w14:paraId="1ACC98CF">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HW49</w:t>
                  </w:r>
                  <w:r>
                    <w:rPr>
                      <w:rFonts w:hint="eastAsia"/>
                      <w:color w:val="000000" w:themeColor="text1"/>
                      <w:sz w:val="18"/>
                      <w:szCs w:val="18"/>
                      <w14:textFill>
                        <w14:solidFill>
                          <w14:schemeClr w14:val="tx1"/>
                        </w14:solidFill>
                      </w14:textFill>
                    </w:rPr>
                    <w:t>；</w:t>
                  </w:r>
                  <w:r>
                    <w:rPr>
                      <w:color w:val="000000" w:themeColor="text1"/>
                      <w:sz w:val="18"/>
                      <w:szCs w:val="18"/>
                      <w14:textFill>
                        <w14:solidFill>
                          <w14:schemeClr w14:val="tx1"/>
                        </w14:solidFill>
                      </w14:textFill>
                    </w:rPr>
                    <w:t>900-041-49</w:t>
                  </w:r>
                </w:p>
              </w:tc>
              <w:tc>
                <w:tcPr>
                  <w:tcW w:w="364" w:type="pct"/>
                  <w:vAlign w:val="center"/>
                </w:tcPr>
                <w:p w14:paraId="360EFA57">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w:t>
                  </w:r>
                  <w:r>
                    <w:rPr>
                      <w:color w:val="000000" w:themeColor="text1"/>
                      <w:sz w:val="18"/>
                      <w:szCs w:val="18"/>
                      <w14:textFill>
                        <w14:solidFill>
                          <w14:schemeClr w14:val="tx1"/>
                        </w14:solidFill>
                      </w14:textFill>
                    </w:rPr>
                    <w:t>.2</w:t>
                  </w:r>
                </w:p>
              </w:tc>
              <w:tc>
                <w:tcPr>
                  <w:tcW w:w="390" w:type="pct"/>
                  <w:vAlign w:val="center"/>
                </w:tcPr>
                <w:p w14:paraId="77A6BDD5">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机油</w:t>
                  </w:r>
                </w:p>
              </w:tc>
              <w:tc>
                <w:tcPr>
                  <w:tcW w:w="402" w:type="pct"/>
                  <w:vAlign w:val="center"/>
                </w:tcPr>
                <w:p w14:paraId="52CD999A">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固态</w:t>
                  </w:r>
                </w:p>
              </w:tc>
              <w:tc>
                <w:tcPr>
                  <w:tcW w:w="337" w:type="pct"/>
                  <w:vAlign w:val="center"/>
                </w:tcPr>
                <w:p w14:paraId="348A8149">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T,I</w:t>
                  </w:r>
                </w:p>
              </w:tc>
              <w:tc>
                <w:tcPr>
                  <w:tcW w:w="337" w:type="pct"/>
                  <w:vMerge w:val="restart"/>
                  <w:vAlign w:val="center"/>
                </w:tcPr>
                <w:p w14:paraId="408EAD47">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危废暂存库</w:t>
                  </w:r>
                </w:p>
              </w:tc>
              <w:tc>
                <w:tcPr>
                  <w:tcW w:w="549" w:type="pct"/>
                  <w:vAlign w:val="center"/>
                </w:tcPr>
                <w:p w14:paraId="3C9A5BE1">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w:t>
                  </w:r>
                  <w:r>
                    <w:rPr>
                      <w:color w:val="000000" w:themeColor="text1"/>
                      <w:sz w:val="18"/>
                      <w:szCs w:val="18"/>
                      <w14:textFill>
                        <w14:solidFill>
                          <w14:schemeClr w14:val="tx1"/>
                        </w14:solidFill>
                      </w14:textFill>
                    </w:rPr>
                    <w:t>.2</w:t>
                  </w:r>
                </w:p>
              </w:tc>
              <w:tc>
                <w:tcPr>
                  <w:tcW w:w="978" w:type="pct"/>
                  <w:vAlign w:val="center"/>
                </w:tcPr>
                <w:p w14:paraId="08C38D79">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交由有资质的单位处置</w:t>
                  </w:r>
                </w:p>
              </w:tc>
            </w:tr>
            <w:tr w14:paraId="41D2C78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78" w:hRule="atLeast"/>
              </w:trPr>
              <w:tc>
                <w:tcPr>
                  <w:tcW w:w="497" w:type="pct"/>
                  <w:vAlign w:val="center"/>
                </w:tcPr>
                <w:p w14:paraId="7F436AF4">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废机油桶</w:t>
                  </w:r>
                </w:p>
              </w:tc>
              <w:tc>
                <w:tcPr>
                  <w:tcW w:w="353" w:type="pct"/>
                  <w:vAlign w:val="center"/>
                </w:tcPr>
                <w:p w14:paraId="586B1AC9">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设备保养</w:t>
                  </w:r>
                </w:p>
              </w:tc>
              <w:tc>
                <w:tcPr>
                  <w:tcW w:w="322" w:type="pct"/>
                  <w:vMerge w:val="continue"/>
                  <w:vAlign w:val="center"/>
                </w:tcPr>
                <w:p w14:paraId="1FEF6C82">
                  <w:pPr>
                    <w:widowControl/>
                    <w:jc w:val="center"/>
                    <w:rPr>
                      <w:color w:val="000000" w:themeColor="text1"/>
                      <w:sz w:val="18"/>
                      <w:szCs w:val="18"/>
                      <w14:textFill>
                        <w14:solidFill>
                          <w14:schemeClr w14:val="tx1"/>
                        </w14:solidFill>
                      </w14:textFill>
                    </w:rPr>
                  </w:pPr>
                </w:p>
              </w:tc>
              <w:tc>
                <w:tcPr>
                  <w:tcW w:w="471" w:type="pct"/>
                  <w:vAlign w:val="center"/>
                </w:tcPr>
                <w:p w14:paraId="3F2288C0">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HW08；</w:t>
                  </w:r>
                </w:p>
                <w:p w14:paraId="2AE4F934">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900-249-08</w:t>
                  </w:r>
                </w:p>
              </w:tc>
              <w:tc>
                <w:tcPr>
                  <w:tcW w:w="364" w:type="pct"/>
                  <w:vAlign w:val="center"/>
                </w:tcPr>
                <w:p w14:paraId="2D39165C">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0.0125</w:t>
                  </w:r>
                </w:p>
              </w:tc>
              <w:tc>
                <w:tcPr>
                  <w:tcW w:w="390" w:type="pct"/>
                  <w:vAlign w:val="center"/>
                </w:tcPr>
                <w:p w14:paraId="021B926E">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机油</w:t>
                  </w:r>
                </w:p>
              </w:tc>
              <w:tc>
                <w:tcPr>
                  <w:tcW w:w="402" w:type="pct"/>
                  <w:vAlign w:val="center"/>
                </w:tcPr>
                <w:p w14:paraId="76CD329D">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固态</w:t>
                  </w:r>
                </w:p>
              </w:tc>
              <w:tc>
                <w:tcPr>
                  <w:tcW w:w="337" w:type="pct"/>
                  <w:vAlign w:val="center"/>
                </w:tcPr>
                <w:p w14:paraId="391BBB22">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T,I</w:t>
                  </w:r>
                </w:p>
              </w:tc>
              <w:tc>
                <w:tcPr>
                  <w:tcW w:w="337" w:type="pct"/>
                  <w:vMerge w:val="continue"/>
                  <w:vAlign w:val="center"/>
                </w:tcPr>
                <w:p w14:paraId="77E6C8C3">
                  <w:pPr>
                    <w:widowControl/>
                    <w:jc w:val="center"/>
                    <w:rPr>
                      <w:color w:val="000000" w:themeColor="text1"/>
                      <w:sz w:val="18"/>
                      <w:szCs w:val="18"/>
                      <w14:textFill>
                        <w14:solidFill>
                          <w14:schemeClr w14:val="tx1"/>
                        </w14:solidFill>
                      </w14:textFill>
                    </w:rPr>
                  </w:pPr>
                </w:p>
              </w:tc>
              <w:tc>
                <w:tcPr>
                  <w:tcW w:w="549" w:type="pct"/>
                  <w:vAlign w:val="center"/>
                </w:tcPr>
                <w:p w14:paraId="6BB0D0A1">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0.0125</w:t>
                  </w:r>
                </w:p>
              </w:tc>
              <w:tc>
                <w:tcPr>
                  <w:tcW w:w="978" w:type="pct"/>
                  <w:vAlign w:val="center"/>
                </w:tcPr>
                <w:p w14:paraId="7940B0FD">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交由有资质的单位处置</w:t>
                  </w:r>
                </w:p>
              </w:tc>
            </w:tr>
            <w:tr w14:paraId="6F593ED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78" w:hRule="atLeast"/>
              </w:trPr>
              <w:tc>
                <w:tcPr>
                  <w:tcW w:w="497" w:type="pct"/>
                  <w:vAlign w:val="center"/>
                </w:tcPr>
                <w:p w14:paraId="4E3D7C5B">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废机油</w:t>
                  </w:r>
                </w:p>
              </w:tc>
              <w:tc>
                <w:tcPr>
                  <w:tcW w:w="353" w:type="pct"/>
                  <w:vAlign w:val="center"/>
                </w:tcPr>
                <w:p w14:paraId="27D881A2">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设备保养</w:t>
                  </w:r>
                </w:p>
              </w:tc>
              <w:tc>
                <w:tcPr>
                  <w:tcW w:w="322" w:type="pct"/>
                  <w:vMerge w:val="continue"/>
                  <w:tcBorders>
                    <w:bottom w:val="single" w:color="auto" w:sz="4" w:space="0"/>
                  </w:tcBorders>
                  <w:vAlign w:val="center"/>
                </w:tcPr>
                <w:p w14:paraId="37F1DDC6">
                  <w:pPr>
                    <w:widowControl/>
                    <w:jc w:val="center"/>
                    <w:rPr>
                      <w:color w:val="000000" w:themeColor="text1"/>
                      <w:sz w:val="18"/>
                      <w:szCs w:val="18"/>
                      <w14:textFill>
                        <w14:solidFill>
                          <w14:schemeClr w14:val="tx1"/>
                        </w14:solidFill>
                      </w14:textFill>
                    </w:rPr>
                  </w:pPr>
                </w:p>
              </w:tc>
              <w:tc>
                <w:tcPr>
                  <w:tcW w:w="471" w:type="pct"/>
                  <w:vAlign w:val="center"/>
                </w:tcPr>
                <w:p w14:paraId="54D5B811">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HW08；</w:t>
                  </w:r>
                </w:p>
                <w:p w14:paraId="2603346D">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900-214-08</w:t>
                  </w:r>
                </w:p>
              </w:tc>
              <w:tc>
                <w:tcPr>
                  <w:tcW w:w="364" w:type="pct"/>
                  <w:vAlign w:val="center"/>
                </w:tcPr>
                <w:p w14:paraId="63FF01AD">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w:t>
                  </w:r>
                  <w:r>
                    <w:rPr>
                      <w:color w:val="000000" w:themeColor="text1"/>
                      <w:sz w:val="18"/>
                      <w:szCs w:val="18"/>
                      <w14:textFill>
                        <w14:solidFill>
                          <w14:schemeClr w14:val="tx1"/>
                        </w14:solidFill>
                      </w14:textFill>
                    </w:rPr>
                    <w:t>.4</w:t>
                  </w:r>
                </w:p>
              </w:tc>
              <w:tc>
                <w:tcPr>
                  <w:tcW w:w="390" w:type="pct"/>
                  <w:vAlign w:val="center"/>
                </w:tcPr>
                <w:p w14:paraId="48F04002">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机油</w:t>
                  </w:r>
                </w:p>
              </w:tc>
              <w:tc>
                <w:tcPr>
                  <w:tcW w:w="402" w:type="pct"/>
                  <w:vAlign w:val="center"/>
                </w:tcPr>
                <w:p w14:paraId="43D477B9">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液态</w:t>
                  </w:r>
                </w:p>
              </w:tc>
              <w:tc>
                <w:tcPr>
                  <w:tcW w:w="337" w:type="pct"/>
                  <w:vAlign w:val="center"/>
                </w:tcPr>
                <w:p w14:paraId="4901DCBB">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T,I</w:t>
                  </w:r>
                </w:p>
              </w:tc>
              <w:tc>
                <w:tcPr>
                  <w:tcW w:w="337" w:type="pct"/>
                  <w:vMerge w:val="continue"/>
                  <w:vAlign w:val="center"/>
                </w:tcPr>
                <w:p w14:paraId="677DDAAE">
                  <w:pPr>
                    <w:widowControl/>
                    <w:jc w:val="center"/>
                    <w:rPr>
                      <w:color w:val="000000" w:themeColor="text1"/>
                      <w:sz w:val="18"/>
                      <w:szCs w:val="18"/>
                      <w14:textFill>
                        <w14:solidFill>
                          <w14:schemeClr w14:val="tx1"/>
                        </w14:solidFill>
                      </w14:textFill>
                    </w:rPr>
                  </w:pPr>
                </w:p>
              </w:tc>
              <w:tc>
                <w:tcPr>
                  <w:tcW w:w="549" w:type="pct"/>
                  <w:vAlign w:val="center"/>
                </w:tcPr>
                <w:p w14:paraId="623B42DD">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w:t>
                  </w:r>
                  <w:r>
                    <w:rPr>
                      <w:color w:val="000000" w:themeColor="text1"/>
                      <w:sz w:val="18"/>
                      <w:szCs w:val="18"/>
                      <w14:textFill>
                        <w14:solidFill>
                          <w14:schemeClr w14:val="tx1"/>
                        </w14:solidFill>
                      </w14:textFill>
                    </w:rPr>
                    <w:t>.4</w:t>
                  </w:r>
                </w:p>
              </w:tc>
              <w:tc>
                <w:tcPr>
                  <w:tcW w:w="978" w:type="pct"/>
                  <w:vAlign w:val="center"/>
                </w:tcPr>
                <w:p w14:paraId="16810994">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交由有资质的单位处置</w:t>
                  </w:r>
                </w:p>
              </w:tc>
            </w:tr>
            <w:tr w14:paraId="41FE7D8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497" w:type="pct"/>
                  <w:vAlign w:val="center"/>
                </w:tcPr>
                <w:p w14:paraId="4DCBBFC7">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生活垃圾</w:t>
                  </w:r>
                </w:p>
              </w:tc>
              <w:tc>
                <w:tcPr>
                  <w:tcW w:w="353" w:type="pct"/>
                  <w:vAlign w:val="center"/>
                </w:tcPr>
                <w:p w14:paraId="1C8905D8">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日常办公</w:t>
                  </w:r>
                </w:p>
              </w:tc>
              <w:tc>
                <w:tcPr>
                  <w:tcW w:w="322" w:type="pct"/>
                  <w:tcBorders>
                    <w:top w:val="single" w:color="auto" w:sz="4" w:space="0"/>
                  </w:tcBorders>
                  <w:vAlign w:val="center"/>
                </w:tcPr>
                <w:p w14:paraId="4FB1ED0F">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一般</w:t>
                  </w:r>
                </w:p>
                <w:p w14:paraId="77E03E20">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固废</w:t>
                  </w:r>
                </w:p>
              </w:tc>
              <w:tc>
                <w:tcPr>
                  <w:tcW w:w="471" w:type="pct"/>
                  <w:vAlign w:val="center"/>
                </w:tcPr>
                <w:p w14:paraId="70BC3E1E">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364" w:type="pct"/>
                  <w:vAlign w:val="center"/>
                </w:tcPr>
                <w:p w14:paraId="00A805B4">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w:t>
                  </w:r>
                </w:p>
              </w:tc>
              <w:tc>
                <w:tcPr>
                  <w:tcW w:w="390" w:type="pct"/>
                  <w:vAlign w:val="center"/>
                </w:tcPr>
                <w:p w14:paraId="48EF8728">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402" w:type="pct"/>
                  <w:vAlign w:val="center"/>
                </w:tcPr>
                <w:p w14:paraId="2820EF49">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固态</w:t>
                  </w:r>
                </w:p>
              </w:tc>
              <w:tc>
                <w:tcPr>
                  <w:tcW w:w="337" w:type="pct"/>
                  <w:vAlign w:val="center"/>
                </w:tcPr>
                <w:p w14:paraId="12889C16">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p>
              </w:tc>
              <w:tc>
                <w:tcPr>
                  <w:tcW w:w="337" w:type="pct"/>
                  <w:vAlign w:val="center"/>
                </w:tcPr>
                <w:p w14:paraId="1DD8C64B">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垃圾桶</w:t>
                  </w:r>
                </w:p>
              </w:tc>
              <w:tc>
                <w:tcPr>
                  <w:tcW w:w="549" w:type="pct"/>
                  <w:vAlign w:val="center"/>
                </w:tcPr>
                <w:p w14:paraId="203BFDF8">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w:t>
                  </w:r>
                </w:p>
              </w:tc>
              <w:tc>
                <w:tcPr>
                  <w:tcW w:w="978" w:type="pct"/>
                  <w:vAlign w:val="center"/>
                </w:tcPr>
                <w:p w14:paraId="388ADAF3">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交环卫部门处理</w:t>
                  </w:r>
                </w:p>
              </w:tc>
            </w:tr>
            <w:bookmarkEnd w:id="57"/>
          </w:tbl>
          <w:p w14:paraId="5B22C1C4">
            <w:pPr>
              <w:spacing w:line="360" w:lineRule="auto"/>
              <w:ind w:firstLine="482" w:firstLineChars="200"/>
              <w:rPr>
                <w:b/>
                <w:bCs/>
                <w:color w:val="000000" w:themeColor="text1"/>
                <w:kern w:val="0"/>
                <w:sz w:val="24"/>
                <w14:textFill>
                  <w14:solidFill>
                    <w14:schemeClr w14:val="tx1"/>
                  </w14:solidFill>
                </w14:textFill>
              </w:rPr>
            </w:pPr>
            <w:r>
              <w:rPr>
                <w:b/>
                <w:bCs/>
                <w:color w:val="000000" w:themeColor="text1"/>
                <w:kern w:val="0"/>
                <w:sz w:val="24"/>
                <w14:textFill>
                  <w14:solidFill>
                    <w14:schemeClr w14:val="tx1"/>
                  </w14:solidFill>
                </w14:textFill>
              </w:rPr>
              <w:t>固废源强核算</w:t>
            </w:r>
            <w:r>
              <w:rPr>
                <w:rFonts w:hint="eastAsia"/>
                <w:b/>
                <w:bCs/>
                <w:color w:val="000000" w:themeColor="text1"/>
                <w:kern w:val="0"/>
                <w:sz w:val="24"/>
                <w14:textFill>
                  <w14:solidFill>
                    <w14:schemeClr w14:val="tx1"/>
                  </w14:solidFill>
                </w14:textFill>
              </w:rPr>
              <w:t>：</w:t>
            </w:r>
          </w:p>
          <w:p w14:paraId="5F70639A">
            <w:pPr>
              <w:autoSpaceDE w:val="0"/>
              <w:autoSpaceDN w:val="0"/>
              <w:adjustRightIn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本项目固体废弃物主要有生产工序产生的一般固废、危险废物和生活垃圾等。</w:t>
            </w:r>
          </w:p>
          <w:p w14:paraId="75A9FE42">
            <w:pPr>
              <w:autoSpaceDE w:val="0"/>
              <w:autoSpaceDN w:val="0"/>
              <w:adjustRightIn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（1）一般固体废物</w:t>
            </w:r>
          </w:p>
          <w:p w14:paraId="158C18B9">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w:t>
            </w:r>
            <w:r>
              <w:rPr>
                <w:rFonts w:hint="eastAsia"/>
                <w:color w:val="000000" w:themeColor="text1"/>
                <w:sz w:val="24"/>
                <w14:textFill>
                  <w14:solidFill>
                    <w14:schemeClr w14:val="tx1"/>
                  </w14:solidFill>
                </w14:textFill>
              </w:rPr>
              <w:t>产生的一般固废主要有</w:t>
            </w:r>
            <w:r>
              <w:rPr>
                <w:rFonts w:hint="eastAsia"/>
                <w:bCs/>
                <w:color w:val="000000" w:themeColor="text1"/>
                <w:sz w:val="24"/>
                <w14:textFill>
                  <w14:solidFill>
                    <w14:schemeClr w14:val="tx1"/>
                  </w14:solidFill>
                </w14:textFill>
              </w:rPr>
              <w:t>压滤泥渣</w:t>
            </w:r>
            <w:r>
              <w:rPr>
                <w:rFonts w:hint="eastAsia"/>
                <w:color w:val="000000" w:themeColor="text1"/>
                <w:sz w:val="24"/>
                <w14:textFill>
                  <w14:solidFill>
                    <w14:schemeClr w14:val="tx1"/>
                  </w14:solidFill>
                </w14:textFill>
              </w:rPr>
              <w:t>和废布袋。</w:t>
            </w:r>
          </w:p>
          <w:p w14:paraId="3A9D36AB">
            <w:pPr>
              <w:pStyle w:val="472"/>
              <w:rPr>
                <w:color w:val="000000" w:themeColor="text1"/>
                <w:lang w:val="en-GB"/>
                <w14:textFill>
                  <w14:solidFill>
                    <w14:schemeClr w14:val="tx1"/>
                  </w14:solidFill>
                </w14:textFill>
              </w:rPr>
            </w:pPr>
            <w:r>
              <w:rPr>
                <w:rFonts w:hint="eastAsia"/>
                <w:color w:val="000000" w:themeColor="text1"/>
                <w:lang w:val="en-GB"/>
                <w14:textFill>
                  <w14:solidFill>
                    <w14:schemeClr w14:val="tx1"/>
                  </w14:solidFill>
                </w14:textFill>
              </w:rPr>
              <w:t>①</w:t>
            </w:r>
            <w:r>
              <w:rPr>
                <w:rFonts w:hint="eastAsia"/>
                <w:color w:val="000000" w:themeColor="text1"/>
                <w14:textFill>
                  <w14:solidFill>
                    <w14:schemeClr w14:val="tx1"/>
                  </w14:solidFill>
                </w14:textFill>
              </w:rPr>
              <w:t>压滤泥渣</w:t>
            </w:r>
          </w:p>
          <w:p w14:paraId="3C470035">
            <w:pPr>
              <w:pStyle w:val="472"/>
              <w:rPr>
                <w:color w:val="000000" w:themeColor="text1"/>
                <w:lang w:val="en-GB"/>
                <w14:textFill>
                  <w14:solidFill>
                    <w14:schemeClr w14:val="tx1"/>
                  </w14:solidFill>
                </w14:textFill>
              </w:rPr>
            </w:pPr>
            <w:r>
              <w:rPr>
                <w:rFonts w:hint="eastAsia"/>
                <w:color w:val="000000" w:themeColor="text1"/>
                <w14:textFill>
                  <w14:solidFill>
                    <w14:schemeClr w14:val="tx1"/>
                  </w14:solidFill>
                </w14:textFill>
              </w:rPr>
              <w:t>本项目定期对</w:t>
            </w:r>
            <w:r>
              <w:rPr>
                <w:color w:val="000000" w:themeColor="text1"/>
                <w14:textFill>
                  <w14:solidFill>
                    <w14:schemeClr w14:val="tx1"/>
                  </w14:solidFill>
                </w14:textFill>
              </w:rPr>
              <w:t>沉淀池</w:t>
            </w:r>
            <w:r>
              <w:rPr>
                <w:rFonts w:hint="eastAsia"/>
                <w:color w:val="000000" w:themeColor="text1"/>
                <w14:textFill>
                  <w14:solidFill>
                    <w14:schemeClr w14:val="tx1"/>
                  </w14:solidFill>
                </w14:textFill>
              </w:rPr>
              <w:t>产生的沉渣进行清理</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沉淀池沉渣送至压滤机压滤去除部分水，压滤泥渣</w:t>
            </w:r>
            <w:r>
              <w:rPr>
                <w:color w:val="000000" w:themeColor="text1"/>
                <w14:textFill>
                  <w14:solidFill>
                    <w14:schemeClr w14:val="tx1"/>
                  </w14:solidFill>
                </w14:textFill>
              </w:rPr>
              <w:t>产量</w:t>
            </w:r>
            <w:r>
              <w:rPr>
                <w:rFonts w:hint="eastAsia"/>
                <w:color w:val="000000" w:themeColor="text1"/>
                <w14:textFill>
                  <w14:solidFill>
                    <w14:schemeClr w14:val="tx1"/>
                  </w14:solidFill>
                </w14:textFill>
              </w:rPr>
              <w:t>17988.263</w:t>
            </w:r>
            <w:r>
              <w:rPr>
                <w:color w:val="000000" w:themeColor="text1"/>
                <w14:textFill>
                  <w14:solidFill>
                    <w14:schemeClr w14:val="tx1"/>
                  </w14:solidFill>
                </w14:textFill>
              </w:rPr>
              <w:t>t/a</w:t>
            </w:r>
            <w:r>
              <w:rPr>
                <w:rFonts w:hint="eastAsia"/>
                <w:color w:val="000000" w:themeColor="text1"/>
                <w14:textFill>
                  <w14:solidFill>
                    <w14:schemeClr w14:val="tx1"/>
                  </w14:solidFill>
                </w14:textFill>
              </w:rPr>
              <w:t>（含水量60%）</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属于一般固废，固废类别为SW07，代码为</w:t>
            </w:r>
            <w:r>
              <w:rPr>
                <w:color w:val="000000" w:themeColor="text1"/>
                <w14:textFill>
                  <w14:solidFill>
                    <w14:schemeClr w14:val="tx1"/>
                  </w14:solidFill>
                </w14:textFill>
              </w:rPr>
              <w:t>900-099-S07</w:t>
            </w:r>
            <w:r>
              <w:rPr>
                <w:rFonts w:hint="eastAsia"/>
                <w:color w:val="000000" w:themeColor="text1"/>
                <w14:textFill>
                  <w14:solidFill>
                    <w14:schemeClr w14:val="tx1"/>
                  </w14:solidFill>
                </w14:textFill>
              </w:rPr>
              <w:t>，统一收集后暂存于一般固废间，压滤泥综合外售用于生产其他建筑材料</w:t>
            </w:r>
            <w:r>
              <w:rPr>
                <w:color w:val="000000" w:themeColor="text1"/>
                <w14:textFill>
                  <w14:solidFill>
                    <w14:schemeClr w14:val="tx1"/>
                  </w14:solidFill>
                </w14:textFill>
              </w:rPr>
              <w:t>。</w:t>
            </w:r>
          </w:p>
          <w:p w14:paraId="0ADFD30A">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②废布袋</w:t>
            </w:r>
          </w:p>
          <w:p w14:paraId="47AFDBAF">
            <w:pPr>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项目水泥筒仓使用布袋除尘器，内部含有除尘布袋，根据建设单位提供的资料，每半年对设备进行维修一次，每次维修产生的废布袋的量为2kg/次·台，则项目废布袋的产生量为0.016t/a</w:t>
            </w:r>
            <w:r>
              <w:rPr>
                <w:bCs/>
                <w:color w:val="000000" w:themeColor="text1"/>
                <w:sz w:val="24"/>
                <w14:textFill>
                  <w14:solidFill>
                    <w14:schemeClr w14:val="tx1"/>
                  </w14:solidFill>
                </w14:textFill>
              </w:rPr>
              <w:t>，</w:t>
            </w:r>
            <w:r>
              <w:rPr>
                <w:rFonts w:hint="eastAsia"/>
                <w:bCs/>
                <w:color w:val="000000" w:themeColor="text1"/>
                <w:sz w:val="24"/>
                <w14:textFill>
                  <w14:solidFill>
                    <w14:schemeClr w14:val="tx1"/>
                  </w14:solidFill>
                </w14:textFill>
              </w:rPr>
              <w:t>属于一般固废，固废类别为SW17，代码为</w:t>
            </w:r>
            <w:r>
              <w:rPr>
                <w:bCs/>
                <w:color w:val="000000" w:themeColor="text1"/>
                <w:sz w:val="24"/>
                <w14:textFill>
                  <w14:solidFill>
                    <w14:schemeClr w14:val="tx1"/>
                  </w14:solidFill>
                </w14:textFill>
              </w:rPr>
              <w:t>900-099-S17，</w:t>
            </w:r>
            <w:r>
              <w:rPr>
                <w:rFonts w:hint="eastAsia"/>
                <w:bCs/>
                <w:color w:val="000000" w:themeColor="text1"/>
                <w:sz w:val="24"/>
                <w14:textFill>
                  <w14:solidFill>
                    <w14:schemeClr w14:val="tx1"/>
                  </w14:solidFill>
                </w14:textFill>
              </w:rPr>
              <w:t>废布袋</w:t>
            </w:r>
            <w:r>
              <w:rPr>
                <w:bCs/>
                <w:color w:val="000000" w:themeColor="text1"/>
                <w:sz w:val="24"/>
                <w14:textFill>
                  <w14:solidFill>
                    <w14:schemeClr w14:val="tx1"/>
                  </w14:solidFill>
                </w14:textFill>
              </w:rPr>
              <w:t>统一收集至一般固体废物暂存间，</w:t>
            </w:r>
            <w:r>
              <w:rPr>
                <w:rFonts w:hint="eastAsia"/>
                <w:bCs/>
                <w:color w:val="000000" w:themeColor="text1"/>
                <w:sz w:val="24"/>
                <w14:textFill>
                  <w14:solidFill>
                    <w14:schemeClr w14:val="tx1"/>
                  </w14:solidFill>
                </w14:textFill>
              </w:rPr>
              <w:t>定期综合外售处理</w:t>
            </w:r>
            <w:r>
              <w:rPr>
                <w:color w:val="000000" w:themeColor="text1"/>
                <w:sz w:val="24"/>
                <w14:textFill>
                  <w14:solidFill>
                    <w14:schemeClr w14:val="tx1"/>
                  </w14:solidFill>
                </w14:textFill>
              </w:rPr>
              <w:t>。</w:t>
            </w:r>
          </w:p>
          <w:p w14:paraId="408B9321">
            <w:pPr>
              <w:autoSpaceDE w:val="0"/>
              <w:autoSpaceDN w:val="0"/>
              <w:adjustRightIn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（2）危险废物</w:t>
            </w:r>
          </w:p>
          <w:p w14:paraId="45982890">
            <w:pPr>
              <w:spacing w:line="360" w:lineRule="auto"/>
              <w:ind w:firstLine="48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本项目危险废物主要包括</w:t>
            </w:r>
            <w:r>
              <w:rPr>
                <w:rFonts w:hint="eastAsia"/>
                <w:color w:val="000000" w:themeColor="text1"/>
                <w:sz w:val="24"/>
                <w14:textFill>
                  <w14:solidFill>
                    <w14:schemeClr w14:val="tx1"/>
                  </w14:solidFill>
                </w14:textFill>
              </w:rPr>
              <w:t>废机油及</w:t>
            </w:r>
            <w:r>
              <w:rPr>
                <w:color w:val="000000" w:themeColor="text1"/>
                <w:sz w:val="24"/>
                <w14:textFill>
                  <w14:solidFill>
                    <w14:schemeClr w14:val="tx1"/>
                  </w14:solidFill>
                </w14:textFill>
              </w:rPr>
              <w:t>废</w:t>
            </w:r>
            <w:r>
              <w:rPr>
                <w:rFonts w:hint="eastAsia"/>
                <w:color w:val="000000" w:themeColor="text1"/>
                <w:sz w:val="24"/>
                <w14:textFill>
                  <w14:solidFill>
                    <w14:schemeClr w14:val="tx1"/>
                  </w14:solidFill>
                </w14:textFill>
              </w:rPr>
              <w:t>机</w:t>
            </w:r>
            <w:r>
              <w:rPr>
                <w:color w:val="000000" w:themeColor="text1"/>
                <w:sz w:val="24"/>
                <w14:textFill>
                  <w14:solidFill>
                    <w14:schemeClr w14:val="tx1"/>
                  </w14:solidFill>
                </w14:textFill>
              </w:rPr>
              <w:t>油桶、废含油抹布及劳保用品。</w:t>
            </w:r>
          </w:p>
          <w:p w14:paraId="7958F267">
            <w:pPr>
              <w:spacing w:line="360" w:lineRule="auto"/>
              <w:ind w:firstLine="48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①</w:t>
            </w:r>
            <w:r>
              <w:rPr>
                <w:color w:val="000000" w:themeColor="text1"/>
                <w:sz w:val="24"/>
                <w14:textFill>
                  <w14:solidFill>
                    <w14:schemeClr w14:val="tx1"/>
                  </w14:solidFill>
                </w14:textFill>
              </w:rPr>
              <w:t>废机油</w:t>
            </w:r>
          </w:p>
          <w:p w14:paraId="64584E4E">
            <w:pPr>
              <w:spacing w:line="360" w:lineRule="auto"/>
              <w:ind w:firstLine="48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根据建设单位提供资料及《国家危险废物名录》（2025年版），本项目废机油危废类别为HW08废矿物油与含矿物油废物，危险废物编号为900-21</w:t>
            </w:r>
            <w:r>
              <w:rPr>
                <w:rFonts w:hint="eastAsia"/>
                <w:color w:val="000000" w:themeColor="text1"/>
                <w:sz w:val="24"/>
                <w14:textFill>
                  <w14:solidFill>
                    <w14:schemeClr w14:val="tx1"/>
                  </w14:solidFill>
                </w14:textFill>
              </w:rPr>
              <w:t>4</w:t>
            </w:r>
            <w:r>
              <w:rPr>
                <w:color w:val="000000" w:themeColor="text1"/>
                <w:sz w:val="24"/>
                <w14:textFill>
                  <w14:solidFill>
                    <w14:schemeClr w14:val="tx1"/>
                  </w14:solidFill>
                </w14:textFill>
              </w:rPr>
              <w:t>-08，产生量为0.</w:t>
            </w:r>
            <w:r>
              <w:rPr>
                <w:rFonts w:hint="eastAsia"/>
                <w:color w:val="000000" w:themeColor="text1"/>
                <w:sz w:val="24"/>
                <w14:textFill>
                  <w14:solidFill>
                    <w14:schemeClr w14:val="tx1"/>
                  </w14:solidFill>
                </w14:textFill>
              </w:rPr>
              <w:t>4</w:t>
            </w:r>
            <w:r>
              <w:rPr>
                <w:color w:val="000000" w:themeColor="text1"/>
                <w:sz w:val="24"/>
                <w14:textFill>
                  <w14:solidFill>
                    <w14:schemeClr w14:val="tx1"/>
                  </w14:solidFill>
                </w14:textFill>
              </w:rPr>
              <w:t>t/a，统一收集后暂存于危险废物暂存间，定期交</w:t>
            </w:r>
            <w:r>
              <w:rPr>
                <w:rFonts w:hint="eastAsia"/>
                <w:color w:val="000000" w:themeColor="text1"/>
                <w:sz w:val="24"/>
                <w14:textFill>
                  <w14:solidFill>
                    <w14:schemeClr w14:val="tx1"/>
                  </w14:solidFill>
                </w14:textFill>
              </w:rPr>
              <w:t>由</w:t>
            </w:r>
            <w:r>
              <w:rPr>
                <w:color w:val="000000" w:themeColor="text1"/>
                <w:sz w:val="24"/>
                <w14:textFill>
                  <w14:solidFill>
                    <w14:schemeClr w14:val="tx1"/>
                  </w14:solidFill>
                </w14:textFill>
              </w:rPr>
              <w:t>有资质单位处理。</w:t>
            </w:r>
          </w:p>
          <w:p w14:paraId="2AC0EDF7">
            <w:pPr>
              <w:spacing w:line="360" w:lineRule="auto"/>
              <w:ind w:firstLine="48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②</w:t>
            </w:r>
            <w:r>
              <w:rPr>
                <w:color w:val="000000" w:themeColor="text1"/>
                <w:sz w:val="24"/>
                <w14:textFill>
                  <w14:solidFill>
                    <w14:schemeClr w14:val="tx1"/>
                  </w14:solidFill>
                </w14:textFill>
              </w:rPr>
              <w:t>废机油桶</w:t>
            </w:r>
          </w:p>
          <w:p w14:paraId="4675D839">
            <w:pPr>
              <w:spacing w:line="360" w:lineRule="auto"/>
              <w:ind w:firstLine="48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根据建设单位提供资料及《国家危险废物名录》（2025年版），本项废机油桶危废类别为HW08废矿物油与含矿物油废物，危险废物编号为900-249-08，产生量为0.</w:t>
            </w:r>
            <w:r>
              <w:rPr>
                <w:rFonts w:hint="eastAsia"/>
                <w:color w:val="000000" w:themeColor="text1"/>
                <w:sz w:val="24"/>
                <w14:textFill>
                  <w14:solidFill>
                    <w14:schemeClr w14:val="tx1"/>
                  </w14:solidFill>
                </w14:textFill>
              </w:rPr>
              <w:t>0125</w:t>
            </w:r>
            <w:r>
              <w:rPr>
                <w:color w:val="000000" w:themeColor="text1"/>
                <w:sz w:val="24"/>
                <w14:textFill>
                  <w14:solidFill>
                    <w14:schemeClr w14:val="tx1"/>
                  </w14:solidFill>
                </w14:textFill>
              </w:rPr>
              <w:t>t/a，统一收集后暂存于危险废物暂存间，定期交</w:t>
            </w:r>
            <w:r>
              <w:rPr>
                <w:rFonts w:hint="eastAsia"/>
                <w:color w:val="000000" w:themeColor="text1"/>
                <w:sz w:val="24"/>
                <w14:textFill>
                  <w14:solidFill>
                    <w14:schemeClr w14:val="tx1"/>
                  </w14:solidFill>
                </w14:textFill>
              </w:rPr>
              <w:t>由</w:t>
            </w:r>
            <w:r>
              <w:rPr>
                <w:color w:val="000000" w:themeColor="text1"/>
                <w:sz w:val="24"/>
                <w14:textFill>
                  <w14:solidFill>
                    <w14:schemeClr w14:val="tx1"/>
                  </w14:solidFill>
                </w14:textFill>
              </w:rPr>
              <w:t>有资质单位处理。</w:t>
            </w:r>
          </w:p>
          <w:p w14:paraId="31F4E517">
            <w:pPr>
              <w:spacing w:line="360" w:lineRule="auto"/>
              <w:ind w:firstLine="480"/>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③</w:t>
            </w:r>
            <w:r>
              <w:rPr>
                <w:color w:val="000000" w:themeColor="text1"/>
                <w:sz w:val="24"/>
                <w14:textFill>
                  <w14:solidFill>
                    <w14:schemeClr w14:val="tx1"/>
                  </w14:solidFill>
                </w14:textFill>
              </w:rPr>
              <w:t>废含油抹布及劳保用品</w:t>
            </w:r>
          </w:p>
          <w:p w14:paraId="1B0569CA">
            <w:pPr>
              <w:spacing w:line="360" w:lineRule="auto"/>
              <w:ind w:firstLine="48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根据建设单位提供资料及《国家危险废物名录》（2025年版），本项目废含油抹布及劳保用品危废类别为HW49其他废物，危险废物编号为900-041-49，产生量为0.</w:t>
            </w:r>
            <w:r>
              <w:rPr>
                <w:rFonts w:hint="eastAsia"/>
                <w:color w:val="000000" w:themeColor="text1"/>
                <w:sz w:val="24"/>
                <w14:textFill>
                  <w14:solidFill>
                    <w14:schemeClr w14:val="tx1"/>
                  </w14:solidFill>
                </w14:textFill>
              </w:rPr>
              <w:t>2</w:t>
            </w:r>
            <w:r>
              <w:rPr>
                <w:color w:val="000000" w:themeColor="text1"/>
                <w:sz w:val="24"/>
                <w14:textFill>
                  <w14:solidFill>
                    <w14:schemeClr w14:val="tx1"/>
                  </w14:solidFill>
                </w14:textFill>
              </w:rPr>
              <w:t>t/a，统一收集后暂存于危险废物暂存间，定期交</w:t>
            </w:r>
            <w:r>
              <w:rPr>
                <w:rFonts w:hint="eastAsia"/>
                <w:color w:val="000000" w:themeColor="text1"/>
                <w:sz w:val="24"/>
                <w14:textFill>
                  <w14:solidFill>
                    <w14:schemeClr w14:val="tx1"/>
                  </w14:solidFill>
                </w14:textFill>
              </w:rPr>
              <w:t>由</w:t>
            </w:r>
            <w:r>
              <w:rPr>
                <w:color w:val="000000" w:themeColor="text1"/>
                <w:sz w:val="24"/>
                <w14:textFill>
                  <w14:solidFill>
                    <w14:schemeClr w14:val="tx1"/>
                  </w14:solidFill>
                </w14:textFill>
              </w:rPr>
              <w:t>有资质单位处理。</w:t>
            </w:r>
          </w:p>
          <w:p w14:paraId="39B83A55">
            <w:pPr>
              <w:spacing w:line="360" w:lineRule="auto"/>
              <w:ind w:firstLine="472" w:firstLineChars="197"/>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（3）生活垃圾</w:t>
            </w:r>
          </w:p>
          <w:p w14:paraId="6BA2A173">
            <w:pPr>
              <w:spacing w:line="360" w:lineRule="auto"/>
              <w:ind w:firstLine="472" w:firstLineChars="197"/>
              <w:rPr>
                <w:color w:val="000000" w:themeColor="text1"/>
                <w:sz w:val="24"/>
                <w14:textFill>
                  <w14:solidFill>
                    <w14:schemeClr w14:val="tx1"/>
                  </w14:solidFill>
                </w14:textFill>
              </w:rPr>
            </w:pPr>
            <w:r>
              <w:rPr>
                <w:color w:val="000000" w:themeColor="text1"/>
                <w:sz w:val="24"/>
                <w14:textFill>
                  <w14:solidFill>
                    <w14:schemeClr w14:val="tx1"/>
                  </w14:solidFill>
                </w14:textFill>
              </w:rPr>
              <w:t>生活垃圾来源于工作生产人员产生的生活垃圾，本项目劳动定员为</w:t>
            </w:r>
            <w:r>
              <w:rPr>
                <w:rFonts w:hint="eastAsia"/>
                <w:color w:val="000000" w:themeColor="text1"/>
                <w:sz w:val="24"/>
                <w14:textFill>
                  <w14:solidFill>
                    <w14:schemeClr w14:val="tx1"/>
                  </w14:solidFill>
                </w14:textFill>
              </w:rPr>
              <w:t>20</w:t>
            </w:r>
            <w:r>
              <w:rPr>
                <w:color w:val="000000" w:themeColor="text1"/>
                <w:sz w:val="24"/>
                <w14:textFill>
                  <w14:solidFill>
                    <w14:schemeClr w14:val="tx1"/>
                  </w14:solidFill>
                </w14:textFill>
              </w:rPr>
              <w:t>人，生活垃圾产生量按0.5kg/人·d 计算，全年工作日</w:t>
            </w:r>
            <w:r>
              <w:rPr>
                <w:rFonts w:hint="eastAsia"/>
                <w:color w:val="000000" w:themeColor="text1"/>
                <w:sz w:val="24"/>
                <w14:textFill>
                  <w14:solidFill>
                    <w14:schemeClr w14:val="tx1"/>
                  </w14:solidFill>
                </w14:textFill>
              </w:rPr>
              <w:t>300</w:t>
            </w:r>
            <w:r>
              <w:rPr>
                <w:color w:val="000000" w:themeColor="text1"/>
                <w:sz w:val="24"/>
                <w14:textFill>
                  <w14:solidFill>
                    <w14:schemeClr w14:val="tx1"/>
                  </w14:solidFill>
                </w14:textFill>
              </w:rPr>
              <w:t>天，则生活垃圾产生量</w:t>
            </w:r>
            <w:r>
              <w:rPr>
                <w:rFonts w:hint="eastAsia"/>
                <w:color w:val="000000" w:themeColor="text1"/>
                <w:sz w:val="24"/>
                <w14:textFill>
                  <w14:solidFill>
                    <w14:schemeClr w14:val="tx1"/>
                  </w14:solidFill>
                </w14:textFill>
              </w:rPr>
              <w:t>20</w:t>
            </w:r>
            <w:r>
              <w:rPr>
                <w:color w:val="000000" w:themeColor="text1"/>
                <w:sz w:val="24"/>
                <w14:textFill>
                  <w14:solidFill>
                    <w14:schemeClr w14:val="tx1"/>
                  </w14:solidFill>
                </w14:textFill>
              </w:rPr>
              <w:t>人×0.5kg/人·d ×</w:t>
            </w:r>
            <w:r>
              <w:rPr>
                <w:rFonts w:hint="eastAsia"/>
                <w:color w:val="000000" w:themeColor="text1"/>
                <w:sz w:val="24"/>
                <w14:textFill>
                  <w14:solidFill>
                    <w14:schemeClr w14:val="tx1"/>
                  </w14:solidFill>
                </w14:textFill>
              </w:rPr>
              <w:t>300</w:t>
            </w:r>
            <w:r>
              <w:rPr>
                <w:color w:val="000000" w:themeColor="text1"/>
                <w:sz w:val="24"/>
                <w14:textFill>
                  <w14:solidFill>
                    <w14:schemeClr w14:val="tx1"/>
                  </w14:solidFill>
                </w14:textFill>
              </w:rPr>
              <w:t>d/a×10</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3</w:t>
            </w:r>
            <w:r>
              <w:rPr>
                <w:color w:val="000000" w:themeColor="text1"/>
                <w:sz w:val="24"/>
                <w14:textFill>
                  <w14:solidFill>
                    <w14:schemeClr w14:val="tx1"/>
                  </w14:solidFill>
                </w14:textFill>
              </w:rPr>
              <w:t>t/a，经分类收集后由环卫部门统一处置。</w:t>
            </w:r>
          </w:p>
          <w:p w14:paraId="5918990F">
            <w:pPr>
              <w:spacing w:line="360" w:lineRule="auto"/>
              <w:ind w:firstLine="475" w:firstLineChars="197"/>
              <w:rPr>
                <w:b/>
                <w:bCs/>
                <w:color w:val="000000" w:themeColor="text1"/>
                <w:kern w:val="0"/>
                <w:sz w:val="24"/>
                <w14:textFill>
                  <w14:solidFill>
                    <w14:schemeClr w14:val="tx1"/>
                  </w14:solidFill>
                </w14:textFill>
              </w:rPr>
            </w:pPr>
            <w:r>
              <w:rPr>
                <w:b/>
                <w:bCs/>
                <w:color w:val="000000" w:themeColor="text1"/>
                <w:kern w:val="0"/>
                <w:sz w:val="24"/>
                <w14:textFill>
                  <w14:solidFill>
                    <w14:schemeClr w14:val="tx1"/>
                  </w14:solidFill>
                </w14:textFill>
              </w:rPr>
              <w:t>2、环境管理要求</w:t>
            </w:r>
          </w:p>
          <w:p w14:paraId="1FB4BE07">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（1）对于一般固废，应及时做好收集暂存，并外售或交给环卫部门处理。</w:t>
            </w:r>
          </w:p>
          <w:p w14:paraId="73EAC365">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（2）对于危险废物，应做到全收集后</w:t>
            </w:r>
            <w:r>
              <w:rPr>
                <w:rFonts w:hint="eastAsia"/>
                <w:color w:val="000000" w:themeColor="text1"/>
                <w:sz w:val="24"/>
                <w14:textFill>
                  <w14:solidFill>
                    <w14:schemeClr w14:val="tx1"/>
                  </w14:solidFill>
                </w14:textFill>
              </w:rPr>
              <w:t>由穿好防护服的工作人员运送至危险废物暂存库中，</w:t>
            </w:r>
            <w:r>
              <w:rPr>
                <w:color w:val="000000" w:themeColor="text1"/>
                <w:sz w:val="24"/>
                <w14:textFill>
                  <w14:solidFill>
                    <w14:schemeClr w14:val="tx1"/>
                  </w14:solidFill>
                </w14:textFill>
              </w:rPr>
              <w:t>暂存于危险废物暂存库，同时建立台账登记制度，并签订协议交给有资质的危险废物处理单位处理。</w:t>
            </w:r>
          </w:p>
          <w:p w14:paraId="1056E405">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3）委托有危险废物经营许可证的单位进行收集运输，在收集运输危险废物时，应根据危险废物经营许可证核发的有关规定建立相应的规章制度和污染防治措施，包括危险废物分析管理制度、安全管理制度、污染防治措施等；</w:t>
            </w:r>
          </w:p>
          <w:p w14:paraId="70763DB3">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（4）危险废转移过程按《危险废物转移联单管理办法》执行；</w:t>
            </w:r>
          </w:p>
          <w:p w14:paraId="0329EA7A">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（5）危险废物运输时应按腐蚀性、毒性、易燃性、反应性、和感染性等危险特性对危险废物进行分类、包装并设置相应的标志及标签。</w:t>
            </w:r>
          </w:p>
          <w:p w14:paraId="7A14F3E7">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通过相应处理措施，各项固废均能得到资源化、无害化处理，对周围环境影响较小。</w:t>
            </w:r>
          </w:p>
          <w:p w14:paraId="10DDDDDC">
            <w:pPr>
              <w:spacing w:line="360" w:lineRule="auto"/>
              <w:ind w:firstLine="475" w:firstLineChars="197"/>
              <w:rPr>
                <w:b/>
                <w:bCs/>
                <w:color w:val="000000" w:themeColor="text1"/>
                <w:kern w:val="0"/>
                <w:sz w:val="24"/>
                <w14:textFill>
                  <w14:solidFill>
                    <w14:schemeClr w14:val="tx1"/>
                  </w14:solidFill>
                </w14:textFill>
              </w:rPr>
            </w:pPr>
            <w:r>
              <w:rPr>
                <w:b/>
                <w:bCs/>
                <w:color w:val="000000" w:themeColor="text1"/>
                <w:kern w:val="0"/>
                <w:sz w:val="24"/>
                <w14:textFill>
                  <w14:solidFill>
                    <w14:schemeClr w14:val="tx1"/>
                  </w14:solidFill>
                </w14:textFill>
              </w:rPr>
              <w:t>3、一般固废及危险废物暂存库设置合理性分析</w:t>
            </w:r>
          </w:p>
          <w:p w14:paraId="2A94EB8F">
            <w:pPr>
              <w:spacing w:line="360" w:lineRule="auto"/>
              <w:ind w:firstLine="472" w:firstLineChars="197"/>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本项目</w:t>
            </w:r>
            <w:r>
              <w:rPr>
                <w:rFonts w:hint="eastAsia"/>
                <w:color w:val="000000" w:themeColor="text1"/>
                <w:kern w:val="0"/>
                <w:sz w:val="24"/>
                <w14:textFill>
                  <w14:solidFill>
                    <w14:schemeClr w14:val="tx1"/>
                  </w14:solidFill>
                </w14:textFill>
              </w:rPr>
              <w:t>新建</w:t>
            </w:r>
            <w:r>
              <w:rPr>
                <w:color w:val="000000" w:themeColor="text1"/>
                <w:kern w:val="0"/>
                <w:sz w:val="24"/>
                <w14:textFill>
                  <w14:solidFill>
                    <w14:schemeClr w14:val="tx1"/>
                  </w14:solidFill>
                </w14:textFill>
              </w:rPr>
              <w:t>1个一般固废暂存库，建设面积</w:t>
            </w:r>
            <w:r>
              <w:rPr>
                <w:rFonts w:hint="eastAsia"/>
                <w:color w:val="000000" w:themeColor="text1"/>
                <w:kern w:val="0"/>
                <w:sz w:val="24"/>
                <w14:textFill>
                  <w14:solidFill>
                    <w14:schemeClr w14:val="tx1"/>
                  </w14:solidFill>
                </w14:textFill>
              </w:rPr>
              <w:t>600</w:t>
            </w:r>
            <w:r>
              <w:rPr>
                <w:color w:val="000000" w:themeColor="text1"/>
                <w:kern w:val="0"/>
                <w:sz w:val="24"/>
                <w14:textFill>
                  <w14:solidFill>
                    <w14:schemeClr w14:val="tx1"/>
                  </w14:solidFill>
                </w14:textFill>
              </w:rPr>
              <w:t>m</w:t>
            </w:r>
            <w:r>
              <w:rPr>
                <w:color w:val="000000" w:themeColor="text1"/>
                <w:kern w:val="0"/>
                <w:sz w:val="24"/>
                <w:vertAlign w:val="superscript"/>
                <w14:textFill>
                  <w14:solidFill>
                    <w14:schemeClr w14:val="tx1"/>
                  </w14:solidFill>
                </w14:textFill>
              </w:rPr>
              <w:t>2</w:t>
            </w:r>
            <w:r>
              <w:rPr>
                <w:color w:val="000000" w:themeColor="text1"/>
                <w:kern w:val="0"/>
                <w:sz w:val="24"/>
                <w14:textFill>
                  <w14:solidFill>
                    <w14:schemeClr w14:val="tx1"/>
                  </w14:solidFill>
                </w14:textFill>
              </w:rPr>
              <w:t>，位于</w:t>
            </w:r>
            <w:r>
              <w:rPr>
                <w:rFonts w:hint="eastAsia"/>
                <w:color w:val="000000" w:themeColor="text1"/>
                <w:kern w:val="0"/>
                <w:sz w:val="24"/>
                <w14:textFill>
                  <w14:solidFill>
                    <w14:schemeClr w14:val="tx1"/>
                  </w14:solidFill>
                </w14:textFill>
              </w:rPr>
              <w:t>生产车间西南侧</w:t>
            </w:r>
            <w:r>
              <w:rPr>
                <w:color w:val="000000" w:themeColor="text1"/>
                <w:kern w:val="0"/>
                <w:sz w:val="24"/>
                <w14:textFill>
                  <w14:solidFill>
                    <w14:schemeClr w14:val="tx1"/>
                  </w14:solidFill>
                </w14:textFill>
              </w:rPr>
              <w:t>；</w:t>
            </w:r>
            <w:r>
              <w:rPr>
                <w:rFonts w:hint="eastAsia"/>
                <w:color w:val="000000" w:themeColor="text1"/>
                <w:kern w:val="0"/>
                <w:sz w:val="24"/>
                <w14:textFill>
                  <w14:solidFill>
                    <w14:schemeClr w14:val="tx1"/>
                  </w14:solidFill>
                </w14:textFill>
              </w:rPr>
              <w:t>新建</w:t>
            </w:r>
            <w:r>
              <w:rPr>
                <w:color w:val="000000" w:themeColor="text1"/>
                <w:kern w:val="0"/>
                <w:sz w:val="24"/>
                <w14:textFill>
                  <w14:solidFill>
                    <w14:schemeClr w14:val="tx1"/>
                  </w14:solidFill>
                </w14:textFill>
              </w:rPr>
              <w:t>1个危险废物暂存间，建设面积</w:t>
            </w:r>
            <w:r>
              <w:rPr>
                <w:rFonts w:hint="eastAsia"/>
                <w:color w:val="000000" w:themeColor="text1"/>
                <w:kern w:val="0"/>
                <w:sz w:val="24"/>
                <w14:textFill>
                  <w14:solidFill>
                    <w14:schemeClr w14:val="tx1"/>
                  </w14:solidFill>
                </w14:textFill>
              </w:rPr>
              <w:t>10</w:t>
            </w:r>
            <w:r>
              <w:rPr>
                <w:color w:val="000000" w:themeColor="text1"/>
                <w:kern w:val="0"/>
                <w:sz w:val="24"/>
                <w14:textFill>
                  <w14:solidFill>
                    <w14:schemeClr w14:val="tx1"/>
                  </w14:solidFill>
                </w14:textFill>
              </w:rPr>
              <w:t>m</w:t>
            </w:r>
            <w:r>
              <w:rPr>
                <w:color w:val="000000" w:themeColor="text1"/>
                <w:kern w:val="0"/>
                <w:sz w:val="24"/>
                <w:vertAlign w:val="superscript"/>
                <w14:textFill>
                  <w14:solidFill>
                    <w14:schemeClr w14:val="tx1"/>
                  </w14:solidFill>
                </w14:textFill>
              </w:rPr>
              <w:t>2</w:t>
            </w:r>
            <w:r>
              <w:rPr>
                <w:color w:val="000000" w:themeColor="text1"/>
                <w:kern w:val="0"/>
                <w:sz w:val="24"/>
                <w14:textFill>
                  <w14:solidFill>
                    <w14:schemeClr w14:val="tx1"/>
                  </w14:solidFill>
                </w14:textFill>
              </w:rPr>
              <w:t>，位于</w:t>
            </w:r>
            <w:r>
              <w:rPr>
                <w:rFonts w:hint="eastAsia"/>
                <w:color w:val="000000" w:themeColor="text1"/>
                <w:kern w:val="0"/>
                <w:sz w:val="24"/>
                <w14:textFill>
                  <w14:solidFill>
                    <w14:schemeClr w14:val="tx1"/>
                  </w14:solidFill>
                </w14:textFill>
              </w:rPr>
              <w:t>生产车间南侧</w:t>
            </w:r>
            <w:r>
              <w:rPr>
                <w:color w:val="000000" w:themeColor="text1"/>
                <w:kern w:val="0"/>
                <w:sz w:val="24"/>
                <w14:textFill>
                  <w14:solidFill>
                    <w14:schemeClr w14:val="tx1"/>
                  </w14:solidFill>
                </w14:textFill>
              </w:rPr>
              <w:t>。一般固废及危险废物暂存库设置合理性分析如下表：</w:t>
            </w:r>
          </w:p>
          <w:p w14:paraId="2E1D8DFD">
            <w:pPr>
              <w:snapToGrid w:val="0"/>
              <w:jc w:val="center"/>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表4</w:t>
            </w:r>
            <w:r>
              <w:rPr>
                <w:b/>
                <w:bCs/>
                <w:color w:val="000000" w:themeColor="text1"/>
                <w:sz w:val="24"/>
                <w14:textFill>
                  <w14:solidFill>
                    <w14:schemeClr w14:val="tx1"/>
                  </w14:solidFill>
                </w14:textFill>
              </w:rPr>
              <w:t>-</w:t>
            </w:r>
            <w:r>
              <w:rPr>
                <w:rFonts w:hint="eastAsia"/>
                <w:b/>
                <w:bCs/>
                <w:color w:val="000000" w:themeColor="text1"/>
                <w:sz w:val="24"/>
                <w14:textFill>
                  <w14:solidFill>
                    <w14:schemeClr w14:val="tx1"/>
                  </w14:solidFill>
                </w14:textFill>
              </w:rPr>
              <w:t>19</w:t>
            </w:r>
            <w:r>
              <w:rPr>
                <w:b/>
                <w:bCs/>
                <w:color w:val="000000" w:themeColor="text1"/>
                <w:sz w:val="24"/>
                <w14:textFill>
                  <w14:solidFill>
                    <w14:schemeClr w14:val="tx1"/>
                  </w14:solidFill>
                </w14:textFill>
              </w:rPr>
              <w:t xml:space="preserve">  </w:t>
            </w:r>
            <w:r>
              <w:rPr>
                <w:rFonts w:hint="eastAsia"/>
                <w:b/>
                <w:bCs/>
                <w:color w:val="000000" w:themeColor="text1"/>
                <w:sz w:val="24"/>
                <w14:textFill>
                  <w14:solidFill>
                    <w14:schemeClr w14:val="tx1"/>
                  </w14:solidFill>
                </w14:textFill>
              </w:rPr>
              <w:t>一般固废及危险废物暂存库合理性分析一览表</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666"/>
              <w:gridCol w:w="2286"/>
              <w:gridCol w:w="2284"/>
              <w:gridCol w:w="3334"/>
              <w:gridCol w:w="2229"/>
              <w:gridCol w:w="1810"/>
            </w:tblGrid>
            <w:tr w14:paraId="3CEAB9A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5000" w:type="pct"/>
                  <w:gridSpan w:val="6"/>
                  <w:tcBorders>
                    <w:top w:val="single" w:color="auto" w:sz="12" w:space="0"/>
                    <w:left w:val="single" w:color="auto" w:sz="12" w:space="0"/>
                    <w:bottom w:val="single" w:color="auto" w:sz="12" w:space="0"/>
                    <w:right w:val="single" w:color="auto" w:sz="12" w:space="0"/>
                  </w:tcBorders>
                  <w:vAlign w:val="center"/>
                </w:tcPr>
                <w:p w14:paraId="3EDCEFDD">
                  <w:pPr>
                    <w:pStyle w:val="156"/>
                    <w:snapToGrid w:val="0"/>
                    <w:spacing w:line="240" w:lineRule="atLeast"/>
                    <w:jc w:val="both"/>
                    <w:rPr>
                      <w:rFonts w:cs="Times New Roman"/>
                      <w:b/>
                      <w:bCs/>
                      <w:color w:val="000000" w:themeColor="text1"/>
                      <w:sz w:val="18"/>
                      <w14:textFill>
                        <w14:solidFill>
                          <w14:schemeClr w14:val="tx1"/>
                        </w14:solidFill>
                      </w14:textFill>
                    </w:rPr>
                  </w:pPr>
                  <w:r>
                    <w:rPr>
                      <w:rFonts w:hint="eastAsia" w:cs="Times New Roman"/>
                      <w:b/>
                      <w:bCs/>
                      <w:color w:val="000000" w:themeColor="text1"/>
                      <w:sz w:val="18"/>
                      <w14:textFill>
                        <w14:solidFill>
                          <w14:schemeClr w14:val="tx1"/>
                        </w14:solidFill>
                      </w14:textFill>
                    </w:rPr>
                    <w:t>一般固废暂存库</w:t>
                  </w:r>
                </w:p>
              </w:tc>
            </w:tr>
            <w:tr w14:paraId="2C9D53F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612" w:type="pct"/>
                  <w:tcBorders>
                    <w:top w:val="single" w:color="auto" w:sz="12" w:space="0"/>
                    <w:left w:val="single" w:color="auto" w:sz="12" w:space="0"/>
                    <w:bottom w:val="single" w:color="auto" w:sz="12" w:space="0"/>
                    <w:right w:val="single" w:color="auto" w:sz="12" w:space="0"/>
                  </w:tcBorders>
                  <w:vAlign w:val="center"/>
                </w:tcPr>
                <w:p w14:paraId="13E19A6F">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建设面积（m</w:t>
                  </w:r>
                  <w:r>
                    <w:rPr>
                      <w:rFonts w:cs="Times New Roman"/>
                      <w:color w:val="000000" w:themeColor="text1"/>
                      <w:sz w:val="18"/>
                      <w:vertAlign w:val="superscript"/>
                      <w14:textFill>
                        <w14:solidFill>
                          <w14:schemeClr w14:val="tx1"/>
                        </w14:solidFill>
                      </w14:textFill>
                    </w:rPr>
                    <w:t>2</w:t>
                  </w:r>
                  <w:r>
                    <w:rPr>
                      <w:rFonts w:hint="eastAsia" w:cs="Times New Roman"/>
                      <w:color w:val="000000" w:themeColor="text1"/>
                      <w:sz w:val="18"/>
                      <w14:textFill>
                        <w14:solidFill>
                          <w14:schemeClr w14:val="tx1"/>
                        </w14:solidFill>
                      </w14:textFill>
                    </w:rPr>
                    <w:t>）</w:t>
                  </w:r>
                </w:p>
              </w:tc>
              <w:tc>
                <w:tcPr>
                  <w:tcW w:w="840" w:type="pct"/>
                  <w:tcBorders>
                    <w:top w:val="single" w:color="auto" w:sz="12" w:space="0"/>
                    <w:left w:val="nil"/>
                    <w:bottom w:val="single" w:color="auto" w:sz="12" w:space="0"/>
                    <w:right w:val="single" w:color="auto" w:sz="12" w:space="0"/>
                  </w:tcBorders>
                  <w:vAlign w:val="center"/>
                </w:tcPr>
                <w:p w14:paraId="50EE4879">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理论最大储存量（t）</w:t>
                  </w:r>
                </w:p>
              </w:tc>
              <w:tc>
                <w:tcPr>
                  <w:tcW w:w="839" w:type="pct"/>
                  <w:tcBorders>
                    <w:top w:val="single" w:color="auto" w:sz="12" w:space="0"/>
                    <w:left w:val="nil"/>
                    <w:bottom w:val="single" w:color="auto" w:sz="12" w:space="0"/>
                    <w:right w:val="single" w:color="auto" w:sz="12" w:space="0"/>
                  </w:tcBorders>
                  <w:vAlign w:val="center"/>
                </w:tcPr>
                <w:p w14:paraId="605F33FB">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本项目固废产生量（t/a）</w:t>
                  </w:r>
                </w:p>
              </w:tc>
              <w:tc>
                <w:tcPr>
                  <w:tcW w:w="1225" w:type="pct"/>
                  <w:tcBorders>
                    <w:top w:val="single" w:color="auto" w:sz="12" w:space="0"/>
                    <w:left w:val="nil"/>
                    <w:bottom w:val="single" w:color="auto" w:sz="12" w:space="0"/>
                    <w:right w:val="single" w:color="auto" w:sz="12" w:space="0"/>
                  </w:tcBorders>
                  <w:vAlign w:val="center"/>
                </w:tcPr>
                <w:p w14:paraId="3F59FED9">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本项目固废转运周期</w:t>
                  </w:r>
                </w:p>
              </w:tc>
              <w:tc>
                <w:tcPr>
                  <w:tcW w:w="819" w:type="pct"/>
                  <w:tcBorders>
                    <w:top w:val="single" w:color="auto" w:sz="12" w:space="0"/>
                    <w:left w:val="nil"/>
                    <w:bottom w:val="single" w:color="auto" w:sz="12" w:space="0"/>
                    <w:right w:val="single" w:color="auto" w:sz="12" w:space="0"/>
                  </w:tcBorders>
                  <w:vAlign w:val="center"/>
                </w:tcPr>
                <w:p w14:paraId="7A929C6D">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本项目最大储存量（t）</w:t>
                  </w:r>
                </w:p>
              </w:tc>
              <w:tc>
                <w:tcPr>
                  <w:tcW w:w="661" w:type="pct"/>
                  <w:tcBorders>
                    <w:top w:val="single" w:color="auto" w:sz="12" w:space="0"/>
                    <w:left w:val="nil"/>
                    <w:bottom w:val="single" w:color="auto" w:sz="12" w:space="0"/>
                    <w:right w:val="single" w:color="auto" w:sz="12" w:space="0"/>
                  </w:tcBorders>
                  <w:vAlign w:val="center"/>
                </w:tcPr>
                <w:p w14:paraId="6587FA61">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是否满足储存要求</w:t>
                  </w:r>
                </w:p>
              </w:tc>
            </w:tr>
            <w:tr w14:paraId="1171005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612" w:type="pct"/>
                  <w:tcBorders>
                    <w:top w:val="single" w:color="auto" w:sz="12" w:space="0"/>
                    <w:left w:val="single" w:color="auto" w:sz="12" w:space="0"/>
                    <w:bottom w:val="single" w:color="auto" w:sz="12" w:space="0"/>
                    <w:right w:val="single" w:color="auto" w:sz="12" w:space="0"/>
                  </w:tcBorders>
                  <w:vAlign w:val="center"/>
                </w:tcPr>
                <w:p w14:paraId="2AAA5CA8">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600</w:t>
                  </w:r>
                </w:p>
              </w:tc>
              <w:tc>
                <w:tcPr>
                  <w:tcW w:w="840" w:type="pct"/>
                  <w:tcBorders>
                    <w:top w:val="single" w:color="auto" w:sz="12" w:space="0"/>
                    <w:left w:val="nil"/>
                    <w:bottom w:val="single" w:color="auto" w:sz="12" w:space="0"/>
                    <w:right w:val="single" w:color="auto" w:sz="12" w:space="0"/>
                  </w:tcBorders>
                  <w:vAlign w:val="center"/>
                </w:tcPr>
                <w:p w14:paraId="64B16887">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450</w:t>
                  </w:r>
                </w:p>
              </w:tc>
              <w:tc>
                <w:tcPr>
                  <w:tcW w:w="839" w:type="pct"/>
                  <w:tcBorders>
                    <w:top w:val="single" w:color="auto" w:sz="12" w:space="0"/>
                    <w:left w:val="nil"/>
                    <w:bottom w:val="single" w:color="auto" w:sz="12" w:space="0"/>
                    <w:right w:val="single" w:color="auto" w:sz="12" w:space="0"/>
                  </w:tcBorders>
                  <w:vAlign w:val="center"/>
                </w:tcPr>
                <w:p w14:paraId="0503F889">
                  <w:pPr>
                    <w:pStyle w:val="156"/>
                    <w:snapToGrid w:val="0"/>
                    <w:spacing w:line="240" w:lineRule="atLeast"/>
                    <w:rPr>
                      <w:rFonts w:cs="Times New Roman"/>
                      <w:color w:val="000000" w:themeColor="text1"/>
                      <w:sz w:val="18"/>
                      <w14:textFill>
                        <w14:solidFill>
                          <w14:schemeClr w14:val="tx1"/>
                        </w14:solidFill>
                      </w14:textFill>
                    </w:rPr>
                  </w:pPr>
                  <w:r>
                    <w:rPr>
                      <w:rFonts w:cs="Times New Roman"/>
                      <w:color w:val="000000" w:themeColor="text1"/>
                      <w:sz w:val="18"/>
                      <w14:textFill>
                        <w14:solidFill>
                          <w14:schemeClr w14:val="tx1"/>
                        </w14:solidFill>
                      </w14:textFill>
                    </w:rPr>
                    <w:t>17988.279</w:t>
                  </w:r>
                </w:p>
              </w:tc>
              <w:tc>
                <w:tcPr>
                  <w:tcW w:w="1225" w:type="pct"/>
                  <w:tcBorders>
                    <w:top w:val="single" w:color="auto" w:sz="12" w:space="0"/>
                    <w:left w:val="nil"/>
                    <w:bottom w:val="single" w:color="auto" w:sz="12" w:space="0"/>
                    <w:right w:val="single" w:color="auto" w:sz="12" w:space="0"/>
                  </w:tcBorders>
                  <w:vAlign w:val="center"/>
                </w:tcPr>
                <w:p w14:paraId="04624C0E">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7天/次</w:t>
                  </w:r>
                </w:p>
              </w:tc>
              <w:tc>
                <w:tcPr>
                  <w:tcW w:w="819" w:type="pct"/>
                  <w:tcBorders>
                    <w:top w:val="single" w:color="auto" w:sz="12" w:space="0"/>
                    <w:left w:val="nil"/>
                    <w:bottom w:val="single" w:color="auto" w:sz="12" w:space="0"/>
                    <w:right w:val="single" w:color="auto" w:sz="12" w:space="0"/>
                  </w:tcBorders>
                  <w:vAlign w:val="center"/>
                </w:tcPr>
                <w:p w14:paraId="4A0C75F9">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419.727</w:t>
                  </w:r>
                </w:p>
              </w:tc>
              <w:tc>
                <w:tcPr>
                  <w:tcW w:w="661" w:type="pct"/>
                  <w:tcBorders>
                    <w:top w:val="single" w:color="auto" w:sz="12" w:space="0"/>
                    <w:left w:val="nil"/>
                    <w:bottom w:val="single" w:color="auto" w:sz="12" w:space="0"/>
                    <w:right w:val="single" w:color="auto" w:sz="12" w:space="0"/>
                  </w:tcBorders>
                  <w:vAlign w:val="center"/>
                </w:tcPr>
                <w:p w14:paraId="5B16B6D5">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是</w:t>
                  </w:r>
                </w:p>
              </w:tc>
            </w:tr>
            <w:tr w14:paraId="0EFE335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5000" w:type="pct"/>
                  <w:gridSpan w:val="6"/>
                  <w:tcBorders>
                    <w:top w:val="single" w:color="auto" w:sz="12" w:space="0"/>
                    <w:left w:val="single" w:color="auto" w:sz="12" w:space="0"/>
                    <w:bottom w:val="single" w:color="auto" w:sz="12" w:space="0"/>
                    <w:right w:val="single" w:color="auto" w:sz="12" w:space="0"/>
                  </w:tcBorders>
                  <w:vAlign w:val="center"/>
                </w:tcPr>
                <w:p w14:paraId="3727DAB5">
                  <w:pPr>
                    <w:pStyle w:val="156"/>
                    <w:snapToGrid w:val="0"/>
                    <w:spacing w:line="240" w:lineRule="atLeast"/>
                    <w:jc w:val="both"/>
                    <w:rPr>
                      <w:rFonts w:cs="Times New Roman"/>
                      <w:b/>
                      <w:bCs/>
                      <w:color w:val="000000" w:themeColor="text1"/>
                      <w:sz w:val="18"/>
                      <w14:textFill>
                        <w14:solidFill>
                          <w14:schemeClr w14:val="tx1"/>
                        </w14:solidFill>
                      </w14:textFill>
                    </w:rPr>
                  </w:pPr>
                  <w:r>
                    <w:rPr>
                      <w:rFonts w:hint="eastAsia" w:cs="Times New Roman"/>
                      <w:b/>
                      <w:bCs/>
                      <w:color w:val="000000" w:themeColor="text1"/>
                      <w:sz w:val="18"/>
                      <w14:textFill>
                        <w14:solidFill>
                          <w14:schemeClr w14:val="tx1"/>
                        </w14:solidFill>
                      </w14:textFill>
                    </w:rPr>
                    <w:t>危险废物暂存库</w:t>
                  </w:r>
                </w:p>
              </w:tc>
            </w:tr>
            <w:tr w14:paraId="5B8C3BF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612" w:type="pct"/>
                  <w:tcBorders>
                    <w:top w:val="single" w:color="auto" w:sz="12" w:space="0"/>
                    <w:left w:val="single" w:color="auto" w:sz="12" w:space="0"/>
                    <w:bottom w:val="single" w:color="auto" w:sz="12" w:space="0"/>
                    <w:right w:val="single" w:color="auto" w:sz="12" w:space="0"/>
                  </w:tcBorders>
                  <w:vAlign w:val="center"/>
                </w:tcPr>
                <w:p w14:paraId="49034A92">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建设面积（m</w:t>
                  </w:r>
                  <w:r>
                    <w:rPr>
                      <w:rFonts w:cs="Times New Roman"/>
                      <w:color w:val="000000" w:themeColor="text1"/>
                      <w:sz w:val="18"/>
                      <w:vertAlign w:val="superscript"/>
                      <w14:textFill>
                        <w14:solidFill>
                          <w14:schemeClr w14:val="tx1"/>
                        </w14:solidFill>
                      </w14:textFill>
                    </w:rPr>
                    <w:t>2</w:t>
                  </w:r>
                  <w:r>
                    <w:rPr>
                      <w:rFonts w:hint="eastAsia" w:cs="Times New Roman"/>
                      <w:color w:val="000000" w:themeColor="text1"/>
                      <w:sz w:val="18"/>
                      <w14:textFill>
                        <w14:solidFill>
                          <w14:schemeClr w14:val="tx1"/>
                        </w14:solidFill>
                      </w14:textFill>
                    </w:rPr>
                    <w:t>）</w:t>
                  </w:r>
                </w:p>
              </w:tc>
              <w:tc>
                <w:tcPr>
                  <w:tcW w:w="840" w:type="pct"/>
                  <w:tcBorders>
                    <w:top w:val="single" w:color="auto" w:sz="12" w:space="0"/>
                    <w:left w:val="nil"/>
                    <w:bottom w:val="single" w:color="auto" w:sz="12" w:space="0"/>
                    <w:right w:val="single" w:color="auto" w:sz="12" w:space="0"/>
                  </w:tcBorders>
                  <w:vAlign w:val="center"/>
                </w:tcPr>
                <w:p w14:paraId="1E5099F5">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理论最大储存量（t）</w:t>
                  </w:r>
                </w:p>
              </w:tc>
              <w:tc>
                <w:tcPr>
                  <w:tcW w:w="839" w:type="pct"/>
                  <w:tcBorders>
                    <w:top w:val="single" w:color="auto" w:sz="12" w:space="0"/>
                    <w:left w:val="nil"/>
                    <w:bottom w:val="single" w:color="auto" w:sz="12" w:space="0"/>
                    <w:right w:val="single" w:color="auto" w:sz="12" w:space="0"/>
                  </w:tcBorders>
                  <w:vAlign w:val="center"/>
                </w:tcPr>
                <w:p w14:paraId="152F1A75">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本项目危废产生量（t /a）</w:t>
                  </w:r>
                </w:p>
              </w:tc>
              <w:tc>
                <w:tcPr>
                  <w:tcW w:w="1225" w:type="pct"/>
                  <w:tcBorders>
                    <w:top w:val="single" w:color="auto" w:sz="12" w:space="0"/>
                    <w:left w:val="nil"/>
                    <w:bottom w:val="single" w:color="auto" w:sz="12" w:space="0"/>
                    <w:right w:val="single" w:color="auto" w:sz="12" w:space="0"/>
                  </w:tcBorders>
                  <w:vAlign w:val="center"/>
                </w:tcPr>
                <w:p w14:paraId="4B16B4CC">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本项目危废转运周期</w:t>
                  </w:r>
                </w:p>
              </w:tc>
              <w:tc>
                <w:tcPr>
                  <w:tcW w:w="819" w:type="pct"/>
                  <w:tcBorders>
                    <w:top w:val="single" w:color="auto" w:sz="12" w:space="0"/>
                    <w:left w:val="nil"/>
                    <w:bottom w:val="single" w:color="auto" w:sz="12" w:space="0"/>
                    <w:right w:val="single" w:color="auto" w:sz="12" w:space="0"/>
                  </w:tcBorders>
                  <w:vAlign w:val="center"/>
                </w:tcPr>
                <w:p w14:paraId="4122DC16">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本项目最大储存量（t）</w:t>
                  </w:r>
                </w:p>
              </w:tc>
              <w:tc>
                <w:tcPr>
                  <w:tcW w:w="661" w:type="pct"/>
                  <w:tcBorders>
                    <w:top w:val="single" w:color="auto" w:sz="12" w:space="0"/>
                    <w:left w:val="nil"/>
                    <w:bottom w:val="single" w:color="auto" w:sz="12" w:space="0"/>
                    <w:right w:val="single" w:color="auto" w:sz="12" w:space="0"/>
                  </w:tcBorders>
                  <w:vAlign w:val="center"/>
                </w:tcPr>
                <w:p w14:paraId="716219FF">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是否满足储存要求</w:t>
                  </w:r>
                </w:p>
              </w:tc>
            </w:tr>
            <w:tr w14:paraId="54734B8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45" w:hRule="atLeast"/>
              </w:trPr>
              <w:tc>
                <w:tcPr>
                  <w:tcW w:w="612" w:type="pct"/>
                  <w:tcBorders>
                    <w:top w:val="single" w:color="auto" w:sz="12" w:space="0"/>
                    <w:left w:val="single" w:color="auto" w:sz="12" w:space="0"/>
                    <w:bottom w:val="single" w:color="auto" w:sz="12" w:space="0"/>
                    <w:right w:val="single" w:color="auto" w:sz="12" w:space="0"/>
                  </w:tcBorders>
                  <w:vAlign w:val="center"/>
                </w:tcPr>
                <w:p w14:paraId="2DE4E445">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5</w:t>
                  </w:r>
                </w:p>
              </w:tc>
              <w:tc>
                <w:tcPr>
                  <w:tcW w:w="840" w:type="pct"/>
                  <w:tcBorders>
                    <w:top w:val="single" w:color="auto" w:sz="12" w:space="0"/>
                    <w:left w:val="nil"/>
                    <w:bottom w:val="single" w:color="auto" w:sz="12" w:space="0"/>
                    <w:right w:val="single" w:color="auto" w:sz="12" w:space="0"/>
                  </w:tcBorders>
                  <w:vAlign w:val="center"/>
                </w:tcPr>
                <w:p w14:paraId="411602BC">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4</w:t>
                  </w:r>
                </w:p>
              </w:tc>
              <w:tc>
                <w:tcPr>
                  <w:tcW w:w="839" w:type="pct"/>
                  <w:tcBorders>
                    <w:top w:val="single" w:color="auto" w:sz="12" w:space="0"/>
                    <w:left w:val="nil"/>
                    <w:bottom w:val="single" w:color="auto" w:sz="12" w:space="0"/>
                    <w:right w:val="single" w:color="auto" w:sz="12" w:space="0"/>
                  </w:tcBorders>
                  <w:vAlign w:val="center"/>
                </w:tcPr>
                <w:p w14:paraId="0473ADB5">
                  <w:pPr>
                    <w:pStyle w:val="156"/>
                    <w:snapToGrid w:val="0"/>
                    <w:spacing w:line="240" w:lineRule="atLeast"/>
                    <w:rPr>
                      <w:rFonts w:cs="Times New Roman"/>
                      <w:color w:val="000000" w:themeColor="text1"/>
                      <w:sz w:val="18"/>
                      <w14:textFill>
                        <w14:solidFill>
                          <w14:schemeClr w14:val="tx1"/>
                        </w14:solidFill>
                      </w14:textFill>
                    </w:rPr>
                  </w:pPr>
                  <w:r>
                    <w:rPr>
                      <w:rFonts w:cs="Times New Roman"/>
                      <w:color w:val="000000" w:themeColor="text1"/>
                      <w:sz w:val="18"/>
                      <w14:textFill>
                        <w14:solidFill>
                          <w14:schemeClr w14:val="tx1"/>
                        </w14:solidFill>
                      </w14:textFill>
                    </w:rPr>
                    <w:t>0.61</w:t>
                  </w:r>
                  <w:r>
                    <w:rPr>
                      <w:rFonts w:hint="eastAsia" w:cs="Times New Roman"/>
                      <w:color w:val="000000" w:themeColor="text1"/>
                      <w:sz w:val="18"/>
                      <w14:textFill>
                        <w14:solidFill>
                          <w14:schemeClr w14:val="tx1"/>
                        </w14:solidFill>
                      </w14:textFill>
                    </w:rPr>
                    <w:t>3</w:t>
                  </w:r>
                </w:p>
              </w:tc>
              <w:tc>
                <w:tcPr>
                  <w:tcW w:w="1225" w:type="pct"/>
                  <w:tcBorders>
                    <w:top w:val="single" w:color="auto" w:sz="12" w:space="0"/>
                    <w:left w:val="nil"/>
                    <w:bottom w:val="single" w:color="auto" w:sz="12" w:space="0"/>
                    <w:right w:val="single" w:color="auto" w:sz="12" w:space="0"/>
                  </w:tcBorders>
                  <w:vAlign w:val="center"/>
                </w:tcPr>
                <w:p w14:paraId="64DBB033">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3个月/次</w:t>
                  </w:r>
                </w:p>
              </w:tc>
              <w:tc>
                <w:tcPr>
                  <w:tcW w:w="819" w:type="pct"/>
                  <w:tcBorders>
                    <w:top w:val="single" w:color="auto" w:sz="12" w:space="0"/>
                    <w:left w:val="nil"/>
                    <w:bottom w:val="single" w:color="auto" w:sz="12" w:space="0"/>
                    <w:right w:val="single" w:color="auto" w:sz="12" w:space="0"/>
                  </w:tcBorders>
                  <w:vAlign w:val="center"/>
                </w:tcPr>
                <w:p w14:paraId="5B037E40">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0.153</w:t>
                  </w:r>
                </w:p>
              </w:tc>
              <w:tc>
                <w:tcPr>
                  <w:tcW w:w="661" w:type="pct"/>
                  <w:tcBorders>
                    <w:top w:val="single" w:color="auto" w:sz="12" w:space="0"/>
                    <w:left w:val="nil"/>
                    <w:bottom w:val="single" w:color="auto" w:sz="12" w:space="0"/>
                    <w:right w:val="single" w:color="auto" w:sz="12" w:space="0"/>
                  </w:tcBorders>
                  <w:vAlign w:val="center"/>
                </w:tcPr>
                <w:p w14:paraId="300F4268">
                  <w:pPr>
                    <w:pStyle w:val="156"/>
                    <w:snapToGrid w:val="0"/>
                    <w:spacing w:line="240" w:lineRule="atLeas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是</w:t>
                  </w:r>
                </w:p>
              </w:tc>
            </w:tr>
          </w:tbl>
          <w:p w14:paraId="66243E6C">
            <w:pPr>
              <w:spacing w:line="360" w:lineRule="auto"/>
              <w:ind w:firstLine="420"/>
              <w:rPr>
                <w:b/>
                <w:color w:val="000000" w:themeColor="text1"/>
                <w:sz w:val="24"/>
                <w14:textFill>
                  <w14:solidFill>
                    <w14:schemeClr w14:val="tx1"/>
                  </w14:solidFill>
                </w14:textFill>
              </w:rPr>
            </w:pPr>
            <w:r>
              <w:rPr>
                <w:b/>
                <w:color w:val="000000" w:themeColor="text1"/>
                <w:sz w:val="24"/>
                <w14:textFill>
                  <w14:solidFill>
                    <w14:schemeClr w14:val="tx1"/>
                  </w14:solidFill>
                </w14:textFill>
              </w:rPr>
              <w:t>五、运营期地下水、土壤环境影响和保护措施</w:t>
            </w:r>
          </w:p>
          <w:p w14:paraId="177B95AB">
            <w:pPr>
              <w:spacing w:line="360" w:lineRule="auto"/>
              <w:ind w:firstLine="482" w:firstLineChars="200"/>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1、污染源、污染物类型和污染途径</w:t>
            </w:r>
          </w:p>
          <w:p w14:paraId="7B299231">
            <w:pPr>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表4-</w:t>
            </w:r>
            <w:r>
              <w:rPr>
                <w:rFonts w:hint="eastAsia"/>
                <w:b/>
                <w:bCs/>
                <w:color w:val="000000" w:themeColor="text1"/>
                <w:sz w:val="24"/>
                <w14:textFill>
                  <w14:solidFill>
                    <w14:schemeClr w14:val="tx1"/>
                  </w14:solidFill>
                </w14:textFill>
              </w:rPr>
              <w:t>20</w:t>
            </w:r>
            <w:r>
              <w:rPr>
                <w:b/>
                <w:bCs/>
                <w:color w:val="000000" w:themeColor="text1"/>
                <w:sz w:val="24"/>
                <w14:textFill>
                  <w14:solidFill>
                    <w14:schemeClr w14:val="tx1"/>
                  </w14:solidFill>
                </w14:textFill>
              </w:rPr>
              <w:t xml:space="preserve">   污染源、污染物类型和可能的污染途径</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3097"/>
              <w:gridCol w:w="2852"/>
              <w:gridCol w:w="7660"/>
            </w:tblGrid>
            <w:tr w14:paraId="3B28C74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1138" w:type="pct"/>
                  <w:tcBorders>
                    <w:top w:val="single" w:color="auto" w:sz="12" w:space="0"/>
                    <w:left w:val="single" w:color="auto" w:sz="12" w:space="0"/>
                    <w:bottom w:val="single" w:color="auto" w:sz="12" w:space="0"/>
                    <w:right w:val="single" w:color="auto" w:sz="12" w:space="0"/>
                  </w:tcBorders>
                  <w:vAlign w:val="center"/>
                </w:tcPr>
                <w:p w14:paraId="04DA502D">
                  <w:pPr>
                    <w:jc w:val="center"/>
                    <w:rPr>
                      <w:b/>
                      <w:color w:val="000000" w:themeColor="text1"/>
                      <w:sz w:val="18"/>
                      <w:szCs w:val="18"/>
                      <w14:textFill>
                        <w14:solidFill>
                          <w14:schemeClr w14:val="tx1"/>
                        </w14:solidFill>
                      </w14:textFill>
                    </w:rPr>
                  </w:pPr>
                  <w:r>
                    <w:rPr>
                      <w:b/>
                      <w:color w:val="000000" w:themeColor="text1"/>
                      <w:sz w:val="18"/>
                      <w:szCs w:val="18"/>
                      <w14:textFill>
                        <w14:solidFill>
                          <w14:schemeClr w14:val="tx1"/>
                        </w14:solidFill>
                      </w14:textFill>
                    </w:rPr>
                    <w:t>污染源</w:t>
                  </w:r>
                </w:p>
              </w:tc>
              <w:tc>
                <w:tcPr>
                  <w:tcW w:w="1048" w:type="pct"/>
                  <w:tcBorders>
                    <w:top w:val="single" w:color="auto" w:sz="12" w:space="0"/>
                    <w:left w:val="single" w:color="auto" w:sz="12" w:space="0"/>
                    <w:bottom w:val="single" w:color="auto" w:sz="12" w:space="0"/>
                    <w:right w:val="single" w:color="auto" w:sz="12" w:space="0"/>
                  </w:tcBorders>
                  <w:vAlign w:val="center"/>
                </w:tcPr>
                <w:p w14:paraId="464270E4">
                  <w:pPr>
                    <w:jc w:val="center"/>
                    <w:rPr>
                      <w:b/>
                      <w:color w:val="000000" w:themeColor="text1"/>
                      <w:sz w:val="18"/>
                      <w:szCs w:val="18"/>
                      <w14:textFill>
                        <w14:solidFill>
                          <w14:schemeClr w14:val="tx1"/>
                        </w14:solidFill>
                      </w14:textFill>
                    </w:rPr>
                  </w:pPr>
                  <w:r>
                    <w:rPr>
                      <w:b/>
                      <w:color w:val="000000" w:themeColor="text1"/>
                      <w:sz w:val="18"/>
                      <w:szCs w:val="18"/>
                      <w14:textFill>
                        <w14:solidFill>
                          <w14:schemeClr w14:val="tx1"/>
                        </w14:solidFill>
                      </w14:textFill>
                    </w:rPr>
                    <w:t>污染物类型</w:t>
                  </w:r>
                </w:p>
              </w:tc>
              <w:tc>
                <w:tcPr>
                  <w:tcW w:w="2814" w:type="pct"/>
                  <w:tcBorders>
                    <w:top w:val="single" w:color="auto" w:sz="12" w:space="0"/>
                    <w:left w:val="single" w:color="auto" w:sz="4" w:space="0"/>
                    <w:bottom w:val="single" w:color="auto" w:sz="12" w:space="0"/>
                    <w:right w:val="single" w:color="auto" w:sz="12" w:space="0"/>
                  </w:tcBorders>
                  <w:vAlign w:val="center"/>
                </w:tcPr>
                <w:p w14:paraId="7DF1AA8C">
                  <w:pPr>
                    <w:jc w:val="center"/>
                    <w:rPr>
                      <w:b/>
                      <w:color w:val="000000" w:themeColor="text1"/>
                      <w:sz w:val="18"/>
                      <w:szCs w:val="18"/>
                      <w14:textFill>
                        <w14:solidFill>
                          <w14:schemeClr w14:val="tx1"/>
                        </w14:solidFill>
                      </w14:textFill>
                    </w:rPr>
                  </w:pPr>
                  <w:r>
                    <w:rPr>
                      <w:b/>
                      <w:color w:val="000000" w:themeColor="text1"/>
                      <w:sz w:val="18"/>
                      <w:szCs w:val="18"/>
                      <w14:textFill>
                        <w14:solidFill>
                          <w14:schemeClr w14:val="tx1"/>
                        </w14:solidFill>
                      </w14:textFill>
                    </w:rPr>
                    <w:t>可能的污染途径</w:t>
                  </w:r>
                </w:p>
              </w:tc>
            </w:tr>
            <w:tr w14:paraId="0366D32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1138" w:type="pct"/>
                  <w:tcBorders>
                    <w:top w:val="single" w:color="auto" w:sz="12" w:space="0"/>
                    <w:left w:val="single" w:color="auto" w:sz="12" w:space="0"/>
                    <w:bottom w:val="single" w:color="auto" w:sz="12" w:space="0"/>
                    <w:right w:val="single" w:color="auto" w:sz="12" w:space="0"/>
                  </w:tcBorders>
                  <w:vAlign w:val="center"/>
                </w:tcPr>
                <w:p w14:paraId="2670CEF9">
                  <w:pPr>
                    <w:pStyle w:val="156"/>
                    <w:snapToGrid w:val="0"/>
                    <w:spacing w:line="240" w:lineRule="atLeast"/>
                    <w:rPr>
                      <w:rFonts w:cs="Times New Roman"/>
                      <w:color w:val="000000" w:themeColor="text1"/>
                      <w:sz w:val="18"/>
                      <w14:textFill>
                        <w14:solidFill>
                          <w14:schemeClr w14:val="tx1"/>
                        </w14:solidFill>
                      </w14:textFill>
                    </w:rPr>
                  </w:pPr>
                  <w:r>
                    <w:rPr>
                      <w:rFonts w:cs="Times New Roman"/>
                      <w:color w:val="000000" w:themeColor="text1"/>
                      <w:sz w:val="18"/>
                      <w14:textFill>
                        <w14:solidFill>
                          <w14:schemeClr w14:val="tx1"/>
                        </w14:solidFill>
                      </w14:textFill>
                    </w:rPr>
                    <w:t>危废暂存间地面</w:t>
                  </w:r>
                </w:p>
              </w:tc>
              <w:tc>
                <w:tcPr>
                  <w:tcW w:w="1048" w:type="pct"/>
                  <w:tcBorders>
                    <w:top w:val="single" w:color="auto" w:sz="12" w:space="0"/>
                    <w:left w:val="single" w:color="auto" w:sz="12" w:space="0"/>
                    <w:bottom w:val="single" w:color="auto" w:sz="12" w:space="0"/>
                    <w:right w:val="single" w:color="auto" w:sz="12" w:space="0"/>
                  </w:tcBorders>
                  <w:vAlign w:val="center"/>
                </w:tcPr>
                <w:p w14:paraId="50C0EF70">
                  <w:pPr>
                    <w:widowControl/>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机油</w:t>
                  </w:r>
                </w:p>
              </w:tc>
              <w:tc>
                <w:tcPr>
                  <w:tcW w:w="2814" w:type="pct"/>
                  <w:tcBorders>
                    <w:top w:val="single" w:color="auto" w:sz="12" w:space="0"/>
                    <w:left w:val="single" w:color="auto" w:sz="4" w:space="0"/>
                    <w:bottom w:val="single" w:color="auto" w:sz="12" w:space="0"/>
                    <w:right w:val="single" w:color="auto" w:sz="12" w:space="0"/>
                  </w:tcBorders>
                  <w:vAlign w:val="center"/>
                </w:tcPr>
                <w:p w14:paraId="14AE7262">
                  <w:pPr>
                    <w:pStyle w:val="156"/>
                    <w:snapToGrid w:val="0"/>
                    <w:spacing w:line="240" w:lineRule="atLeast"/>
                    <w:jc w:val="left"/>
                    <w:rPr>
                      <w:rFonts w:cs="Times New Roman"/>
                      <w:color w:val="000000" w:themeColor="text1"/>
                      <w:sz w:val="18"/>
                      <w14:textFill>
                        <w14:solidFill>
                          <w14:schemeClr w14:val="tx1"/>
                        </w14:solidFill>
                      </w14:textFill>
                    </w:rPr>
                  </w:pPr>
                  <w:r>
                    <w:rPr>
                      <w:rFonts w:hint="eastAsia" w:cs="Times New Roman"/>
                      <w:bCs/>
                      <w:color w:val="000000" w:themeColor="text1"/>
                      <w:sz w:val="18"/>
                      <w14:textFill>
                        <w14:solidFill>
                          <w14:schemeClr w14:val="tx1"/>
                        </w14:solidFill>
                      </w14:textFill>
                    </w:rPr>
                    <w:t>危废暂存间地面</w:t>
                  </w:r>
                  <w:r>
                    <w:rPr>
                      <w:rFonts w:cs="Times New Roman"/>
                      <w:bCs/>
                      <w:color w:val="000000" w:themeColor="text1"/>
                      <w:sz w:val="18"/>
                      <w14:textFill>
                        <w14:solidFill>
                          <w14:schemeClr w14:val="tx1"/>
                        </w14:solidFill>
                      </w14:textFill>
                    </w:rPr>
                    <w:t>发生破损导致产生泄漏，</w:t>
                  </w:r>
                  <w:r>
                    <w:rPr>
                      <w:rFonts w:hint="eastAsia" w:cs="Times New Roman"/>
                      <w:bCs/>
                      <w:color w:val="000000" w:themeColor="text1"/>
                      <w:sz w:val="18"/>
                      <w14:textFill>
                        <w14:solidFill>
                          <w14:schemeClr w14:val="tx1"/>
                        </w14:solidFill>
                      </w14:textFill>
                    </w:rPr>
                    <w:t>进</w:t>
                  </w:r>
                  <w:r>
                    <w:rPr>
                      <w:rFonts w:cs="Times New Roman"/>
                      <w:bCs/>
                      <w:color w:val="000000" w:themeColor="text1"/>
                      <w:sz w:val="18"/>
                      <w14:textFill>
                        <w14:solidFill>
                          <w14:schemeClr w14:val="tx1"/>
                        </w14:solidFill>
                      </w14:textFill>
                    </w:rPr>
                    <w:t>而影响周边土壤环境</w:t>
                  </w:r>
                </w:p>
              </w:tc>
            </w:tr>
          </w:tbl>
          <w:p w14:paraId="1ABF1F77">
            <w:pPr>
              <w:spacing w:line="360" w:lineRule="auto"/>
              <w:ind w:firstLine="482" w:firstLineChars="200"/>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2、防控措施</w:t>
            </w:r>
          </w:p>
          <w:p w14:paraId="3126D6B9">
            <w:pPr>
              <w:snapToGrid w:val="0"/>
              <w:spacing w:line="360" w:lineRule="auto"/>
              <w:ind w:firstLine="488"/>
              <w:rPr>
                <w:color w:val="000000" w:themeColor="text1"/>
                <w:sz w:val="24"/>
                <w14:textFill>
                  <w14:solidFill>
                    <w14:schemeClr w14:val="tx1"/>
                  </w14:solidFill>
                </w14:textFill>
              </w:rPr>
            </w:pPr>
            <w:bookmarkStart w:id="58" w:name="_Toc355843842"/>
            <w:r>
              <w:rPr>
                <w:color w:val="000000" w:themeColor="text1"/>
                <w:sz w:val="24"/>
                <w14:textFill>
                  <w14:solidFill>
                    <w14:schemeClr w14:val="tx1"/>
                  </w14:solidFill>
                </w14:textFill>
              </w:rPr>
              <w:t>本项目地下水和土壤污染防治措施应按照“源头控制、分区防渗、污染监控、应急响应”相结合的原则，从污染物的产生、入渗、扩散、应急响应全方位进行防控。</w:t>
            </w:r>
          </w:p>
          <w:p w14:paraId="3A083D6A">
            <w:pPr>
              <w:snapToGrid w:val="0"/>
              <w:spacing w:line="360" w:lineRule="auto"/>
              <w:ind w:firstLine="488"/>
              <w:rPr>
                <w:color w:val="000000" w:themeColor="text1"/>
                <w:sz w:val="24"/>
                <w14:textFill>
                  <w14:solidFill>
                    <w14:schemeClr w14:val="tx1"/>
                  </w14:solidFill>
                </w14:textFill>
              </w:rPr>
            </w:pPr>
            <w:r>
              <w:rPr>
                <w:color w:val="000000" w:themeColor="text1"/>
                <w:sz w:val="24"/>
                <w14:textFill>
                  <w14:solidFill>
                    <w14:schemeClr w14:val="tx1"/>
                  </w14:solidFill>
                </w14:textFill>
              </w:rPr>
              <w:t>（1）源头控制措施</w:t>
            </w:r>
          </w:p>
          <w:p w14:paraId="6928ECEA">
            <w:pPr>
              <w:snapToGrid w:val="0"/>
              <w:spacing w:line="360" w:lineRule="auto"/>
              <w:ind w:firstLine="488"/>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在工程设计过程中，采用先进的技术、工艺、设备，实施清洁生产，防止跑冒滴漏，防止污染物泄漏；注意对厂房地面防腐防渗要求，排水管道的防腐防渗要求，防止污染物下渗，污染土壤和地下水环境。</w:t>
            </w:r>
          </w:p>
          <w:p w14:paraId="6215ABF1">
            <w:pPr>
              <w:snapToGrid w:val="0"/>
              <w:spacing w:line="360" w:lineRule="auto"/>
              <w:ind w:firstLine="488"/>
              <w:rPr>
                <w:color w:val="000000" w:themeColor="text1"/>
                <w:sz w:val="24"/>
                <w14:textFill>
                  <w14:solidFill>
                    <w14:schemeClr w14:val="tx1"/>
                  </w14:solidFill>
                </w14:textFill>
              </w:rPr>
            </w:pPr>
            <w:r>
              <w:rPr>
                <w:color w:val="000000" w:themeColor="text1"/>
                <w:sz w:val="24"/>
                <w14:textFill>
                  <w14:solidFill>
                    <w14:schemeClr w14:val="tx1"/>
                  </w14:solidFill>
                </w14:textFill>
              </w:rPr>
              <w:t>（2）防渗措施</w:t>
            </w:r>
            <w:bookmarkEnd w:id="58"/>
          </w:p>
          <w:p w14:paraId="74721BB5">
            <w:pPr>
              <w:snapToGrid w:val="0"/>
              <w:spacing w:line="360" w:lineRule="auto"/>
              <w:ind w:firstLine="488"/>
              <w:rPr>
                <w:color w:val="000000" w:themeColor="text1"/>
                <w:sz w:val="24"/>
                <w14:textFill>
                  <w14:solidFill>
                    <w14:schemeClr w14:val="tx1"/>
                  </w14:solidFill>
                </w14:textFill>
              </w:rPr>
            </w:pPr>
            <w:r>
              <w:rPr>
                <w:color w:val="000000" w:themeColor="text1"/>
                <w:sz w:val="24"/>
                <w14:textFill>
                  <w14:solidFill>
                    <w14:schemeClr w14:val="tx1"/>
                  </w14:solidFill>
                </w14:textFill>
              </w:rPr>
              <w:t>加强生产设备的管理，对可能产生跑、冒、滴、漏的场地进行防渗处理。根据项目各功能单元是否可能对地下水造成污染及其风险程度，将项目所在区域划分为重点防渗区、一般防渗区和简单防渗区。</w:t>
            </w:r>
          </w:p>
          <w:p w14:paraId="589DE2D1">
            <w:pPr>
              <w:snapToGrid w:val="0"/>
              <w:spacing w:line="360" w:lineRule="auto"/>
              <w:ind w:firstLine="488"/>
              <w:rPr>
                <w:color w:val="000000" w:themeColor="text1"/>
                <w:sz w:val="24"/>
                <w14:textFill>
                  <w14:solidFill>
                    <w14:schemeClr w14:val="tx1"/>
                  </w14:solidFill>
                </w14:textFill>
              </w:rPr>
            </w:pPr>
            <w:r>
              <w:rPr>
                <w:color w:val="000000" w:themeColor="text1"/>
                <w:sz w:val="24"/>
                <w14:textFill>
                  <w14:solidFill>
                    <w14:schemeClr w14:val="tx1"/>
                  </w14:solidFill>
                </w14:textFill>
              </w:rPr>
              <w:t>重点防渗区是可能会对地下水造成污染，风险程度较高或污染物浓度较高，需要重点防治或者需要重点保护的区域。一般防渗区是可能会对地下水造成污染，但危害性或风险程度相对较低的区域。简单防渗区为不会对地下水造成污染的区域。本项目防渗分区如下表所示。</w:t>
            </w:r>
          </w:p>
          <w:p w14:paraId="3C1353B4">
            <w:pPr>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表4-</w:t>
            </w:r>
            <w:r>
              <w:rPr>
                <w:rFonts w:hint="eastAsia"/>
                <w:b/>
                <w:bCs/>
                <w:color w:val="000000" w:themeColor="text1"/>
                <w:sz w:val="24"/>
                <w14:textFill>
                  <w14:solidFill>
                    <w14:schemeClr w14:val="tx1"/>
                  </w14:solidFill>
                </w14:textFill>
              </w:rPr>
              <w:t>21</w:t>
            </w:r>
            <w:r>
              <w:rPr>
                <w:b/>
                <w:bCs/>
                <w:color w:val="000000" w:themeColor="text1"/>
                <w:sz w:val="24"/>
                <w14:textFill>
                  <w14:solidFill>
                    <w14:schemeClr w14:val="tx1"/>
                  </w14:solidFill>
                </w14:textFill>
              </w:rPr>
              <w:t xml:space="preserve">  项目污染区划分及防渗等级一览表</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042"/>
              <w:gridCol w:w="3345"/>
              <w:gridCol w:w="1042"/>
              <w:gridCol w:w="1524"/>
              <w:gridCol w:w="6656"/>
            </w:tblGrid>
            <w:tr w14:paraId="6BF4180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383" w:type="pct"/>
                  <w:vAlign w:val="center"/>
                </w:tcPr>
                <w:p w14:paraId="4C7EE9D2">
                  <w:pPr>
                    <w:snapToGrid w:val="0"/>
                    <w:jc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序号</w:t>
                  </w:r>
                </w:p>
              </w:tc>
              <w:tc>
                <w:tcPr>
                  <w:tcW w:w="1612" w:type="pct"/>
                  <w:gridSpan w:val="2"/>
                  <w:vAlign w:val="center"/>
                </w:tcPr>
                <w:p w14:paraId="3BDCF76E">
                  <w:pPr>
                    <w:snapToGrid w:val="0"/>
                    <w:jc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防渗区域或部位</w:t>
                  </w:r>
                </w:p>
              </w:tc>
              <w:tc>
                <w:tcPr>
                  <w:tcW w:w="560" w:type="pct"/>
                  <w:vAlign w:val="center"/>
                </w:tcPr>
                <w:p w14:paraId="270CFE25">
                  <w:pPr>
                    <w:snapToGrid w:val="0"/>
                    <w:jc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防渗等级</w:t>
                  </w:r>
                </w:p>
              </w:tc>
              <w:tc>
                <w:tcPr>
                  <w:tcW w:w="2445" w:type="pct"/>
                  <w:vAlign w:val="center"/>
                </w:tcPr>
                <w:p w14:paraId="387E9A59">
                  <w:pPr>
                    <w:snapToGrid w:val="0"/>
                    <w:jc w:val="center"/>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防渗要求</w:t>
                  </w:r>
                </w:p>
              </w:tc>
            </w:tr>
            <w:tr w14:paraId="26CCF38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39" w:hRule="atLeast"/>
              </w:trPr>
              <w:tc>
                <w:tcPr>
                  <w:tcW w:w="383" w:type="pct"/>
                  <w:vAlign w:val="center"/>
                </w:tcPr>
                <w:p w14:paraId="0E4BB51E">
                  <w:pPr>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p>
              </w:tc>
              <w:tc>
                <w:tcPr>
                  <w:tcW w:w="1229" w:type="pct"/>
                  <w:vAlign w:val="center"/>
                </w:tcPr>
                <w:p w14:paraId="09700642">
                  <w:pPr>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生产车间、原料堆放区、半成品堆放区、沉淀池、压滤间、一般固废暂存间、化粪池</w:t>
                  </w:r>
                </w:p>
              </w:tc>
              <w:tc>
                <w:tcPr>
                  <w:tcW w:w="383" w:type="pct"/>
                  <w:vAlign w:val="center"/>
                </w:tcPr>
                <w:p w14:paraId="29ACDAF5">
                  <w:pPr>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地面</w:t>
                  </w:r>
                </w:p>
              </w:tc>
              <w:tc>
                <w:tcPr>
                  <w:tcW w:w="560" w:type="pct"/>
                  <w:vAlign w:val="center"/>
                </w:tcPr>
                <w:p w14:paraId="6758BFB2">
                  <w:pPr>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一般防渗区</w:t>
                  </w:r>
                </w:p>
              </w:tc>
              <w:tc>
                <w:tcPr>
                  <w:tcW w:w="2445" w:type="pct"/>
                  <w:vMerge w:val="restart"/>
                  <w:vAlign w:val="center"/>
                </w:tcPr>
                <w:p w14:paraId="52BEEF92">
                  <w:pPr>
                    <w:pStyle w:val="128"/>
                    <w:jc w:val="left"/>
                    <w:rPr>
                      <w:color w:val="000000" w:themeColor="text1"/>
                      <w14:textFill>
                        <w14:solidFill>
                          <w14:schemeClr w14:val="tx1"/>
                        </w14:solidFill>
                      </w14:textFill>
                    </w:rPr>
                  </w:pPr>
                  <w:r>
                    <w:rPr>
                      <w:color w:val="000000" w:themeColor="text1"/>
                      <w14:textFill>
                        <w14:solidFill>
                          <w14:schemeClr w14:val="tx1"/>
                        </w14:solidFill>
                      </w14:textFill>
                    </w:rPr>
                    <w:t>一般防渗区：等效黏土防渗层Mb≥1.5m，K≤10</w:t>
                  </w:r>
                  <w:r>
                    <w:rPr>
                      <w:color w:val="000000" w:themeColor="text1"/>
                      <w:vertAlign w:val="superscript"/>
                      <w14:textFill>
                        <w14:solidFill>
                          <w14:schemeClr w14:val="tx1"/>
                        </w14:solidFill>
                      </w14:textFill>
                    </w:rPr>
                    <w:t>-7</w:t>
                  </w:r>
                  <w:r>
                    <w:rPr>
                      <w:color w:val="000000" w:themeColor="text1"/>
                      <w14:textFill>
                        <w14:solidFill>
                          <w14:schemeClr w14:val="tx1"/>
                        </w14:solidFill>
                      </w14:textFill>
                    </w:rPr>
                    <w:t>m/s；或参照GB16889执行</w:t>
                  </w:r>
                </w:p>
                <w:p w14:paraId="01F9A110">
                  <w:pPr>
                    <w:pStyle w:val="22"/>
                    <w:jc w:val="left"/>
                    <w:rPr>
                      <w:rFonts w:ascii="Times New Roman" w:hAnsi="Times New Roman"/>
                      <w:color w:val="000000" w:themeColor="text1"/>
                      <w:sz w:val="18"/>
                      <w:szCs w:val="18"/>
                      <w14:textFill>
                        <w14:solidFill>
                          <w14:schemeClr w14:val="tx1"/>
                        </w14:solidFill>
                      </w14:textFill>
                    </w:rPr>
                  </w:pPr>
                  <w:r>
                    <w:rPr>
                      <w:rFonts w:ascii="Times New Roman" w:hAnsi="Times New Roman"/>
                      <w:color w:val="000000" w:themeColor="text1"/>
                      <w:sz w:val="18"/>
                      <w:szCs w:val="18"/>
                      <w14:textFill>
                        <w14:solidFill>
                          <w14:schemeClr w14:val="tx1"/>
                        </w14:solidFill>
                      </w14:textFill>
                    </w:rPr>
                    <w:t>重点防渗区：等效黏土防渗层Mb≥6.0m，K≤10-7m/s；或参照GB18598执行</w:t>
                  </w:r>
                </w:p>
                <w:p w14:paraId="60A4A14D">
                  <w:pPr>
                    <w:pStyle w:val="22"/>
                    <w:jc w:val="left"/>
                    <w:rPr>
                      <w:rFonts w:ascii="Times New Roman" w:hAnsi="Times New Roman"/>
                      <w:color w:val="000000" w:themeColor="text1"/>
                      <w14:textFill>
                        <w14:solidFill>
                          <w14:schemeClr w14:val="tx1"/>
                        </w14:solidFill>
                      </w14:textFill>
                    </w:rPr>
                  </w:pPr>
                  <w:r>
                    <w:rPr>
                      <w:rFonts w:hint="eastAsia" w:ascii="Times New Roman" w:hAnsi="Times New Roman"/>
                      <w:color w:val="000000" w:themeColor="text1"/>
                      <w:sz w:val="18"/>
                      <w:szCs w:val="18"/>
                      <w14:textFill>
                        <w14:solidFill>
                          <w14:schemeClr w14:val="tx1"/>
                        </w14:solidFill>
                      </w14:textFill>
                    </w:rPr>
                    <w:t>简单防渗区：一般地面水泥硬化</w:t>
                  </w:r>
                </w:p>
              </w:tc>
            </w:tr>
            <w:tr w14:paraId="7D73DF7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383" w:type="pct"/>
                  <w:vAlign w:val="center"/>
                </w:tcPr>
                <w:p w14:paraId="1FA813E8">
                  <w:pPr>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p>
              </w:tc>
              <w:tc>
                <w:tcPr>
                  <w:tcW w:w="1229" w:type="pct"/>
                  <w:vAlign w:val="center"/>
                </w:tcPr>
                <w:p w14:paraId="0E108127">
                  <w:pPr>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隔油池、</w:t>
                  </w:r>
                  <w:r>
                    <w:rPr>
                      <w:color w:val="000000" w:themeColor="text1"/>
                      <w:sz w:val="18"/>
                      <w:szCs w:val="18"/>
                      <w14:textFill>
                        <w14:solidFill>
                          <w14:schemeClr w14:val="tx1"/>
                        </w14:solidFill>
                      </w14:textFill>
                    </w:rPr>
                    <w:t>危废暂存间</w:t>
                  </w:r>
                </w:p>
              </w:tc>
              <w:tc>
                <w:tcPr>
                  <w:tcW w:w="383" w:type="pct"/>
                  <w:vAlign w:val="center"/>
                </w:tcPr>
                <w:p w14:paraId="2A376ECA">
                  <w:pPr>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地面</w:t>
                  </w:r>
                </w:p>
              </w:tc>
              <w:tc>
                <w:tcPr>
                  <w:tcW w:w="560" w:type="pct"/>
                  <w:vAlign w:val="center"/>
                </w:tcPr>
                <w:p w14:paraId="2BA20903">
                  <w:pPr>
                    <w:snapToGrid w:val="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重点防渗区</w:t>
                  </w:r>
                </w:p>
              </w:tc>
              <w:tc>
                <w:tcPr>
                  <w:tcW w:w="2445" w:type="pct"/>
                  <w:vMerge w:val="continue"/>
                  <w:vAlign w:val="center"/>
                </w:tcPr>
                <w:p w14:paraId="02407277">
                  <w:pPr>
                    <w:pStyle w:val="22"/>
                    <w:ind w:firstLine="376"/>
                    <w:jc w:val="left"/>
                    <w:rPr>
                      <w:rFonts w:ascii="Times New Roman" w:hAnsi="Times New Roman"/>
                      <w:color w:val="000000" w:themeColor="text1"/>
                      <w:sz w:val="18"/>
                      <w:szCs w:val="18"/>
                      <w14:textFill>
                        <w14:solidFill>
                          <w14:schemeClr w14:val="tx1"/>
                        </w14:solidFill>
                      </w14:textFill>
                    </w:rPr>
                  </w:pPr>
                </w:p>
              </w:tc>
            </w:tr>
            <w:tr w14:paraId="586F2A8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383" w:type="pct"/>
                  <w:vAlign w:val="center"/>
                </w:tcPr>
                <w:p w14:paraId="61501CAA">
                  <w:pPr>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w:t>
                  </w:r>
                </w:p>
              </w:tc>
              <w:tc>
                <w:tcPr>
                  <w:tcW w:w="1229" w:type="pct"/>
                  <w:vAlign w:val="center"/>
                </w:tcPr>
                <w:p w14:paraId="59688717">
                  <w:pPr>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其他区域</w:t>
                  </w:r>
                </w:p>
              </w:tc>
              <w:tc>
                <w:tcPr>
                  <w:tcW w:w="383" w:type="pct"/>
                  <w:vAlign w:val="center"/>
                </w:tcPr>
                <w:p w14:paraId="1A135553">
                  <w:pPr>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地面</w:t>
                  </w:r>
                </w:p>
              </w:tc>
              <w:tc>
                <w:tcPr>
                  <w:tcW w:w="560" w:type="pct"/>
                  <w:vAlign w:val="center"/>
                </w:tcPr>
                <w:p w14:paraId="72BD0E11">
                  <w:pPr>
                    <w:snapToGrid w:val="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简单防渗区</w:t>
                  </w:r>
                </w:p>
              </w:tc>
              <w:tc>
                <w:tcPr>
                  <w:tcW w:w="2445" w:type="pct"/>
                  <w:vMerge w:val="continue"/>
                  <w:vAlign w:val="center"/>
                </w:tcPr>
                <w:p w14:paraId="59D195DD">
                  <w:pPr>
                    <w:pStyle w:val="22"/>
                    <w:ind w:firstLine="376"/>
                    <w:jc w:val="left"/>
                    <w:rPr>
                      <w:rFonts w:ascii="Times New Roman" w:hAnsi="Times New Roman"/>
                      <w:color w:val="000000" w:themeColor="text1"/>
                      <w:sz w:val="18"/>
                      <w:szCs w:val="18"/>
                      <w14:textFill>
                        <w14:solidFill>
                          <w14:schemeClr w14:val="tx1"/>
                        </w14:solidFill>
                      </w14:textFill>
                    </w:rPr>
                  </w:pPr>
                </w:p>
              </w:tc>
            </w:tr>
          </w:tbl>
          <w:p w14:paraId="3BBE944B">
            <w:pPr>
              <w:snapToGrid w:val="0"/>
              <w:spacing w:line="360" w:lineRule="auto"/>
              <w:ind w:firstLine="482" w:firstLineChars="200"/>
              <w:rPr>
                <w:b/>
                <w:color w:val="000000" w:themeColor="text1"/>
                <w:sz w:val="24"/>
                <w14:textFill>
                  <w14:solidFill>
                    <w14:schemeClr w14:val="tx1"/>
                  </w14:solidFill>
                </w14:textFill>
              </w:rPr>
            </w:pPr>
            <w:r>
              <w:rPr>
                <w:b/>
                <w:color w:val="000000" w:themeColor="text1"/>
                <w:sz w:val="24"/>
                <w14:textFill>
                  <w14:solidFill>
                    <w14:schemeClr w14:val="tx1"/>
                  </w14:solidFill>
                </w14:textFill>
              </w:rPr>
              <w:t>六、</w:t>
            </w:r>
            <w:r>
              <w:rPr>
                <w:rFonts w:hint="eastAsia"/>
                <w:b/>
                <w:color w:val="000000" w:themeColor="text1"/>
                <w:sz w:val="24"/>
                <w14:textFill>
                  <w14:solidFill>
                    <w14:schemeClr w14:val="tx1"/>
                  </w14:solidFill>
                </w14:textFill>
              </w:rPr>
              <w:t>生态环境</w:t>
            </w:r>
          </w:p>
          <w:p w14:paraId="194BDDA3">
            <w:pPr>
              <w:snapToGrid w:val="0"/>
              <w:spacing w:line="360" w:lineRule="auto"/>
              <w:ind w:firstLine="480" w:firstLineChars="200"/>
              <w:rPr>
                <w:color w:val="000000" w:themeColor="text1"/>
                <w:kern w:val="0"/>
                <w:sz w:val="24"/>
                <w14:textFill>
                  <w14:solidFill>
                    <w14:schemeClr w14:val="tx1"/>
                  </w14:solidFill>
                </w14:textFill>
              </w:rPr>
            </w:pPr>
            <w:r>
              <w:rPr>
                <w:rFonts w:hint="eastAsia"/>
                <w:color w:val="000000" w:themeColor="text1"/>
                <w:sz w:val="24"/>
                <w14:textFill>
                  <w14:solidFill>
                    <w14:schemeClr w14:val="tx1"/>
                  </w14:solidFill>
                </w14:textFill>
              </w:rPr>
              <w:t>本建设项目选址位于</w:t>
            </w:r>
            <w:r>
              <w:rPr>
                <w:rFonts w:hint="eastAsia"/>
                <w:color w:val="000000" w:themeColor="text1"/>
                <w:kern w:val="0"/>
                <w:sz w:val="24"/>
                <w14:textFill>
                  <w14:solidFill>
                    <w14:schemeClr w14:val="tx1"/>
                  </w14:solidFill>
                </w14:textFill>
              </w:rPr>
              <w:t>江西省景德镇市乐平市金山工业园金一路CH-1地块，用地性质为工业用地，不涉及拆迁和安置。现场调查表明，项目用地系统生物多样性程度较低，区域内没有属于重点保护的动植物资源、古树名木、自然保护区和需要重点保护的栖息地以及其他生态敏感点。</w:t>
            </w:r>
          </w:p>
          <w:p w14:paraId="0E826845">
            <w:pPr>
              <w:snapToGrid w:val="0"/>
              <w:spacing w:line="360" w:lineRule="auto"/>
              <w:ind w:firstLine="480" w:firstLineChars="200"/>
              <w:rPr>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因此，本项目的建设不会对周围的生态环境产生明显的影响。</w:t>
            </w:r>
          </w:p>
          <w:p w14:paraId="3BE6DF6E">
            <w:pPr>
              <w:snapToGrid w:val="0"/>
              <w:spacing w:line="360" w:lineRule="auto"/>
              <w:ind w:firstLine="482" w:firstLineChars="200"/>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七</w:t>
            </w:r>
            <w:r>
              <w:rPr>
                <w:b/>
                <w:color w:val="000000" w:themeColor="text1"/>
                <w:sz w:val="24"/>
                <w14:textFill>
                  <w14:solidFill>
                    <w14:schemeClr w14:val="tx1"/>
                  </w14:solidFill>
                </w14:textFill>
              </w:rPr>
              <w:t>、运营期环境风险影响分析和保护措施</w:t>
            </w:r>
          </w:p>
          <w:p w14:paraId="231659ED">
            <w:pPr>
              <w:snapToGrid w:val="0"/>
              <w:spacing w:line="360" w:lineRule="auto"/>
              <w:ind w:firstLine="482" w:firstLineChars="200"/>
              <w:rPr>
                <w:b/>
                <w:color w:val="000000" w:themeColor="text1"/>
                <w:sz w:val="24"/>
                <w14:textFill>
                  <w14:solidFill>
                    <w14:schemeClr w14:val="tx1"/>
                  </w14:solidFill>
                </w14:textFill>
              </w:rPr>
            </w:pPr>
            <w:r>
              <w:rPr>
                <w:b/>
                <w:color w:val="000000" w:themeColor="text1"/>
                <w:sz w:val="24"/>
                <w14:textFill>
                  <w14:solidFill>
                    <w14:schemeClr w14:val="tx1"/>
                  </w14:solidFill>
                </w14:textFill>
              </w:rPr>
              <w:t>1、危险物质及风险源分布情况</w:t>
            </w:r>
          </w:p>
          <w:p w14:paraId="2B84A035">
            <w:pPr>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表4-</w:t>
            </w:r>
            <w:r>
              <w:rPr>
                <w:rFonts w:hint="eastAsia"/>
                <w:b/>
                <w:bCs/>
                <w:color w:val="000000" w:themeColor="text1"/>
                <w:sz w:val="24"/>
                <w14:textFill>
                  <w14:solidFill>
                    <w14:schemeClr w14:val="tx1"/>
                  </w14:solidFill>
                </w14:textFill>
              </w:rPr>
              <w:t>22</w:t>
            </w:r>
            <w:r>
              <w:rPr>
                <w:b/>
                <w:bCs/>
                <w:color w:val="000000" w:themeColor="text1"/>
                <w:sz w:val="24"/>
                <w14:textFill>
                  <w14:solidFill>
                    <w14:schemeClr w14:val="tx1"/>
                  </w14:solidFill>
                </w14:textFill>
              </w:rPr>
              <w:t xml:space="preserve">  风险源分布情况</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3126"/>
              <w:gridCol w:w="1694"/>
              <w:gridCol w:w="4759"/>
              <w:gridCol w:w="1928"/>
              <w:gridCol w:w="2102"/>
            </w:tblGrid>
            <w:tr w14:paraId="1E24AED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12" w:hRule="atLeast"/>
              </w:trPr>
              <w:tc>
                <w:tcPr>
                  <w:tcW w:w="1148" w:type="pct"/>
                  <w:vAlign w:val="center"/>
                </w:tcPr>
                <w:p w14:paraId="1A02D332">
                  <w:pPr>
                    <w:widowControl/>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原料名称</w:t>
                  </w:r>
                </w:p>
              </w:tc>
              <w:tc>
                <w:tcPr>
                  <w:tcW w:w="622" w:type="pct"/>
                  <w:vAlign w:val="center"/>
                </w:tcPr>
                <w:p w14:paraId="796CD2A4">
                  <w:pPr>
                    <w:widowControl/>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年耗量（t）</w:t>
                  </w:r>
                </w:p>
              </w:tc>
              <w:tc>
                <w:tcPr>
                  <w:tcW w:w="1748" w:type="pct"/>
                  <w:vAlign w:val="center"/>
                </w:tcPr>
                <w:p w14:paraId="5ED9E798">
                  <w:pPr>
                    <w:widowControl/>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最大储存量（t）/储存规格</w:t>
                  </w:r>
                </w:p>
              </w:tc>
              <w:tc>
                <w:tcPr>
                  <w:tcW w:w="708" w:type="pct"/>
                  <w:vAlign w:val="center"/>
                </w:tcPr>
                <w:p w14:paraId="6896A289">
                  <w:pPr>
                    <w:widowControl/>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转运频次</w:t>
                  </w:r>
                </w:p>
              </w:tc>
              <w:tc>
                <w:tcPr>
                  <w:tcW w:w="772" w:type="pct"/>
                  <w:vAlign w:val="center"/>
                </w:tcPr>
                <w:p w14:paraId="75E64652">
                  <w:pPr>
                    <w:widowControl/>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储存位置</w:t>
                  </w:r>
                </w:p>
              </w:tc>
            </w:tr>
            <w:tr w14:paraId="472F7B1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16" w:hRule="atLeast"/>
              </w:trPr>
              <w:tc>
                <w:tcPr>
                  <w:tcW w:w="1148" w:type="pct"/>
                  <w:vAlign w:val="center"/>
                </w:tcPr>
                <w:p w14:paraId="0054ACCD">
                  <w:pPr>
                    <w:widowControl/>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机油</w:t>
                  </w:r>
                </w:p>
              </w:tc>
              <w:tc>
                <w:tcPr>
                  <w:tcW w:w="622" w:type="pct"/>
                  <w:vAlign w:val="center"/>
                </w:tcPr>
                <w:p w14:paraId="4B75F283">
                  <w:pPr>
                    <w:widowControl/>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p>
              </w:tc>
              <w:tc>
                <w:tcPr>
                  <w:tcW w:w="1748" w:type="pct"/>
                  <w:vAlign w:val="center"/>
                </w:tcPr>
                <w:p w14:paraId="06E574B8">
                  <w:pPr>
                    <w:widowControl/>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0.5（0.1t/</w:t>
                  </w:r>
                  <w:r>
                    <w:rPr>
                      <w:rFonts w:hint="eastAsia"/>
                      <w:color w:val="000000" w:themeColor="text1"/>
                      <w:sz w:val="18"/>
                      <w:szCs w:val="18"/>
                      <w14:textFill>
                        <w14:solidFill>
                          <w14:schemeClr w14:val="tx1"/>
                        </w14:solidFill>
                      </w14:textFill>
                    </w:rPr>
                    <w:t>罐</w:t>
                  </w:r>
                  <w:r>
                    <w:rPr>
                      <w:color w:val="000000" w:themeColor="text1"/>
                      <w:sz w:val="18"/>
                      <w:szCs w:val="18"/>
                      <w14:textFill>
                        <w14:solidFill>
                          <w14:schemeClr w14:val="tx1"/>
                        </w14:solidFill>
                      </w14:textFill>
                    </w:rPr>
                    <w:t>，最大5瓶）</w:t>
                  </w:r>
                </w:p>
              </w:tc>
              <w:tc>
                <w:tcPr>
                  <w:tcW w:w="708" w:type="pct"/>
                  <w:vAlign w:val="center"/>
                </w:tcPr>
                <w:p w14:paraId="2BBB72A3">
                  <w:pPr>
                    <w:widowControl/>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1次/</w:t>
                  </w:r>
                  <w:r>
                    <w:rPr>
                      <w:rFonts w:hint="eastAsia"/>
                      <w:color w:val="000000" w:themeColor="text1"/>
                      <w:sz w:val="18"/>
                      <w:szCs w:val="18"/>
                      <w14:textFill>
                        <w14:solidFill>
                          <w14:schemeClr w14:val="tx1"/>
                        </w14:solidFill>
                      </w14:textFill>
                    </w:rPr>
                    <w:t>半年</w:t>
                  </w:r>
                </w:p>
              </w:tc>
              <w:tc>
                <w:tcPr>
                  <w:tcW w:w="772" w:type="pct"/>
                  <w:vAlign w:val="center"/>
                </w:tcPr>
                <w:p w14:paraId="5129AF1B">
                  <w:pPr>
                    <w:widowControl/>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生产车间</w:t>
                  </w:r>
                </w:p>
              </w:tc>
            </w:tr>
            <w:tr w14:paraId="0567758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16" w:hRule="atLeast"/>
              </w:trPr>
              <w:tc>
                <w:tcPr>
                  <w:tcW w:w="1148" w:type="pct"/>
                  <w:vAlign w:val="center"/>
                </w:tcPr>
                <w:p w14:paraId="039325B6">
                  <w:pPr>
                    <w:widowControl/>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废机油</w:t>
                  </w:r>
                </w:p>
              </w:tc>
              <w:tc>
                <w:tcPr>
                  <w:tcW w:w="622" w:type="pct"/>
                  <w:vAlign w:val="center"/>
                </w:tcPr>
                <w:p w14:paraId="3F1A7B9A">
                  <w:pPr>
                    <w:widowControl/>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w:t>
                  </w:r>
                  <w:r>
                    <w:rPr>
                      <w:color w:val="000000" w:themeColor="text1"/>
                      <w:sz w:val="18"/>
                      <w:szCs w:val="18"/>
                      <w14:textFill>
                        <w14:solidFill>
                          <w14:schemeClr w14:val="tx1"/>
                        </w14:solidFill>
                      </w14:textFill>
                    </w:rPr>
                    <w:t>.4</w:t>
                  </w:r>
                </w:p>
              </w:tc>
              <w:tc>
                <w:tcPr>
                  <w:tcW w:w="1748" w:type="pct"/>
                  <w:vAlign w:val="center"/>
                </w:tcPr>
                <w:p w14:paraId="76049D88">
                  <w:pPr>
                    <w:widowControl/>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0</w:t>
                  </w:r>
                  <w:r>
                    <w:rPr>
                      <w:color w:val="000000" w:themeColor="text1"/>
                      <w:sz w:val="18"/>
                      <w:szCs w:val="18"/>
                      <w14:textFill>
                        <w14:solidFill>
                          <w14:schemeClr w14:val="tx1"/>
                        </w14:solidFill>
                      </w14:textFill>
                    </w:rPr>
                    <w:t>.4</w:t>
                  </w:r>
                </w:p>
              </w:tc>
              <w:tc>
                <w:tcPr>
                  <w:tcW w:w="708" w:type="pct"/>
                  <w:vAlign w:val="center"/>
                </w:tcPr>
                <w:p w14:paraId="2A1C5B66">
                  <w:pPr>
                    <w:widowControl/>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1次/年</w:t>
                  </w:r>
                </w:p>
              </w:tc>
              <w:tc>
                <w:tcPr>
                  <w:tcW w:w="772" w:type="pct"/>
                  <w:vAlign w:val="center"/>
                </w:tcPr>
                <w:p w14:paraId="1CEB2E99">
                  <w:pPr>
                    <w:widowControl/>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危废间</w:t>
                  </w:r>
                </w:p>
              </w:tc>
            </w:tr>
          </w:tbl>
          <w:p w14:paraId="6D15977C">
            <w:pPr>
              <w:spacing w:line="360" w:lineRule="auto"/>
              <w:ind w:firstLine="480" w:firstLineChars="200"/>
              <w:jc w:val="left"/>
              <w:rPr>
                <w:rFonts w:eastAsia="新宋体"/>
                <w:color w:val="000000" w:themeColor="text1"/>
                <w:sz w:val="24"/>
                <w14:textFill>
                  <w14:solidFill>
                    <w14:schemeClr w14:val="tx1"/>
                  </w14:solidFill>
                </w14:textFill>
              </w:rPr>
            </w:pPr>
            <w:r>
              <w:rPr>
                <w:rFonts w:eastAsia="新宋体"/>
                <w:color w:val="000000" w:themeColor="text1"/>
                <w:sz w:val="24"/>
                <w14:textFill>
                  <w14:solidFill>
                    <w14:schemeClr w14:val="tx1"/>
                  </w14:solidFill>
                </w14:textFill>
              </w:rPr>
              <w:t>本项目Q值计算见下表。</w:t>
            </w:r>
          </w:p>
          <w:p w14:paraId="70615426">
            <w:pPr>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表4-</w:t>
            </w:r>
            <w:r>
              <w:rPr>
                <w:rFonts w:hint="eastAsia"/>
                <w:b/>
                <w:bCs/>
                <w:color w:val="000000" w:themeColor="text1"/>
                <w:sz w:val="24"/>
                <w14:textFill>
                  <w14:solidFill>
                    <w14:schemeClr w14:val="tx1"/>
                  </w14:solidFill>
                </w14:textFill>
              </w:rPr>
              <w:t>23</w:t>
            </w:r>
            <w:r>
              <w:rPr>
                <w:b/>
                <w:bCs/>
                <w:color w:val="000000" w:themeColor="text1"/>
                <w:sz w:val="24"/>
                <w14:textFill>
                  <w14:solidFill>
                    <w14:schemeClr w14:val="tx1"/>
                  </w14:solidFill>
                </w14:textFill>
              </w:rPr>
              <w:t xml:space="preserve">  项目Q值计算表</w:t>
            </w:r>
          </w:p>
          <w:tbl>
            <w:tblPr>
              <w:tblStyle w:val="45"/>
              <w:tblW w:w="4994"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2921"/>
              <w:gridCol w:w="3924"/>
              <w:gridCol w:w="3650"/>
              <w:gridCol w:w="3098"/>
            </w:tblGrid>
            <w:tr w14:paraId="7705EE4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0" w:hRule="atLeast"/>
              </w:trPr>
              <w:tc>
                <w:tcPr>
                  <w:tcW w:w="1074" w:type="pct"/>
                  <w:vAlign w:val="center"/>
                </w:tcPr>
                <w:p w14:paraId="60E6296B">
                  <w:pPr>
                    <w:widowControl/>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危险物质名称</w:t>
                  </w:r>
                </w:p>
              </w:tc>
              <w:tc>
                <w:tcPr>
                  <w:tcW w:w="1443" w:type="pct"/>
                  <w:vAlign w:val="center"/>
                </w:tcPr>
                <w:p w14:paraId="78CFD232">
                  <w:pPr>
                    <w:widowControl/>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最大储存量（t）</w:t>
                  </w:r>
                </w:p>
              </w:tc>
              <w:tc>
                <w:tcPr>
                  <w:tcW w:w="1342" w:type="pct"/>
                  <w:vAlign w:val="center"/>
                </w:tcPr>
                <w:p w14:paraId="57BFD0AF">
                  <w:pPr>
                    <w:widowControl/>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临界量（吨）</w:t>
                  </w:r>
                </w:p>
              </w:tc>
              <w:tc>
                <w:tcPr>
                  <w:tcW w:w="1139" w:type="pct"/>
                  <w:vAlign w:val="center"/>
                </w:tcPr>
                <w:p w14:paraId="74B5A19D">
                  <w:pPr>
                    <w:widowControl/>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Q值</w:t>
                  </w:r>
                </w:p>
              </w:tc>
            </w:tr>
            <w:tr w14:paraId="0B0418D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1074" w:type="pct"/>
                  <w:vAlign w:val="center"/>
                </w:tcPr>
                <w:p w14:paraId="39932FE0">
                  <w:pPr>
                    <w:widowControl/>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机油、废机油</w:t>
                  </w:r>
                </w:p>
              </w:tc>
              <w:tc>
                <w:tcPr>
                  <w:tcW w:w="1443" w:type="pct"/>
                  <w:vAlign w:val="center"/>
                </w:tcPr>
                <w:p w14:paraId="5EA0779E">
                  <w:pPr>
                    <w:widowControl/>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0.9</w:t>
                  </w:r>
                </w:p>
              </w:tc>
              <w:tc>
                <w:tcPr>
                  <w:tcW w:w="1342" w:type="pct"/>
                  <w:vAlign w:val="center"/>
                </w:tcPr>
                <w:p w14:paraId="4D19E108">
                  <w:pPr>
                    <w:widowControl/>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2500</w:t>
                  </w:r>
                </w:p>
              </w:tc>
              <w:tc>
                <w:tcPr>
                  <w:tcW w:w="1139" w:type="pct"/>
                  <w:noWrap/>
                  <w:vAlign w:val="center"/>
                </w:tcPr>
                <w:p w14:paraId="74DADAAD">
                  <w:pPr>
                    <w:widowControl/>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0.0004</w:t>
                  </w:r>
                </w:p>
              </w:tc>
            </w:tr>
          </w:tbl>
          <w:p w14:paraId="37397221">
            <w:pPr>
              <w:spacing w:line="360" w:lineRule="auto"/>
              <w:ind w:firstLine="480" w:firstLineChars="200"/>
              <w:jc w:val="left"/>
              <w:rPr>
                <w:rFonts w:eastAsia="新宋体"/>
                <w:color w:val="000000" w:themeColor="text1"/>
                <w:sz w:val="24"/>
                <w14:textFill>
                  <w14:solidFill>
                    <w14:schemeClr w14:val="tx1"/>
                  </w14:solidFill>
                </w14:textFill>
              </w:rPr>
            </w:pPr>
            <w:r>
              <w:rPr>
                <w:rFonts w:eastAsia="新宋体"/>
                <w:color w:val="000000" w:themeColor="text1"/>
                <w:sz w:val="24"/>
                <w14:textFill>
                  <w14:solidFill>
                    <w14:schemeClr w14:val="tx1"/>
                  </w14:solidFill>
                </w14:textFill>
              </w:rPr>
              <w:t>经计算，本项目完成后危险物质数量与临界量比值Q＜1，评价分析为简单分析。</w:t>
            </w:r>
          </w:p>
          <w:p w14:paraId="31DC3228">
            <w:pPr>
              <w:autoSpaceDE w:val="0"/>
              <w:autoSpaceDN w:val="0"/>
              <w:spacing w:line="360" w:lineRule="auto"/>
              <w:ind w:firstLine="482" w:firstLineChars="200"/>
              <w:jc w:val="left"/>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2、污染物类型、风险识别和污染途径</w:t>
            </w:r>
          </w:p>
          <w:p w14:paraId="677CFE06">
            <w:pPr>
              <w:snapToGrid w:val="0"/>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表4-</w:t>
            </w:r>
            <w:r>
              <w:rPr>
                <w:rFonts w:hint="eastAsia"/>
                <w:b/>
                <w:bCs/>
                <w:color w:val="000000" w:themeColor="text1"/>
                <w:sz w:val="24"/>
                <w14:textFill>
                  <w14:solidFill>
                    <w14:schemeClr w14:val="tx1"/>
                  </w14:solidFill>
                </w14:textFill>
              </w:rPr>
              <w:t>24</w:t>
            </w:r>
            <w:r>
              <w:rPr>
                <w:b/>
                <w:bCs/>
                <w:color w:val="000000" w:themeColor="text1"/>
                <w:sz w:val="24"/>
                <w14:textFill>
                  <w14:solidFill>
                    <w14:schemeClr w14:val="tx1"/>
                  </w14:solidFill>
                </w14:textFill>
              </w:rPr>
              <w:t xml:space="preserve">  污染物类型、风险识别和污染途径</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3097"/>
              <w:gridCol w:w="1372"/>
              <w:gridCol w:w="1478"/>
              <w:gridCol w:w="7662"/>
            </w:tblGrid>
            <w:tr w14:paraId="4E3BC26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1138" w:type="pct"/>
                  <w:vAlign w:val="center"/>
                </w:tcPr>
                <w:p w14:paraId="412A0FAF">
                  <w:pP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污染源</w:t>
                  </w:r>
                </w:p>
              </w:tc>
              <w:tc>
                <w:tcPr>
                  <w:tcW w:w="504" w:type="pct"/>
                  <w:vAlign w:val="center"/>
                </w:tcPr>
                <w:p w14:paraId="05A88ECF">
                  <w:pP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污染物类型</w:t>
                  </w:r>
                </w:p>
              </w:tc>
              <w:tc>
                <w:tcPr>
                  <w:tcW w:w="543" w:type="pct"/>
                  <w:vAlign w:val="center"/>
                </w:tcPr>
                <w:p w14:paraId="2E7B53B2">
                  <w:pP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环境风险类型</w:t>
                  </w:r>
                </w:p>
              </w:tc>
              <w:tc>
                <w:tcPr>
                  <w:tcW w:w="2815" w:type="pct"/>
                  <w:vAlign w:val="center"/>
                </w:tcPr>
                <w:p w14:paraId="4C46ABDB">
                  <w:pP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污染途径</w:t>
                  </w:r>
                </w:p>
              </w:tc>
            </w:tr>
            <w:tr w14:paraId="67EF467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1138" w:type="pct"/>
                  <w:vAlign w:val="center"/>
                </w:tcPr>
                <w:p w14:paraId="659CEA90">
                  <w:pPr>
                    <w:pStyle w:val="156"/>
                    <w:spacing w:line="240" w:lineRule="atLeast"/>
                    <w:jc w:val="lef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机油（主要成分为矿物油）</w:t>
                  </w:r>
                </w:p>
              </w:tc>
              <w:tc>
                <w:tcPr>
                  <w:tcW w:w="504" w:type="pct"/>
                  <w:vAlign w:val="center"/>
                </w:tcPr>
                <w:p w14:paraId="4FDF82A8">
                  <w:pPr>
                    <w:widowControl/>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有机物</w:t>
                  </w:r>
                </w:p>
              </w:tc>
              <w:tc>
                <w:tcPr>
                  <w:tcW w:w="543" w:type="pct"/>
                  <w:vAlign w:val="center"/>
                </w:tcPr>
                <w:p w14:paraId="4CA459E5">
                  <w:pPr>
                    <w:pStyle w:val="156"/>
                    <w:spacing w:line="240" w:lineRule="atLeast"/>
                    <w:jc w:val="left"/>
                    <w:rPr>
                      <w:rFonts w:cs="Times New Roman"/>
                      <w:color w:val="000000" w:themeColor="text1"/>
                      <w:sz w:val="18"/>
                      <w14:textFill>
                        <w14:solidFill>
                          <w14:schemeClr w14:val="tx1"/>
                        </w14:solidFill>
                      </w14:textFill>
                    </w:rPr>
                  </w:pPr>
                  <w:r>
                    <w:rPr>
                      <w:rFonts w:cs="Times New Roman"/>
                      <w:color w:val="000000" w:themeColor="text1"/>
                      <w:sz w:val="18"/>
                      <w14:textFill>
                        <w14:solidFill>
                          <w14:schemeClr w14:val="tx1"/>
                        </w14:solidFill>
                      </w14:textFill>
                    </w:rPr>
                    <w:t>泄漏</w:t>
                  </w:r>
                </w:p>
              </w:tc>
              <w:tc>
                <w:tcPr>
                  <w:tcW w:w="2815" w:type="pct"/>
                  <w:vAlign w:val="center"/>
                </w:tcPr>
                <w:p w14:paraId="5819917D">
                  <w:pPr>
                    <w:pStyle w:val="156"/>
                    <w:spacing w:line="240" w:lineRule="atLeast"/>
                    <w:jc w:val="lef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生产车间</w:t>
                  </w:r>
                  <w:r>
                    <w:rPr>
                      <w:rFonts w:cs="Times New Roman"/>
                      <w:color w:val="000000" w:themeColor="text1"/>
                      <w:sz w:val="18"/>
                      <w14:textFill>
                        <w14:solidFill>
                          <w14:schemeClr w14:val="tx1"/>
                        </w14:solidFill>
                      </w14:textFill>
                    </w:rPr>
                    <w:t>地面发生破损导致产生泄漏，大气进行沉降进而影响周边土壤环境或周边人体健康</w:t>
                  </w:r>
                </w:p>
              </w:tc>
            </w:tr>
            <w:tr w14:paraId="6861ED0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27" w:hRule="atLeast"/>
              </w:trPr>
              <w:tc>
                <w:tcPr>
                  <w:tcW w:w="1138" w:type="pct"/>
                  <w:vAlign w:val="center"/>
                </w:tcPr>
                <w:p w14:paraId="616E5BAE">
                  <w:pPr>
                    <w:pStyle w:val="156"/>
                    <w:spacing w:line="240" w:lineRule="atLeast"/>
                    <w:jc w:val="lef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废机油（主要成分为矿物油）</w:t>
                  </w:r>
                </w:p>
              </w:tc>
              <w:tc>
                <w:tcPr>
                  <w:tcW w:w="504" w:type="pct"/>
                  <w:vAlign w:val="center"/>
                </w:tcPr>
                <w:p w14:paraId="61BFFB00">
                  <w:pPr>
                    <w:widowControl/>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有机物</w:t>
                  </w:r>
                </w:p>
              </w:tc>
              <w:tc>
                <w:tcPr>
                  <w:tcW w:w="543" w:type="pct"/>
                  <w:vAlign w:val="center"/>
                </w:tcPr>
                <w:p w14:paraId="1D0D1235">
                  <w:pPr>
                    <w:pStyle w:val="156"/>
                    <w:spacing w:line="240" w:lineRule="atLeast"/>
                    <w:jc w:val="left"/>
                    <w:rPr>
                      <w:rFonts w:cs="Times New Roman"/>
                      <w:color w:val="000000" w:themeColor="text1"/>
                      <w:sz w:val="18"/>
                      <w14:textFill>
                        <w14:solidFill>
                          <w14:schemeClr w14:val="tx1"/>
                        </w14:solidFill>
                      </w14:textFill>
                    </w:rPr>
                  </w:pPr>
                  <w:r>
                    <w:rPr>
                      <w:rFonts w:hint="eastAsia" w:cs="Times New Roman"/>
                      <w:color w:val="000000" w:themeColor="text1"/>
                      <w:sz w:val="18"/>
                      <w14:textFill>
                        <w14:solidFill>
                          <w14:schemeClr w14:val="tx1"/>
                        </w14:solidFill>
                      </w14:textFill>
                    </w:rPr>
                    <w:t>泄露</w:t>
                  </w:r>
                </w:p>
              </w:tc>
              <w:tc>
                <w:tcPr>
                  <w:tcW w:w="2815" w:type="pct"/>
                  <w:vAlign w:val="center"/>
                </w:tcPr>
                <w:p w14:paraId="1980419D">
                  <w:pPr>
                    <w:pStyle w:val="156"/>
                    <w:spacing w:line="240" w:lineRule="atLeast"/>
                    <w:jc w:val="left"/>
                    <w:rPr>
                      <w:rFonts w:cs="Times New Roman"/>
                      <w:color w:val="000000" w:themeColor="text1"/>
                      <w:sz w:val="18"/>
                      <w14:textFill>
                        <w14:solidFill>
                          <w14:schemeClr w14:val="tx1"/>
                        </w14:solidFill>
                      </w14:textFill>
                    </w:rPr>
                  </w:pPr>
                  <w:r>
                    <w:rPr>
                      <w:rFonts w:cs="Times New Roman"/>
                      <w:color w:val="000000" w:themeColor="text1"/>
                      <w:sz w:val="18"/>
                      <w14:textFill>
                        <w14:solidFill>
                          <w14:schemeClr w14:val="tx1"/>
                        </w14:solidFill>
                      </w14:textFill>
                    </w:rPr>
                    <w:t>主要是</w:t>
                  </w:r>
                  <w:r>
                    <w:rPr>
                      <w:rFonts w:hint="eastAsia" w:cs="Times New Roman"/>
                      <w:color w:val="000000" w:themeColor="text1"/>
                      <w:sz w:val="18"/>
                      <w14:textFill>
                        <w14:solidFill>
                          <w14:schemeClr w14:val="tx1"/>
                        </w14:solidFill>
                      </w14:textFill>
                    </w:rPr>
                    <w:t>废机油桶</w:t>
                  </w:r>
                  <w:r>
                    <w:rPr>
                      <w:rFonts w:cs="Times New Roman"/>
                      <w:color w:val="000000" w:themeColor="text1"/>
                      <w:sz w:val="18"/>
                      <w14:textFill>
                        <w14:solidFill>
                          <w14:schemeClr w14:val="tx1"/>
                        </w14:solidFill>
                      </w14:textFill>
                    </w:rPr>
                    <w:t>破损泄漏</w:t>
                  </w:r>
                  <w:r>
                    <w:rPr>
                      <w:rFonts w:hint="eastAsia" w:cs="Times New Roman"/>
                      <w:color w:val="000000" w:themeColor="text1"/>
                      <w:sz w:val="18"/>
                      <w14:textFill>
                        <w14:solidFill>
                          <w14:schemeClr w14:val="tx1"/>
                        </w14:solidFill>
                      </w14:textFill>
                    </w:rPr>
                    <w:t>，影响水、大气环境质量</w:t>
                  </w:r>
                </w:p>
              </w:tc>
            </w:tr>
          </w:tbl>
          <w:p w14:paraId="0FCE8926">
            <w:pPr>
              <w:autoSpaceDE w:val="0"/>
              <w:autoSpaceDN w:val="0"/>
              <w:spacing w:line="360" w:lineRule="auto"/>
              <w:ind w:firstLine="482" w:firstLineChars="200"/>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3、环境风险管理措施</w:t>
            </w:r>
          </w:p>
          <w:p w14:paraId="0170305B">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（1）</w:t>
            </w:r>
            <w:r>
              <w:rPr>
                <w:bCs/>
                <w:color w:val="000000" w:themeColor="text1"/>
                <w:sz w:val="24"/>
                <w14:textFill>
                  <w14:solidFill>
                    <w14:schemeClr w14:val="tx1"/>
                  </w14:solidFill>
                </w14:textFill>
              </w:rPr>
              <w:t>环境空气风险防范措施</w:t>
            </w:r>
          </w:p>
          <w:p w14:paraId="47FBB35A">
            <w:pPr>
              <w:autoSpaceDE w:val="0"/>
              <w:autoSpaceDN w:val="0"/>
              <w:spacing w:line="360" w:lineRule="auto"/>
              <w:ind w:firstLine="480" w:firstLineChars="200"/>
              <w:rPr>
                <w:bCs/>
                <w:color w:val="000000" w:themeColor="text1"/>
                <w:sz w:val="24"/>
                <w14:textFill>
                  <w14:solidFill>
                    <w14:schemeClr w14:val="tx1"/>
                  </w14:solidFill>
                </w14:textFill>
              </w:rPr>
            </w:pPr>
            <w:r>
              <w:rPr>
                <w:bCs/>
                <w:color w:val="000000" w:themeColor="text1"/>
                <w:sz w:val="24"/>
                <w14:textFill>
                  <w14:solidFill>
                    <w14:schemeClr w14:val="tx1"/>
                  </w14:solidFill>
                </w14:textFill>
              </w:rPr>
              <w:t>为杜绝非正常性废气排放，建议采用以下防范措施来确保废气达标排放：</w:t>
            </w:r>
          </w:p>
          <w:p w14:paraId="1E1C688D">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①</w:t>
            </w:r>
            <w:r>
              <w:rPr>
                <w:bCs/>
                <w:color w:val="000000" w:themeColor="text1"/>
                <w:sz w:val="24"/>
                <w14:textFill>
                  <w14:solidFill>
                    <w14:schemeClr w14:val="tx1"/>
                  </w14:solidFill>
                </w14:textFill>
              </w:rPr>
              <w:t>平时加强废气处理设施的维护保养，及时发现处理设备的隐患，并及时进行维修，确保废气处理系统正常运行，若遇到非正常排放无法及时处理时，必须停产检修，避免非正常排放对环境造成不利影响；</w:t>
            </w:r>
          </w:p>
          <w:p w14:paraId="42E3BAE5">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②</w:t>
            </w:r>
            <w:r>
              <w:rPr>
                <w:bCs/>
                <w:color w:val="000000" w:themeColor="text1"/>
                <w:sz w:val="24"/>
                <w14:textFill>
                  <w14:solidFill>
                    <w14:schemeClr w14:val="tx1"/>
                  </w14:solidFill>
                </w14:textFill>
              </w:rPr>
              <w:t>建立健全的环保机构，配置必要的监测仪器，对管理人员和技术人员进行岗位培训，对废气处理实行全过程跟踪控制；</w:t>
            </w:r>
          </w:p>
          <w:p w14:paraId="3585BC95">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③</w:t>
            </w:r>
            <w:r>
              <w:rPr>
                <w:bCs/>
                <w:color w:val="000000" w:themeColor="text1"/>
                <w:sz w:val="24"/>
                <w14:textFill>
                  <w14:solidFill>
                    <w14:schemeClr w14:val="tx1"/>
                  </w14:solidFill>
                </w14:textFill>
              </w:rPr>
              <w:t>项目应设有备用电源和废气备用处理设备，以备停电或设备出现故障时保障废气全部抽入净化系统进行处理以达标排放。</w:t>
            </w:r>
          </w:p>
          <w:p w14:paraId="66A06E5A">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（2）</w:t>
            </w:r>
            <w:r>
              <w:rPr>
                <w:bCs/>
                <w:color w:val="000000" w:themeColor="text1"/>
                <w:sz w:val="24"/>
                <w14:textFill>
                  <w14:solidFill>
                    <w14:schemeClr w14:val="tx1"/>
                  </w14:solidFill>
                </w14:textFill>
              </w:rPr>
              <w:t>地表水环境风险防范措施</w:t>
            </w:r>
          </w:p>
          <w:p w14:paraId="33B664D0">
            <w:pPr>
              <w:autoSpaceDE w:val="0"/>
              <w:autoSpaceDN w:val="0"/>
              <w:spacing w:line="360" w:lineRule="auto"/>
              <w:ind w:firstLine="480" w:firstLineChars="200"/>
              <w:rPr>
                <w:b/>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本项目对地表水可能造成风险影响的主要为危险固废暂存间的废包装桶等物质的环境风险。针对地表水环境风险，建议企业对危险固废暂存库设围挡，设备损坏和污染治理措施失效时立即停产，及时抢修。采取以上环境风险防范措施，可杜绝泄漏对地表水体产生的环境风险。</w:t>
            </w:r>
          </w:p>
          <w:p w14:paraId="77464B89">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（3）</w:t>
            </w:r>
            <w:r>
              <w:rPr>
                <w:bCs/>
                <w:color w:val="000000" w:themeColor="text1"/>
                <w:sz w:val="24"/>
                <w14:textFill>
                  <w14:solidFill>
                    <w14:schemeClr w14:val="tx1"/>
                  </w14:solidFill>
                </w14:textFill>
              </w:rPr>
              <w:t>地下水环境风险防范措施</w:t>
            </w:r>
          </w:p>
          <w:p w14:paraId="5ECCCE03">
            <w:pPr>
              <w:autoSpaceDE w:val="0"/>
              <w:autoSpaceDN w:val="0"/>
              <w:spacing w:line="360" w:lineRule="auto"/>
              <w:ind w:firstLine="480" w:firstLineChars="200"/>
              <w:rPr>
                <w:bCs/>
                <w:color w:val="000000" w:themeColor="text1"/>
                <w:sz w:val="24"/>
                <w14:textFill>
                  <w14:solidFill>
                    <w14:schemeClr w14:val="tx1"/>
                  </w14:solidFill>
                </w14:textFill>
              </w:rPr>
            </w:pPr>
            <w:r>
              <w:rPr>
                <w:bCs/>
                <w:color w:val="000000" w:themeColor="text1"/>
                <w:sz w:val="24"/>
                <w14:textFill>
                  <w14:solidFill>
                    <w14:schemeClr w14:val="tx1"/>
                  </w14:solidFill>
                </w14:textFill>
              </w:rPr>
              <w:t>地下水环境风险防范应重点采取源头控制和分区防渗措施，加强地下水环境的监控、预警，提出事故应急减缓措施。</w:t>
            </w:r>
            <w:r>
              <w:rPr>
                <w:rFonts w:hint="eastAsia"/>
                <w:bCs/>
                <w:color w:val="000000" w:themeColor="text1"/>
                <w:sz w:val="24"/>
                <w14:textFill>
                  <w14:solidFill>
                    <w14:schemeClr w14:val="tx1"/>
                  </w14:solidFill>
                </w14:textFill>
              </w:rPr>
              <w:t>具体分区防控措施见“地下水影响分析及环保措施”。</w:t>
            </w:r>
          </w:p>
          <w:p w14:paraId="7208440B">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（4）</w:t>
            </w:r>
            <w:r>
              <w:rPr>
                <w:bCs/>
                <w:color w:val="000000" w:themeColor="text1"/>
                <w:sz w:val="24"/>
                <w14:textFill>
                  <w14:solidFill>
                    <w14:schemeClr w14:val="tx1"/>
                  </w14:solidFill>
                </w14:textFill>
              </w:rPr>
              <w:t>环保设施事故排放的防范措施</w:t>
            </w:r>
          </w:p>
          <w:p w14:paraId="42275CF9">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①</w:t>
            </w:r>
            <w:r>
              <w:rPr>
                <w:bCs/>
                <w:color w:val="000000" w:themeColor="text1"/>
                <w:sz w:val="24"/>
                <w14:textFill>
                  <w14:solidFill>
                    <w14:schemeClr w14:val="tx1"/>
                  </w14:solidFill>
                </w14:textFill>
              </w:rPr>
              <w:t>废气</w:t>
            </w:r>
          </w:p>
          <w:p w14:paraId="7B268369">
            <w:pPr>
              <w:autoSpaceDE w:val="0"/>
              <w:autoSpaceDN w:val="0"/>
              <w:spacing w:line="360" w:lineRule="auto"/>
              <w:ind w:firstLine="480" w:firstLineChars="200"/>
              <w:rPr>
                <w:bCs/>
                <w:color w:val="000000" w:themeColor="text1"/>
                <w:sz w:val="24"/>
                <w14:textFill>
                  <w14:solidFill>
                    <w14:schemeClr w14:val="tx1"/>
                  </w14:solidFill>
                </w14:textFill>
              </w:rPr>
            </w:pPr>
            <w:r>
              <w:rPr>
                <w:bCs/>
                <w:color w:val="000000" w:themeColor="text1"/>
                <w:sz w:val="24"/>
                <w14:textFill>
                  <w14:solidFill>
                    <w14:schemeClr w14:val="tx1"/>
                  </w14:solidFill>
                </w14:textFill>
              </w:rPr>
              <w:t>为避免项目废气事故排放时对周围环境空气质量造成严重影响，对各类废气处理系统应定期检修、保养。一旦发生事故，应立即停产。</w:t>
            </w:r>
          </w:p>
          <w:p w14:paraId="0F8C53E0">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②</w:t>
            </w:r>
            <w:r>
              <w:rPr>
                <w:bCs/>
                <w:color w:val="000000" w:themeColor="text1"/>
                <w:sz w:val="24"/>
                <w14:textFill>
                  <w14:solidFill>
                    <w14:schemeClr w14:val="tx1"/>
                  </w14:solidFill>
                </w14:textFill>
              </w:rPr>
              <w:t>废水</w:t>
            </w:r>
          </w:p>
          <w:p w14:paraId="157A6E40">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加强厂房废水管网的建设，保持设施正常运行。</w:t>
            </w:r>
          </w:p>
          <w:p w14:paraId="14E457BB">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③危险固废暂存库设置围挡，围挡</w:t>
            </w:r>
            <w:r>
              <w:rPr>
                <w:bCs/>
                <w:color w:val="000000" w:themeColor="text1"/>
                <w:sz w:val="24"/>
                <w14:textFill>
                  <w14:solidFill>
                    <w14:schemeClr w14:val="tx1"/>
                  </w14:solidFill>
                </w14:textFill>
              </w:rPr>
              <w:t>内设置混凝土地坪，并考虑防渗措施。</w:t>
            </w:r>
          </w:p>
          <w:p w14:paraId="1706698B">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（5）</w:t>
            </w:r>
            <w:r>
              <w:rPr>
                <w:bCs/>
                <w:color w:val="000000" w:themeColor="text1"/>
                <w:sz w:val="24"/>
                <w14:textFill>
                  <w14:solidFill>
                    <w14:schemeClr w14:val="tx1"/>
                  </w14:solidFill>
                </w14:textFill>
              </w:rPr>
              <w:t>风险管理措施</w:t>
            </w:r>
          </w:p>
          <w:p w14:paraId="6C0BAD58">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①</w:t>
            </w:r>
            <w:r>
              <w:rPr>
                <w:bCs/>
                <w:color w:val="000000" w:themeColor="text1"/>
                <w:sz w:val="24"/>
                <w14:textFill>
                  <w14:solidFill>
                    <w14:schemeClr w14:val="tx1"/>
                  </w14:solidFill>
                </w14:textFill>
              </w:rPr>
              <w:t>定期开展安全检查，安全检查要有安全检查表，对检查的隐患经整理，同部门主管核实后，发整改通知书，部门要在一个工作日内完成整改。</w:t>
            </w:r>
          </w:p>
          <w:p w14:paraId="1705FD7C">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②</w:t>
            </w:r>
            <w:r>
              <w:rPr>
                <w:bCs/>
                <w:color w:val="000000" w:themeColor="text1"/>
                <w:sz w:val="24"/>
                <w14:textFill>
                  <w14:solidFill>
                    <w14:schemeClr w14:val="tx1"/>
                  </w14:solidFill>
                </w14:textFill>
              </w:rPr>
              <w:t>仓库安全管理规定：</w:t>
            </w:r>
          </w:p>
          <w:p w14:paraId="5BDA42E8">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1）</w:t>
            </w:r>
            <w:r>
              <w:rPr>
                <w:bCs/>
                <w:color w:val="000000" w:themeColor="text1"/>
                <w:sz w:val="24"/>
                <w14:textFill>
                  <w14:solidFill>
                    <w14:schemeClr w14:val="tx1"/>
                  </w14:solidFill>
                </w14:textFill>
              </w:rPr>
              <w:t>仓库安全管理必须贯彻“预防为主”，实行“谁主管谁负责”的原则。</w:t>
            </w:r>
          </w:p>
          <w:p w14:paraId="5F459559">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2）</w:t>
            </w:r>
            <w:r>
              <w:rPr>
                <w:bCs/>
                <w:color w:val="000000" w:themeColor="text1"/>
                <w:sz w:val="24"/>
                <w14:textFill>
                  <w14:solidFill>
                    <w14:schemeClr w14:val="tx1"/>
                  </w14:solidFill>
                </w14:textFill>
              </w:rPr>
              <w:t>仓库的建筑设计要符合国家建筑设计防火规范的有关规定，并经公安消防监督机构审核。</w:t>
            </w:r>
          </w:p>
          <w:p w14:paraId="0B7F53B9">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3）</w:t>
            </w:r>
            <w:r>
              <w:rPr>
                <w:bCs/>
                <w:color w:val="000000" w:themeColor="text1"/>
                <w:sz w:val="24"/>
                <w14:textFill>
                  <w14:solidFill>
                    <w14:schemeClr w14:val="tx1"/>
                  </w14:solidFill>
                </w14:textFill>
              </w:rPr>
              <w:t>仓库保管员应当熟悉储存物品的分类、性质、保管业务知识和防火安全制度，掌握消防器材的操作使用和维修保养方法，做好本员工作。</w:t>
            </w:r>
          </w:p>
          <w:p w14:paraId="2EBB9243">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4）</w:t>
            </w:r>
            <w:r>
              <w:rPr>
                <w:bCs/>
                <w:color w:val="000000" w:themeColor="text1"/>
                <w:sz w:val="24"/>
                <w14:textFill>
                  <w14:solidFill>
                    <w14:schemeClr w14:val="tx1"/>
                  </w14:solidFill>
                </w14:textFill>
              </w:rPr>
              <w:t>仓库物品应分类，严格按照“五距”（灯距、堆距、行距、柱距、墙距）的要求堆放，不得混存。</w:t>
            </w:r>
          </w:p>
          <w:p w14:paraId="6CE6D4B3">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5）</w:t>
            </w:r>
            <w:r>
              <w:rPr>
                <w:bCs/>
                <w:color w:val="000000" w:themeColor="text1"/>
                <w:sz w:val="24"/>
                <w14:textFill>
                  <w14:solidFill>
                    <w14:schemeClr w14:val="tx1"/>
                  </w14:solidFill>
                </w14:textFill>
              </w:rPr>
              <w:t>应当按照国家有关消防法规规定，配备足够的消防器材，保证随时好用，确保安全。</w:t>
            </w:r>
          </w:p>
          <w:p w14:paraId="6E7AD85A">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6）</w:t>
            </w:r>
            <w:r>
              <w:rPr>
                <w:bCs/>
                <w:color w:val="000000" w:themeColor="text1"/>
                <w:sz w:val="24"/>
                <w14:textFill>
                  <w14:solidFill>
                    <w14:schemeClr w14:val="tx1"/>
                  </w14:solidFill>
                </w14:textFill>
              </w:rPr>
              <w:t>仓库应当设置明显的防火标志。库房内严禁使用明火，不准住人。</w:t>
            </w:r>
          </w:p>
          <w:p w14:paraId="79CAE250">
            <w:pPr>
              <w:autoSpaceDE w:val="0"/>
              <w:autoSpaceDN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③</w:t>
            </w:r>
            <w:r>
              <w:rPr>
                <w:bCs/>
                <w:color w:val="000000" w:themeColor="text1"/>
                <w:sz w:val="24"/>
                <w14:textFill>
                  <w14:solidFill>
                    <w14:schemeClr w14:val="tx1"/>
                  </w14:solidFill>
                </w14:textFill>
              </w:rPr>
              <w:t>培训制度：新进员工必须进行三级安全培训，经考核合格后，方可上岗作业。培训内容主要包括：公司安全规章制度、生产的特点及基本要求、消防基础知识、劳动卫生知识、危化品知识等。</w:t>
            </w:r>
          </w:p>
          <w:p w14:paraId="77590D5F">
            <w:pPr>
              <w:tabs>
                <w:tab w:val="left" w:pos="0"/>
                <w:tab w:val="left" w:pos="3744"/>
              </w:tabs>
              <w:spacing w:line="360" w:lineRule="auto"/>
              <w:ind w:firstLine="482" w:firstLineChars="200"/>
              <w:jc w:val="left"/>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八</w:t>
            </w:r>
            <w:r>
              <w:rPr>
                <w:b/>
                <w:color w:val="000000" w:themeColor="text1"/>
                <w:sz w:val="24"/>
                <w14:textFill>
                  <w14:solidFill>
                    <w14:schemeClr w14:val="tx1"/>
                  </w14:solidFill>
                </w14:textFill>
              </w:rPr>
              <w:t>、运营期环保投资估算</w:t>
            </w:r>
          </w:p>
          <w:p w14:paraId="2E62EE86">
            <w:pPr>
              <w:spacing w:line="360" w:lineRule="auto"/>
              <w:ind w:firstLine="480" w:firstLineChars="200"/>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本项目投资总额为</w:t>
            </w:r>
            <w:r>
              <w:rPr>
                <w:rFonts w:hint="eastAsia"/>
                <w:color w:val="000000" w:themeColor="text1"/>
                <w:sz w:val="24"/>
                <w14:textFill>
                  <w14:solidFill>
                    <w14:schemeClr w14:val="tx1"/>
                  </w14:solidFill>
                </w14:textFill>
              </w:rPr>
              <w:t>1000</w:t>
            </w:r>
            <w:r>
              <w:rPr>
                <w:color w:val="000000" w:themeColor="text1"/>
                <w:sz w:val="24"/>
                <w14:textFill>
                  <w14:solidFill>
                    <w14:schemeClr w14:val="tx1"/>
                  </w14:solidFill>
                </w14:textFill>
              </w:rPr>
              <w:t>万元</w:t>
            </w:r>
            <w:r>
              <w:rPr>
                <w:rFonts w:hint="eastAsia"/>
                <w:color w:val="000000" w:themeColor="text1"/>
                <w:sz w:val="24"/>
                <w14:textFill>
                  <w14:solidFill>
                    <w14:schemeClr w14:val="tx1"/>
                  </w14:solidFill>
                </w14:textFill>
              </w:rPr>
              <w:t>，环保投资30万元，</w:t>
            </w:r>
            <w:r>
              <w:rPr>
                <w:color w:val="000000" w:themeColor="text1"/>
                <w:sz w:val="24"/>
                <w14:textFill>
                  <w14:solidFill>
                    <w14:schemeClr w14:val="tx1"/>
                  </w14:solidFill>
                </w14:textFill>
              </w:rPr>
              <w:t>占总投资额的</w:t>
            </w:r>
            <w:r>
              <w:rPr>
                <w:rFonts w:hint="eastAsia"/>
                <w:color w:val="000000" w:themeColor="text1"/>
                <w:sz w:val="24"/>
                <w14:textFill>
                  <w14:solidFill>
                    <w14:schemeClr w14:val="tx1"/>
                  </w14:solidFill>
                </w14:textFill>
              </w:rPr>
              <w:t>3</w:t>
            </w:r>
            <w:r>
              <w:rPr>
                <w:color w:val="000000" w:themeColor="text1"/>
                <w:sz w:val="24"/>
                <w14:textFill>
                  <w14:solidFill>
                    <w14:schemeClr w14:val="tx1"/>
                  </w14:solidFill>
                </w14:textFill>
              </w:rPr>
              <w:t>%，本项目具体环保投资概算情况见下表。</w:t>
            </w:r>
          </w:p>
          <w:p w14:paraId="24654BA5">
            <w:pPr>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表4-</w:t>
            </w:r>
            <w:r>
              <w:rPr>
                <w:rFonts w:hint="eastAsia"/>
                <w:b/>
                <w:bCs/>
                <w:color w:val="000000" w:themeColor="text1"/>
                <w:sz w:val="24"/>
                <w14:textFill>
                  <w14:solidFill>
                    <w14:schemeClr w14:val="tx1"/>
                  </w14:solidFill>
                </w14:textFill>
              </w:rPr>
              <w:t>25</w:t>
            </w:r>
            <w:r>
              <w:rPr>
                <w:b/>
                <w:bCs/>
                <w:color w:val="000000" w:themeColor="text1"/>
                <w:sz w:val="24"/>
                <w14:textFill>
                  <w14:solidFill>
                    <w14:schemeClr w14:val="tx1"/>
                  </w14:solidFill>
                </w14:textFill>
              </w:rPr>
              <w:t xml:space="preserve">  环保投资概算一览表</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596"/>
              <w:gridCol w:w="779"/>
              <w:gridCol w:w="969"/>
              <w:gridCol w:w="1892"/>
              <w:gridCol w:w="8035"/>
              <w:gridCol w:w="1338"/>
            </w:tblGrid>
            <w:tr w14:paraId="3195B5F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20" w:hRule="atLeast"/>
                <w:jc w:val="center"/>
              </w:trPr>
              <w:tc>
                <w:tcPr>
                  <w:tcW w:w="219" w:type="pct"/>
                  <w:vAlign w:val="center"/>
                </w:tcPr>
                <w:p w14:paraId="5D13BEEC">
                  <w:pPr>
                    <w:snapToGrid w:val="0"/>
                    <w:jc w:val="center"/>
                    <w:rPr>
                      <w:b/>
                      <w:color w:val="000000" w:themeColor="text1"/>
                      <w:sz w:val="18"/>
                      <w:szCs w:val="18"/>
                      <w14:textFill>
                        <w14:solidFill>
                          <w14:schemeClr w14:val="tx1"/>
                        </w14:solidFill>
                      </w14:textFill>
                    </w:rPr>
                  </w:pPr>
                  <w:r>
                    <w:rPr>
                      <w:b/>
                      <w:color w:val="000000" w:themeColor="text1"/>
                      <w:sz w:val="18"/>
                      <w:szCs w:val="18"/>
                      <w14:textFill>
                        <w14:solidFill>
                          <w14:schemeClr w14:val="tx1"/>
                        </w14:solidFill>
                      </w14:textFill>
                    </w:rPr>
                    <w:t>序号</w:t>
                  </w:r>
                </w:p>
              </w:tc>
              <w:tc>
                <w:tcPr>
                  <w:tcW w:w="286" w:type="pct"/>
                  <w:vAlign w:val="center"/>
                </w:tcPr>
                <w:p w14:paraId="59905699">
                  <w:pPr>
                    <w:snapToGrid w:val="0"/>
                    <w:jc w:val="center"/>
                    <w:rPr>
                      <w:b/>
                      <w:color w:val="000000" w:themeColor="text1"/>
                      <w:sz w:val="18"/>
                      <w:szCs w:val="18"/>
                      <w14:textFill>
                        <w14:solidFill>
                          <w14:schemeClr w14:val="tx1"/>
                        </w14:solidFill>
                      </w14:textFill>
                    </w:rPr>
                  </w:pPr>
                  <w:r>
                    <w:rPr>
                      <w:b/>
                      <w:color w:val="000000" w:themeColor="text1"/>
                      <w:sz w:val="18"/>
                      <w:szCs w:val="18"/>
                      <w14:textFill>
                        <w14:solidFill>
                          <w14:schemeClr w14:val="tx1"/>
                        </w14:solidFill>
                      </w14:textFill>
                    </w:rPr>
                    <w:t>阶段</w:t>
                  </w:r>
                </w:p>
              </w:tc>
              <w:tc>
                <w:tcPr>
                  <w:tcW w:w="356" w:type="pct"/>
                  <w:vAlign w:val="center"/>
                </w:tcPr>
                <w:p w14:paraId="115716E2">
                  <w:pPr>
                    <w:snapToGrid w:val="0"/>
                    <w:jc w:val="center"/>
                    <w:rPr>
                      <w:b/>
                      <w:color w:val="000000" w:themeColor="text1"/>
                      <w:sz w:val="18"/>
                      <w:szCs w:val="18"/>
                      <w14:textFill>
                        <w14:solidFill>
                          <w14:schemeClr w14:val="tx1"/>
                        </w14:solidFill>
                      </w14:textFill>
                    </w:rPr>
                  </w:pPr>
                  <w:r>
                    <w:rPr>
                      <w:b/>
                      <w:color w:val="000000" w:themeColor="text1"/>
                      <w:sz w:val="18"/>
                      <w:szCs w:val="18"/>
                      <w14:textFill>
                        <w14:solidFill>
                          <w14:schemeClr w14:val="tx1"/>
                        </w14:solidFill>
                      </w14:textFill>
                    </w:rPr>
                    <w:t>环保措施</w:t>
                  </w:r>
                </w:p>
              </w:tc>
              <w:tc>
                <w:tcPr>
                  <w:tcW w:w="3645" w:type="pct"/>
                  <w:gridSpan w:val="2"/>
                  <w:vAlign w:val="center"/>
                </w:tcPr>
                <w:p w14:paraId="551593C6">
                  <w:pPr>
                    <w:snapToGrid w:val="0"/>
                    <w:jc w:val="center"/>
                    <w:rPr>
                      <w:b/>
                      <w:color w:val="000000" w:themeColor="text1"/>
                      <w:sz w:val="18"/>
                      <w:szCs w:val="18"/>
                      <w14:textFill>
                        <w14:solidFill>
                          <w14:schemeClr w14:val="tx1"/>
                        </w14:solidFill>
                      </w14:textFill>
                    </w:rPr>
                  </w:pPr>
                  <w:r>
                    <w:rPr>
                      <w:b/>
                      <w:color w:val="000000" w:themeColor="text1"/>
                      <w:sz w:val="18"/>
                      <w:szCs w:val="18"/>
                      <w14:textFill>
                        <w14:solidFill>
                          <w14:schemeClr w14:val="tx1"/>
                        </w14:solidFill>
                      </w14:textFill>
                    </w:rPr>
                    <w:t>措施说明</w:t>
                  </w:r>
                </w:p>
              </w:tc>
              <w:tc>
                <w:tcPr>
                  <w:tcW w:w="491" w:type="pct"/>
                  <w:vAlign w:val="center"/>
                </w:tcPr>
                <w:p w14:paraId="37D2EB32">
                  <w:pPr>
                    <w:snapToGrid w:val="0"/>
                    <w:jc w:val="center"/>
                    <w:rPr>
                      <w:b/>
                      <w:color w:val="000000" w:themeColor="text1"/>
                      <w:sz w:val="18"/>
                      <w:szCs w:val="18"/>
                      <w14:textFill>
                        <w14:solidFill>
                          <w14:schemeClr w14:val="tx1"/>
                        </w14:solidFill>
                      </w14:textFill>
                    </w:rPr>
                  </w:pPr>
                  <w:r>
                    <w:rPr>
                      <w:b/>
                      <w:color w:val="000000" w:themeColor="text1"/>
                      <w:sz w:val="18"/>
                      <w:szCs w:val="18"/>
                      <w14:textFill>
                        <w14:solidFill>
                          <w14:schemeClr w14:val="tx1"/>
                        </w14:solidFill>
                      </w14:textFill>
                    </w:rPr>
                    <w:t>金额（万元）</w:t>
                  </w:r>
                </w:p>
              </w:tc>
            </w:tr>
            <w:tr w14:paraId="5557EED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400" w:hRule="atLeast"/>
                <w:jc w:val="center"/>
              </w:trPr>
              <w:tc>
                <w:tcPr>
                  <w:tcW w:w="219" w:type="pct"/>
                  <w:vMerge w:val="restart"/>
                  <w:vAlign w:val="center"/>
                </w:tcPr>
                <w:p w14:paraId="577234D8">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1</w:t>
                  </w:r>
                </w:p>
              </w:tc>
              <w:tc>
                <w:tcPr>
                  <w:tcW w:w="286" w:type="pct"/>
                  <w:vMerge w:val="restart"/>
                  <w:vAlign w:val="center"/>
                </w:tcPr>
                <w:p w14:paraId="53622F30">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营运期</w:t>
                  </w:r>
                </w:p>
              </w:tc>
              <w:tc>
                <w:tcPr>
                  <w:tcW w:w="356" w:type="pct"/>
                  <w:vMerge w:val="restart"/>
                  <w:vAlign w:val="center"/>
                </w:tcPr>
                <w:p w14:paraId="78B933C7">
                  <w:pPr>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环境污染</w:t>
                  </w:r>
                </w:p>
                <w:p w14:paraId="74045658">
                  <w:pPr>
                    <w:snapToGrid w:val="0"/>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防治投资</w:t>
                  </w:r>
                </w:p>
              </w:tc>
              <w:tc>
                <w:tcPr>
                  <w:tcW w:w="695" w:type="pct"/>
                  <w:vAlign w:val="center"/>
                </w:tcPr>
                <w:p w14:paraId="65717450">
                  <w:pPr>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大气环境保护措施</w:t>
                  </w:r>
                </w:p>
              </w:tc>
              <w:tc>
                <w:tcPr>
                  <w:tcW w:w="2949" w:type="pct"/>
                  <w:vAlign w:val="center"/>
                </w:tcPr>
                <w:p w14:paraId="4C881520">
                  <w:pPr>
                    <w:snapToGrid w:val="0"/>
                    <w:jc w:val="left"/>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1</w:t>
                  </w:r>
                  <w:r>
                    <w:rPr>
                      <w:bCs/>
                      <w:color w:val="000000" w:themeColor="text1"/>
                      <w:sz w:val="18"/>
                      <w:szCs w:val="18"/>
                      <w14:textFill>
                        <w14:solidFill>
                          <w14:schemeClr w14:val="tx1"/>
                        </w14:solidFill>
                      </w14:textFill>
                    </w:rPr>
                    <w:t>、</w:t>
                  </w:r>
                  <w:r>
                    <w:rPr>
                      <w:rFonts w:hint="eastAsia"/>
                      <w:bCs/>
                      <w:color w:val="000000" w:themeColor="text1"/>
                      <w:sz w:val="18"/>
                      <w:szCs w:val="18"/>
                      <w14:textFill>
                        <w14:solidFill>
                          <w14:schemeClr w14:val="tx1"/>
                        </w14:solidFill>
                      </w14:textFill>
                    </w:rPr>
                    <w:t>破碎、筛分粉尘、投料粉尘、搅拌粉尘、堆场扬尘经洒水抑尘处理后无组织排放；</w:t>
                  </w:r>
                </w:p>
                <w:p w14:paraId="1B9F5454">
                  <w:pPr>
                    <w:snapToGrid w:val="0"/>
                    <w:jc w:val="left"/>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2</w:t>
                  </w:r>
                  <w:r>
                    <w:rPr>
                      <w:bCs/>
                      <w:color w:val="000000" w:themeColor="text1"/>
                      <w:sz w:val="18"/>
                      <w:szCs w:val="18"/>
                      <w14:textFill>
                        <w14:solidFill>
                          <w14:schemeClr w14:val="tx1"/>
                        </w14:solidFill>
                      </w14:textFill>
                    </w:rPr>
                    <w:t>、</w:t>
                  </w:r>
                  <w:r>
                    <w:rPr>
                      <w:rFonts w:hint="eastAsia"/>
                      <w:bCs/>
                      <w:color w:val="000000" w:themeColor="text1"/>
                      <w:sz w:val="18"/>
                      <w:szCs w:val="18"/>
                      <w14:textFill>
                        <w14:solidFill>
                          <w14:schemeClr w14:val="tx1"/>
                        </w14:solidFill>
                      </w14:textFill>
                    </w:rPr>
                    <w:t>车辆运输动力起尘经洒水抑尘处理后无组织排放</w:t>
                  </w:r>
                </w:p>
                <w:p w14:paraId="4A72DCFA">
                  <w:pPr>
                    <w:snapToGrid w:val="0"/>
                    <w:jc w:val="left"/>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3</w:t>
                  </w:r>
                  <w:r>
                    <w:rPr>
                      <w:bCs/>
                      <w:color w:val="000000" w:themeColor="text1"/>
                      <w:sz w:val="18"/>
                      <w:szCs w:val="18"/>
                      <w14:textFill>
                        <w14:solidFill>
                          <w14:schemeClr w14:val="tx1"/>
                        </w14:solidFill>
                      </w14:textFill>
                    </w:rPr>
                    <w:t>、</w:t>
                  </w:r>
                  <w:r>
                    <w:rPr>
                      <w:rFonts w:hint="eastAsia"/>
                      <w:bCs/>
                      <w:color w:val="000000" w:themeColor="text1"/>
                      <w:sz w:val="18"/>
                      <w:szCs w:val="18"/>
                      <w14:textFill>
                        <w14:solidFill>
                          <w14:schemeClr w14:val="tx1"/>
                        </w14:solidFill>
                      </w14:textFill>
                    </w:rPr>
                    <w:t>传送带输送粉尘经密闭传送处理后无组织排放</w:t>
                  </w:r>
                </w:p>
                <w:p w14:paraId="33944115">
                  <w:pPr>
                    <w:jc w:val="left"/>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4</w:t>
                  </w:r>
                  <w:r>
                    <w:rPr>
                      <w:bCs/>
                      <w:color w:val="000000" w:themeColor="text1"/>
                      <w:sz w:val="18"/>
                      <w:szCs w:val="18"/>
                      <w14:textFill>
                        <w14:solidFill>
                          <w14:schemeClr w14:val="tx1"/>
                        </w14:solidFill>
                      </w14:textFill>
                    </w:rPr>
                    <w:t>、</w:t>
                  </w:r>
                  <w:r>
                    <w:rPr>
                      <w:rFonts w:hint="eastAsia"/>
                      <w:bCs/>
                      <w:color w:val="000000" w:themeColor="text1"/>
                      <w:sz w:val="18"/>
                      <w:szCs w:val="18"/>
                      <w14:textFill>
                        <w14:solidFill>
                          <w14:schemeClr w14:val="tx1"/>
                        </w14:solidFill>
                      </w14:textFill>
                    </w:rPr>
                    <w:t>筒仓呼吸粉尘通过脉冲布袋除尘器处理后无组织排放</w:t>
                  </w:r>
                </w:p>
                <w:p w14:paraId="5991896F">
                  <w:pPr>
                    <w:jc w:val="left"/>
                    <w:rPr>
                      <w:bCs/>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w:t>
                  </w:r>
                  <w:r>
                    <w:rPr>
                      <w:color w:val="000000" w:themeColor="text1"/>
                      <w:sz w:val="18"/>
                      <w:szCs w:val="18"/>
                      <w14:textFill>
                        <w14:solidFill>
                          <w14:schemeClr w14:val="tx1"/>
                        </w14:solidFill>
                      </w14:textFill>
                    </w:rPr>
                    <w:t>厂区出入口设置洗车平台，对进出厂区运输车辆进行冲洗，减少运输扬尘</w:t>
                  </w:r>
                </w:p>
              </w:tc>
              <w:tc>
                <w:tcPr>
                  <w:tcW w:w="491" w:type="pct"/>
                  <w:vAlign w:val="center"/>
                </w:tcPr>
                <w:p w14:paraId="3F525A1D">
                  <w:pPr>
                    <w:jc w:val="center"/>
                    <w:rPr>
                      <w:bCs/>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8</w:t>
                  </w:r>
                </w:p>
              </w:tc>
            </w:tr>
            <w:tr w14:paraId="1DF5AA1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400" w:hRule="atLeast"/>
                <w:jc w:val="center"/>
              </w:trPr>
              <w:tc>
                <w:tcPr>
                  <w:tcW w:w="219" w:type="pct"/>
                  <w:vMerge w:val="continue"/>
                  <w:vAlign w:val="center"/>
                </w:tcPr>
                <w:p w14:paraId="29737671">
                  <w:pPr>
                    <w:snapToGrid w:val="0"/>
                    <w:jc w:val="center"/>
                    <w:rPr>
                      <w:bCs/>
                      <w:color w:val="000000" w:themeColor="text1"/>
                      <w:sz w:val="18"/>
                      <w:szCs w:val="18"/>
                      <w14:textFill>
                        <w14:solidFill>
                          <w14:schemeClr w14:val="tx1"/>
                        </w14:solidFill>
                      </w14:textFill>
                    </w:rPr>
                  </w:pPr>
                </w:p>
              </w:tc>
              <w:tc>
                <w:tcPr>
                  <w:tcW w:w="286" w:type="pct"/>
                  <w:vMerge w:val="continue"/>
                  <w:vAlign w:val="center"/>
                </w:tcPr>
                <w:p w14:paraId="4D93A4F1">
                  <w:pPr>
                    <w:snapToGrid w:val="0"/>
                    <w:jc w:val="center"/>
                    <w:rPr>
                      <w:bCs/>
                      <w:color w:val="000000" w:themeColor="text1"/>
                      <w:sz w:val="18"/>
                      <w:szCs w:val="18"/>
                      <w14:textFill>
                        <w14:solidFill>
                          <w14:schemeClr w14:val="tx1"/>
                        </w14:solidFill>
                      </w14:textFill>
                    </w:rPr>
                  </w:pPr>
                </w:p>
              </w:tc>
              <w:tc>
                <w:tcPr>
                  <w:tcW w:w="356" w:type="pct"/>
                  <w:vMerge w:val="continue"/>
                  <w:vAlign w:val="center"/>
                </w:tcPr>
                <w:p w14:paraId="342B8DDD">
                  <w:pPr>
                    <w:jc w:val="center"/>
                    <w:rPr>
                      <w:bCs/>
                      <w:color w:val="000000" w:themeColor="text1"/>
                      <w:sz w:val="18"/>
                      <w:szCs w:val="18"/>
                      <w14:textFill>
                        <w14:solidFill>
                          <w14:schemeClr w14:val="tx1"/>
                        </w14:solidFill>
                      </w14:textFill>
                    </w:rPr>
                  </w:pPr>
                </w:p>
              </w:tc>
              <w:tc>
                <w:tcPr>
                  <w:tcW w:w="695" w:type="pct"/>
                  <w:vAlign w:val="center"/>
                </w:tcPr>
                <w:p w14:paraId="05EE28BC">
                  <w:pPr>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地表水环境保护措施</w:t>
                  </w:r>
                </w:p>
              </w:tc>
              <w:tc>
                <w:tcPr>
                  <w:tcW w:w="2949" w:type="pct"/>
                  <w:vAlign w:val="center"/>
                </w:tcPr>
                <w:p w14:paraId="1C9D78C9">
                  <w:pPr>
                    <w:snapToGrid w:val="0"/>
                    <w:jc w:val="left"/>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w:t>
                  </w:r>
                  <w:r>
                    <w:rPr>
                      <w:color w:val="000000" w:themeColor="text1"/>
                      <w:sz w:val="18"/>
                      <w:szCs w:val="18"/>
                      <w14:textFill>
                        <w14:solidFill>
                          <w14:schemeClr w14:val="tx1"/>
                        </w14:solidFill>
                      </w14:textFill>
                    </w:rPr>
                    <w:t>生活污水</w:t>
                  </w:r>
                  <w:r>
                    <w:rPr>
                      <w:rFonts w:hint="eastAsia"/>
                      <w:color w:val="000000" w:themeColor="text1"/>
                      <w:sz w:val="18"/>
                      <w:szCs w:val="18"/>
                      <w14:textFill>
                        <w14:solidFill>
                          <w14:schemeClr w14:val="tx1"/>
                        </w14:solidFill>
                      </w14:textFill>
                    </w:rPr>
                    <w:t>经隔油池+</w:t>
                  </w:r>
                  <w:r>
                    <w:rPr>
                      <w:color w:val="000000" w:themeColor="text1"/>
                      <w:sz w:val="18"/>
                      <w:szCs w:val="18"/>
                      <w14:textFill>
                        <w14:solidFill>
                          <w14:schemeClr w14:val="tx1"/>
                        </w14:solidFill>
                      </w14:textFill>
                    </w:rPr>
                    <w:t>化粪池（</w:t>
                  </w:r>
                  <w:r>
                    <w:rPr>
                      <w:rFonts w:hint="eastAsia"/>
                      <w:color w:val="000000" w:themeColor="text1"/>
                      <w:sz w:val="18"/>
                      <w:szCs w:val="18"/>
                      <w14:textFill>
                        <w14:solidFill>
                          <w14:schemeClr w14:val="tx1"/>
                        </w14:solidFill>
                      </w14:textFill>
                    </w:rPr>
                    <w:t>处理规模15</w:t>
                  </w:r>
                  <w:r>
                    <w:rPr>
                      <w:color w:val="000000" w:themeColor="text1"/>
                      <w:sz w:val="18"/>
                      <w:szCs w:val="18"/>
                      <w14:textFill>
                        <w14:solidFill>
                          <w14:schemeClr w14:val="tx1"/>
                        </w14:solidFill>
                      </w14:textFill>
                    </w:rPr>
                    <w:t>m</w:t>
                  </w:r>
                  <w:r>
                    <w:rPr>
                      <w:color w:val="000000" w:themeColor="text1"/>
                      <w:sz w:val="18"/>
                      <w:szCs w:val="18"/>
                      <w:vertAlign w:val="superscript"/>
                      <w14:textFill>
                        <w14:solidFill>
                          <w14:schemeClr w14:val="tx1"/>
                        </w14:solidFill>
                      </w14:textFill>
                    </w:rPr>
                    <w:t>3</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d</w:t>
                  </w:r>
                  <w:r>
                    <w:rPr>
                      <w:color w:val="000000" w:themeColor="text1"/>
                      <w:sz w:val="18"/>
                      <w:szCs w:val="18"/>
                      <w14:textFill>
                        <w14:solidFill>
                          <w14:schemeClr w14:val="tx1"/>
                        </w14:solidFill>
                      </w14:textFill>
                    </w:rPr>
                    <w:t>）处理后</w:t>
                  </w:r>
                  <w:r>
                    <w:rPr>
                      <w:rFonts w:hint="eastAsia"/>
                      <w:color w:val="000000" w:themeColor="text1"/>
                      <w:sz w:val="18"/>
                      <w:szCs w:val="18"/>
                      <w14:textFill>
                        <w14:solidFill>
                          <w14:schemeClr w14:val="tx1"/>
                        </w14:solidFill>
                      </w14:textFill>
                    </w:rPr>
                    <w:t>排入市政污水管网</w:t>
                  </w:r>
                </w:p>
                <w:p w14:paraId="602F6B3E">
                  <w:pPr>
                    <w:snapToGrid w:val="0"/>
                    <w:jc w:val="left"/>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w:t>
                  </w:r>
                  <w:r>
                    <w:rPr>
                      <w:color w:val="000000" w:themeColor="text1"/>
                      <w:sz w:val="18"/>
                      <w:szCs w:val="18"/>
                      <w14:textFill>
                        <w14:solidFill>
                          <w14:schemeClr w14:val="tx1"/>
                        </w14:solidFill>
                      </w14:textFill>
                    </w:rPr>
                    <w:t>厂区</w:t>
                  </w:r>
                  <w:r>
                    <w:rPr>
                      <w:rFonts w:hint="eastAsia"/>
                      <w:color w:val="000000" w:themeColor="text1"/>
                      <w:sz w:val="18"/>
                      <w:szCs w:val="18"/>
                      <w14:textFill>
                        <w14:solidFill>
                          <w14:schemeClr w14:val="tx1"/>
                        </w14:solidFill>
                      </w14:textFill>
                    </w:rPr>
                    <w:t>北</w:t>
                  </w:r>
                  <w:r>
                    <w:rPr>
                      <w:color w:val="000000" w:themeColor="text1"/>
                      <w:sz w:val="18"/>
                      <w:szCs w:val="18"/>
                      <w14:textFill>
                        <w14:solidFill>
                          <w14:schemeClr w14:val="tx1"/>
                        </w14:solidFill>
                      </w14:textFill>
                    </w:rPr>
                    <w:t>侧设一个</w:t>
                  </w:r>
                  <w:r>
                    <w:rPr>
                      <w:rFonts w:hint="eastAsia"/>
                      <w:color w:val="000000" w:themeColor="text1"/>
                      <w:sz w:val="18"/>
                      <w:szCs w:val="18"/>
                      <w14:textFill>
                        <w14:solidFill>
                          <w14:schemeClr w14:val="tx1"/>
                        </w14:solidFill>
                      </w14:textFill>
                    </w:rPr>
                    <w:t>容积</w:t>
                  </w:r>
                  <w:r>
                    <w:rPr>
                      <w:rFonts w:hint="eastAsia"/>
                      <w:color w:val="000000" w:themeColor="text1"/>
                      <w:sz w:val="18"/>
                      <w:szCs w:val="18"/>
                      <w:lang w:val="en-US" w:eastAsia="zh-CN"/>
                      <w14:textFill>
                        <w14:solidFill>
                          <w14:schemeClr w14:val="tx1"/>
                        </w14:solidFill>
                      </w14:textFill>
                    </w:rPr>
                    <w:t>10</w:t>
                  </w:r>
                  <w:r>
                    <w:rPr>
                      <w:rFonts w:hint="eastAsia"/>
                      <w:color w:val="000000" w:themeColor="text1"/>
                      <w:sz w:val="18"/>
                      <w:szCs w:val="18"/>
                      <w14:textFill>
                        <w14:solidFill>
                          <w14:schemeClr w14:val="tx1"/>
                        </w14:solidFill>
                      </w14:textFill>
                    </w:rPr>
                    <w:t>00</w:t>
                  </w:r>
                  <w:r>
                    <w:rPr>
                      <w:color w:val="000000" w:themeColor="text1"/>
                      <w:sz w:val="18"/>
                      <w:szCs w:val="18"/>
                      <w14:textFill>
                        <w14:solidFill>
                          <w14:schemeClr w14:val="tx1"/>
                        </w14:solidFill>
                      </w14:textFill>
                    </w:rPr>
                    <w:t>m</w:t>
                  </w:r>
                  <w:r>
                    <w:rPr>
                      <w:color w:val="000000" w:themeColor="text1"/>
                      <w:sz w:val="18"/>
                      <w:szCs w:val="18"/>
                      <w:vertAlign w:val="superscript"/>
                      <w14:textFill>
                        <w14:solidFill>
                          <w14:schemeClr w14:val="tx1"/>
                        </w14:solidFill>
                      </w14:textFill>
                    </w:rPr>
                    <w:t>3</w:t>
                  </w:r>
                  <w:r>
                    <w:rPr>
                      <w:color w:val="000000" w:themeColor="text1"/>
                      <w:sz w:val="18"/>
                      <w:szCs w:val="18"/>
                      <w14:textFill>
                        <w14:solidFill>
                          <w14:schemeClr w14:val="tx1"/>
                        </w14:solidFill>
                      </w14:textFill>
                    </w:rPr>
                    <w:t>沉淀池</w:t>
                  </w:r>
                  <w:r>
                    <w:rPr>
                      <w:rFonts w:hint="eastAsia"/>
                      <w:color w:val="000000" w:themeColor="text1"/>
                      <w:sz w:val="18"/>
                      <w:szCs w:val="18"/>
                      <w:lang w:eastAsia="zh-CN"/>
                      <w14:textFill>
                        <w14:solidFill>
                          <w14:schemeClr w14:val="tx1"/>
                        </w14:solidFill>
                      </w14:textFill>
                    </w:rPr>
                    <w:t>（</w:t>
                  </w:r>
                  <w:r>
                    <w:rPr>
                      <w:rFonts w:hint="eastAsia"/>
                      <w:color w:val="000000" w:themeColor="text1"/>
                      <w:sz w:val="18"/>
                      <w:szCs w:val="18"/>
                      <w:lang w:val="en-US" w:eastAsia="zh-CN"/>
                      <w14:textFill>
                        <w14:solidFill>
                          <w14:schemeClr w14:val="tx1"/>
                        </w14:solidFill>
                      </w14:textFill>
                    </w:rPr>
                    <w:t>三级沉淀工艺</w:t>
                  </w:r>
                  <w:r>
                    <w:rPr>
                      <w:rFonts w:hint="eastAsia"/>
                      <w:color w:val="000000" w:themeColor="text1"/>
                      <w:sz w:val="18"/>
                      <w:szCs w:val="18"/>
                      <w:lang w:eastAsia="zh-CN"/>
                      <w14:textFill>
                        <w14:solidFill>
                          <w14:schemeClr w14:val="tx1"/>
                        </w14:solidFill>
                      </w14:textFill>
                    </w:rPr>
                    <w:t>）</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过水池清洗</w:t>
                  </w:r>
                  <w:r>
                    <w:rPr>
                      <w:color w:val="000000" w:themeColor="text1"/>
                      <w:sz w:val="18"/>
                      <w:szCs w:val="18"/>
                      <w14:textFill>
                        <w14:solidFill>
                          <w14:schemeClr w14:val="tx1"/>
                        </w14:solidFill>
                      </w14:textFill>
                    </w:rPr>
                    <w:t>废水</w:t>
                  </w:r>
                  <w:r>
                    <w:rPr>
                      <w:rFonts w:hint="eastAsia"/>
                      <w:color w:val="000000" w:themeColor="text1"/>
                      <w:sz w:val="18"/>
                      <w:szCs w:val="18"/>
                      <w14:textFill>
                        <w14:solidFill>
                          <w14:schemeClr w14:val="tx1"/>
                        </w14:solidFill>
                      </w14:textFill>
                    </w:rPr>
                    <w:t>和地面清洗废水</w:t>
                  </w:r>
                  <w:r>
                    <w:rPr>
                      <w:color w:val="000000" w:themeColor="text1"/>
                      <w:sz w:val="18"/>
                      <w:szCs w:val="18"/>
                      <w14:textFill>
                        <w14:solidFill>
                          <w14:schemeClr w14:val="tx1"/>
                        </w14:solidFill>
                      </w14:textFill>
                    </w:rPr>
                    <w:t>经沉淀池处理后回用于生产</w:t>
                  </w:r>
                </w:p>
                <w:p w14:paraId="16321A85">
                  <w:pPr>
                    <w:jc w:val="left"/>
                    <w:rPr>
                      <w:color w:val="000000" w:themeColor="text1"/>
                      <w:spacing w:val="3"/>
                      <w:sz w:val="18"/>
                      <w:szCs w:val="18"/>
                      <w14:textFill>
                        <w14:solidFill>
                          <w14:schemeClr w14:val="tx1"/>
                        </w14:solidFill>
                      </w14:textFill>
                    </w:rPr>
                  </w:pPr>
                  <w:r>
                    <w:rPr>
                      <w:rFonts w:hint="eastAsia"/>
                      <w:color w:val="000000" w:themeColor="text1"/>
                      <w:sz w:val="18"/>
                      <w:szCs w:val="18"/>
                      <w14:textFill>
                        <w14:solidFill>
                          <w14:schemeClr w14:val="tx1"/>
                        </w14:solidFill>
                      </w14:textFill>
                    </w:rPr>
                    <w:t>5、设置1个洗车平台，</w:t>
                  </w:r>
                  <w:r>
                    <w:rPr>
                      <w:color w:val="000000" w:themeColor="text1"/>
                      <w:sz w:val="18"/>
                      <w:szCs w:val="18"/>
                      <w14:textFill>
                        <w14:solidFill>
                          <w14:schemeClr w14:val="tx1"/>
                        </w14:solidFill>
                      </w14:textFill>
                    </w:rPr>
                    <w:t>洗车水循环使用</w:t>
                  </w:r>
                  <w:r>
                    <w:rPr>
                      <w:rFonts w:hint="eastAsia"/>
                      <w:color w:val="000000" w:themeColor="text1"/>
                      <w:sz w:val="18"/>
                      <w:szCs w:val="18"/>
                      <w14:textFill>
                        <w14:solidFill>
                          <w14:schemeClr w14:val="tx1"/>
                        </w14:solidFill>
                      </w14:textFill>
                    </w:rPr>
                    <w:t>，洗车平台设置1个沉淀池，容积10m</w:t>
                  </w:r>
                  <w:r>
                    <w:rPr>
                      <w:rFonts w:hint="eastAsia"/>
                      <w:color w:val="000000" w:themeColor="text1"/>
                      <w:sz w:val="18"/>
                      <w:szCs w:val="18"/>
                      <w:vertAlign w:val="superscript"/>
                      <w14:textFill>
                        <w14:solidFill>
                          <w14:schemeClr w14:val="tx1"/>
                        </w14:solidFill>
                      </w14:textFill>
                    </w:rPr>
                    <w:t>3</w:t>
                  </w:r>
                  <w:r>
                    <w:rPr>
                      <w:rFonts w:hint="eastAsia"/>
                      <w:color w:val="000000" w:themeColor="text1"/>
                      <w:sz w:val="18"/>
                      <w:szCs w:val="18"/>
                      <w14:textFill>
                        <w14:solidFill>
                          <w14:schemeClr w14:val="tx1"/>
                        </w14:solidFill>
                      </w14:textFill>
                    </w:rPr>
                    <w:t>（5m*5m*0.4m）</w:t>
                  </w:r>
                </w:p>
              </w:tc>
              <w:tc>
                <w:tcPr>
                  <w:tcW w:w="491" w:type="pct"/>
                  <w:vAlign w:val="center"/>
                </w:tcPr>
                <w:p w14:paraId="1B30107F">
                  <w:pPr>
                    <w:jc w:val="center"/>
                    <w:rPr>
                      <w:bCs/>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10</w:t>
                  </w:r>
                </w:p>
              </w:tc>
            </w:tr>
            <w:tr w14:paraId="4223025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238" w:hRule="atLeast"/>
                <w:jc w:val="center"/>
              </w:trPr>
              <w:tc>
                <w:tcPr>
                  <w:tcW w:w="219" w:type="pct"/>
                  <w:vMerge w:val="continue"/>
                  <w:vAlign w:val="center"/>
                </w:tcPr>
                <w:p w14:paraId="748BC312">
                  <w:pPr>
                    <w:snapToGrid w:val="0"/>
                    <w:jc w:val="center"/>
                    <w:rPr>
                      <w:bCs/>
                      <w:color w:val="000000" w:themeColor="text1"/>
                      <w:sz w:val="18"/>
                      <w:szCs w:val="18"/>
                      <w14:textFill>
                        <w14:solidFill>
                          <w14:schemeClr w14:val="tx1"/>
                        </w14:solidFill>
                      </w14:textFill>
                    </w:rPr>
                  </w:pPr>
                </w:p>
              </w:tc>
              <w:tc>
                <w:tcPr>
                  <w:tcW w:w="286" w:type="pct"/>
                  <w:vMerge w:val="continue"/>
                  <w:vAlign w:val="center"/>
                </w:tcPr>
                <w:p w14:paraId="30C76DA5">
                  <w:pPr>
                    <w:jc w:val="center"/>
                    <w:rPr>
                      <w:bCs/>
                      <w:color w:val="000000" w:themeColor="text1"/>
                      <w:sz w:val="18"/>
                      <w:szCs w:val="18"/>
                      <w14:textFill>
                        <w14:solidFill>
                          <w14:schemeClr w14:val="tx1"/>
                        </w14:solidFill>
                      </w14:textFill>
                    </w:rPr>
                  </w:pPr>
                </w:p>
              </w:tc>
              <w:tc>
                <w:tcPr>
                  <w:tcW w:w="356" w:type="pct"/>
                  <w:vMerge w:val="continue"/>
                  <w:vAlign w:val="center"/>
                </w:tcPr>
                <w:p w14:paraId="6DC62031">
                  <w:pPr>
                    <w:jc w:val="center"/>
                    <w:rPr>
                      <w:bCs/>
                      <w:color w:val="000000" w:themeColor="text1"/>
                      <w:sz w:val="18"/>
                      <w:szCs w:val="18"/>
                      <w14:textFill>
                        <w14:solidFill>
                          <w14:schemeClr w14:val="tx1"/>
                        </w14:solidFill>
                      </w14:textFill>
                    </w:rPr>
                  </w:pPr>
                </w:p>
              </w:tc>
              <w:tc>
                <w:tcPr>
                  <w:tcW w:w="695" w:type="pct"/>
                  <w:vAlign w:val="center"/>
                </w:tcPr>
                <w:p w14:paraId="64CDDC0E">
                  <w:pPr>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固废环境保护措施</w:t>
                  </w:r>
                </w:p>
              </w:tc>
              <w:tc>
                <w:tcPr>
                  <w:tcW w:w="2949" w:type="pct"/>
                  <w:vAlign w:val="center"/>
                </w:tcPr>
                <w:p w14:paraId="487FE06C">
                  <w:pPr>
                    <w:tabs>
                      <w:tab w:val="left" w:pos="1693"/>
                    </w:tabs>
                    <w:snapToGrid w:val="0"/>
                    <w:jc w:val="left"/>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w:t>
                  </w:r>
                  <w:r>
                    <w:rPr>
                      <w:color w:val="000000" w:themeColor="text1"/>
                      <w:sz w:val="18"/>
                      <w:szCs w:val="18"/>
                      <w14:textFill>
                        <w14:solidFill>
                          <w14:schemeClr w14:val="tx1"/>
                        </w14:solidFill>
                      </w14:textFill>
                    </w:rPr>
                    <w:t>生活垃圾设置垃圾收集桶，定点收集后交由市政环卫部门统一处理</w:t>
                  </w:r>
                  <w:r>
                    <w:rPr>
                      <w:rFonts w:hint="eastAsia"/>
                      <w:color w:val="000000" w:themeColor="text1"/>
                      <w:sz w:val="18"/>
                      <w:szCs w:val="18"/>
                      <w14:textFill>
                        <w14:solidFill>
                          <w14:schemeClr w14:val="tx1"/>
                        </w14:solidFill>
                      </w14:textFill>
                    </w:rPr>
                    <w:t>；</w:t>
                  </w:r>
                </w:p>
                <w:p w14:paraId="6CD1792E">
                  <w:pPr>
                    <w:jc w:val="left"/>
                    <w:rPr>
                      <w:bCs/>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2、设置1个</w:t>
                  </w:r>
                  <w:r>
                    <w:rPr>
                      <w:color w:val="000000" w:themeColor="text1"/>
                      <w:sz w:val="18"/>
                      <w:szCs w:val="18"/>
                      <w14:textFill>
                        <w14:solidFill>
                          <w14:schemeClr w14:val="tx1"/>
                        </w14:solidFill>
                      </w14:textFill>
                    </w:rPr>
                    <w:t>一般工业固废暂存间：</w:t>
                  </w:r>
                  <w:r>
                    <w:rPr>
                      <w:rFonts w:hint="eastAsia"/>
                      <w:color w:val="000000" w:themeColor="text1"/>
                      <w:sz w:val="18"/>
                      <w:szCs w:val="18"/>
                      <w14:textFill>
                        <w14:solidFill>
                          <w14:schemeClr w14:val="tx1"/>
                        </w14:solidFill>
                      </w14:textFill>
                    </w:rPr>
                    <w:t>600</w:t>
                  </w:r>
                  <w:r>
                    <w:rPr>
                      <w:color w:val="000000" w:themeColor="text1"/>
                      <w:sz w:val="18"/>
                      <w:szCs w:val="18"/>
                      <w14:textFill>
                        <w14:solidFill>
                          <w14:schemeClr w14:val="tx1"/>
                        </w14:solidFill>
                      </w14:textFill>
                    </w:rPr>
                    <w:t>m</w:t>
                  </w:r>
                  <w:r>
                    <w:rPr>
                      <w:color w:val="000000" w:themeColor="text1"/>
                      <w:sz w:val="18"/>
                      <w:szCs w:val="18"/>
                      <w:vertAlign w:val="superscript"/>
                      <w14:textFill>
                        <w14:solidFill>
                          <w14:schemeClr w14:val="tx1"/>
                        </w14:solidFill>
                      </w14:textFill>
                    </w:rPr>
                    <w:t>2</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1个</w:t>
                  </w:r>
                  <w:r>
                    <w:rPr>
                      <w:color w:val="000000" w:themeColor="text1"/>
                      <w:sz w:val="18"/>
                      <w:szCs w:val="18"/>
                      <w14:textFill>
                        <w14:solidFill>
                          <w14:schemeClr w14:val="tx1"/>
                        </w14:solidFill>
                      </w14:textFill>
                    </w:rPr>
                    <w:t>危险废物暂存间：5m</w:t>
                  </w:r>
                  <w:r>
                    <w:rPr>
                      <w:color w:val="000000" w:themeColor="text1"/>
                      <w:sz w:val="18"/>
                      <w:szCs w:val="18"/>
                      <w:vertAlign w:val="superscript"/>
                      <w14:textFill>
                        <w14:solidFill>
                          <w14:schemeClr w14:val="tx1"/>
                        </w14:solidFill>
                      </w14:textFill>
                    </w:rPr>
                    <w:t>2</w:t>
                  </w:r>
                </w:p>
              </w:tc>
              <w:tc>
                <w:tcPr>
                  <w:tcW w:w="491" w:type="pct"/>
                  <w:vAlign w:val="center"/>
                </w:tcPr>
                <w:p w14:paraId="3B22D3C5">
                  <w:pPr>
                    <w:jc w:val="center"/>
                    <w:rPr>
                      <w:bCs/>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4</w:t>
                  </w:r>
                </w:p>
              </w:tc>
            </w:tr>
            <w:tr w14:paraId="0AC1BBF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238" w:hRule="atLeast"/>
                <w:jc w:val="center"/>
              </w:trPr>
              <w:tc>
                <w:tcPr>
                  <w:tcW w:w="219" w:type="pct"/>
                  <w:vMerge w:val="continue"/>
                  <w:vAlign w:val="center"/>
                </w:tcPr>
                <w:p w14:paraId="541E5C70">
                  <w:pPr>
                    <w:snapToGrid w:val="0"/>
                    <w:jc w:val="center"/>
                    <w:rPr>
                      <w:bCs/>
                      <w:color w:val="000000" w:themeColor="text1"/>
                      <w:sz w:val="18"/>
                      <w:szCs w:val="18"/>
                      <w14:textFill>
                        <w14:solidFill>
                          <w14:schemeClr w14:val="tx1"/>
                        </w14:solidFill>
                      </w14:textFill>
                    </w:rPr>
                  </w:pPr>
                </w:p>
              </w:tc>
              <w:tc>
                <w:tcPr>
                  <w:tcW w:w="286" w:type="pct"/>
                  <w:vMerge w:val="continue"/>
                  <w:vAlign w:val="center"/>
                </w:tcPr>
                <w:p w14:paraId="2BCD0670">
                  <w:pPr>
                    <w:jc w:val="center"/>
                    <w:rPr>
                      <w:bCs/>
                      <w:color w:val="000000" w:themeColor="text1"/>
                      <w:sz w:val="18"/>
                      <w:szCs w:val="18"/>
                      <w14:textFill>
                        <w14:solidFill>
                          <w14:schemeClr w14:val="tx1"/>
                        </w14:solidFill>
                      </w14:textFill>
                    </w:rPr>
                  </w:pPr>
                </w:p>
              </w:tc>
              <w:tc>
                <w:tcPr>
                  <w:tcW w:w="356" w:type="pct"/>
                  <w:vMerge w:val="continue"/>
                  <w:vAlign w:val="center"/>
                </w:tcPr>
                <w:p w14:paraId="737CB0AE">
                  <w:pPr>
                    <w:jc w:val="center"/>
                    <w:rPr>
                      <w:bCs/>
                      <w:color w:val="000000" w:themeColor="text1"/>
                      <w:sz w:val="18"/>
                      <w:szCs w:val="18"/>
                      <w14:textFill>
                        <w14:solidFill>
                          <w14:schemeClr w14:val="tx1"/>
                        </w14:solidFill>
                      </w14:textFill>
                    </w:rPr>
                  </w:pPr>
                </w:p>
              </w:tc>
              <w:tc>
                <w:tcPr>
                  <w:tcW w:w="695" w:type="pct"/>
                  <w:vAlign w:val="center"/>
                </w:tcPr>
                <w:p w14:paraId="1192F3AE">
                  <w:pPr>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声环境保护措施</w:t>
                  </w:r>
                </w:p>
              </w:tc>
              <w:tc>
                <w:tcPr>
                  <w:tcW w:w="2949" w:type="pct"/>
                  <w:vAlign w:val="center"/>
                </w:tcPr>
                <w:p w14:paraId="4D9B266A">
                  <w:pPr>
                    <w:jc w:val="left"/>
                    <w:rPr>
                      <w:bCs/>
                      <w:color w:val="000000" w:themeColor="text1"/>
                      <w:sz w:val="18"/>
                      <w:szCs w:val="18"/>
                      <w14:textFill>
                        <w14:solidFill>
                          <w14:schemeClr w14:val="tx1"/>
                        </w14:solidFill>
                      </w14:textFill>
                    </w:rPr>
                  </w:pPr>
                  <w:r>
                    <w:rPr>
                      <w:color w:val="000000" w:themeColor="text1"/>
                      <w:spacing w:val="3"/>
                      <w:sz w:val="18"/>
                      <w:szCs w:val="18"/>
                      <w14:textFill>
                        <w14:solidFill>
                          <w14:schemeClr w14:val="tx1"/>
                        </w14:solidFill>
                      </w14:textFill>
                    </w:rPr>
                    <w:t>选用低噪声设备、减振措施等</w:t>
                  </w:r>
                </w:p>
              </w:tc>
              <w:tc>
                <w:tcPr>
                  <w:tcW w:w="491" w:type="pct"/>
                  <w:vAlign w:val="center"/>
                </w:tcPr>
                <w:p w14:paraId="541D7FEE">
                  <w:pPr>
                    <w:jc w:val="center"/>
                    <w:rPr>
                      <w:bCs/>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w:t>
                  </w:r>
                </w:p>
              </w:tc>
            </w:tr>
            <w:tr w14:paraId="66DA187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238" w:hRule="atLeast"/>
                <w:jc w:val="center"/>
              </w:trPr>
              <w:tc>
                <w:tcPr>
                  <w:tcW w:w="219" w:type="pct"/>
                  <w:vMerge w:val="continue"/>
                  <w:vAlign w:val="center"/>
                </w:tcPr>
                <w:p w14:paraId="455562F3">
                  <w:pPr>
                    <w:snapToGrid w:val="0"/>
                    <w:jc w:val="center"/>
                    <w:rPr>
                      <w:bCs/>
                      <w:color w:val="000000" w:themeColor="text1"/>
                      <w:sz w:val="18"/>
                      <w:szCs w:val="18"/>
                      <w14:textFill>
                        <w14:solidFill>
                          <w14:schemeClr w14:val="tx1"/>
                        </w14:solidFill>
                      </w14:textFill>
                    </w:rPr>
                  </w:pPr>
                </w:p>
              </w:tc>
              <w:tc>
                <w:tcPr>
                  <w:tcW w:w="286" w:type="pct"/>
                  <w:vMerge w:val="continue"/>
                  <w:vAlign w:val="center"/>
                </w:tcPr>
                <w:p w14:paraId="77C1EB27">
                  <w:pPr>
                    <w:jc w:val="center"/>
                    <w:rPr>
                      <w:bCs/>
                      <w:color w:val="000000" w:themeColor="text1"/>
                      <w:sz w:val="18"/>
                      <w:szCs w:val="18"/>
                      <w14:textFill>
                        <w14:solidFill>
                          <w14:schemeClr w14:val="tx1"/>
                        </w14:solidFill>
                      </w14:textFill>
                    </w:rPr>
                  </w:pPr>
                </w:p>
              </w:tc>
              <w:tc>
                <w:tcPr>
                  <w:tcW w:w="356" w:type="pct"/>
                  <w:vMerge w:val="continue"/>
                  <w:vAlign w:val="center"/>
                </w:tcPr>
                <w:p w14:paraId="65672011">
                  <w:pPr>
                    <w:jc w:val="center"/>
                    <w:rPr>
                      <w:bCs/>
                      <w:color w:val="000000" w:themeColor="text1"/>
                      <w:sz w:val="18"/>
                      <w:szCs w:val="18"/>
                      <w14:textFill>
                        <w14:solidFill>
                          <w14:schemeClr w14:val="tx1"/>
                        </w14:solidFill>
                      </w14:textFill>
                    </w:rPr>
                  </w:pPr>
                </w:p>
              </w:tc>
              <w:tc>
                <w:tcPr>
                  <w:tcW w:w="695" w:type="pct"/>
                  <w:vAlign w:val="center"/>
                </w:tcPr>
                <w:p w14:paraId="40461167">
                  <w:pPr>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地下水环境保护措施</w:t>
                  </w:r>
                </w:p>
              </w:tc>
              <w:tc>
                <w:tcPr>
                  <w:tcW w:w="2949" w:type="pct"/>
                  <w:vAlign w:val="center"/>
                </w:tcPr>
                <w:p w14:paraId="5B168577">
                  <w:pPr>
                    <w:jc w:val="left"/>
                    <w:rPr>
                      <w:bCs/>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隔油池、</w:t>
                  </w:r>
                  <w:r>
                    <w:rPr>
                      <w:color w:val="000000" w:themeColor="text1"/>
                      <w:sz w:val="18"/>
                      <w:szCs w:val="18"/>
                      <w14:textFill>
                        <w14:solidFill>
                          <w14:schemeClr w14:val="tx1"/>
                        </w14:solidFill>
                      </w14:textFill>
                    </w:rPr>
                    <w:t>危废暂存间</w:t>
                  </w:r>
                  <w:r>
                    <w:rPr>
                      <w:rFonts w:hint="eastAsia"/>
                      <w:color w:val="000000" w:themeColor="text1"/>
                      <w:spacing w:val="3"/>
                      <w:sz w:val="18"/>
                      <w:szCs w:val="18"/>
                      <w14:textFill>
                        <w14:solidFill>
                          <w14:schemeClr w14:val="tx1"/>
                        </w14:solidFill>
                      </w14:textFill>
                    </w:rPr>
                    <w:t>为重点防渗区，</w:t>
                  </w:r>
                  <w:r>
                    <w:rPr>
                      <w:rFonts w:hint="eastAsia"/>
                      <w:color w:val="000000" w:themeColor="text1"/>
                      <w:sz w:val="18"/>
                      <w:szCs w:val="18"/>
                      <w14:textFill>
                        <w14:solidFill>
                          <w14:schemeClr w14:val="tx1"/>
                        </w14:solidFill>
                      </w14:textFill>
                    </w:rPr>
                    <w:t>生产车间、原料堆放区、半成品堆放区、沉淀池、压滤间、一般固废暂存间、化粪池</w:t>
                  </w:r>
                  <w:r>
                    <w:rPr>
                      <w:rFonts w:hint="eastAsia"/>
                      <w:color w:val="000000" w:themeColor="text1"/>
                      <w:spacing w:val="3"/>
                      <w:sz w:val="18"/>
                      <w:szCs w:val="18"/>
                      <w14:textFill>
                        <w14:solidFill>
                          <w14:schemeClr w14:val="tx1"/>
                        </w14:solidFill>
                      </w14:textFill>
                    </w:rPr>
                    <w:t>为一般防渗区，其他区域为简单防渗区。</w:t>
                  </w:r>
                </w:p>
              </w:tc>
              <w:tc>
                <w:tcPr>
                  <w:tcW w:w="491" w:type="pct"/>
                  <w:vAlign w:val="center"/>
                </w:tcPr>
                <w:p w14:paraId="0A0B1966">
                  <w:pPr>
                    <w:jc w:val="center"/>
                    <w:rPr>
                      <w:bCs/>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w:t>
                  </w:r>
                </w:p>
              </w:tc>
            </w:tr>
            <w:tr w14:paraId="0845A66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238" w:hRule="atLeast"/>
                <w:jc w:val="center"/>
              </w:trPr>
              <w:tc>
                <w:tcPr>
                  <w:tcW w:w="219" w:type="pct"/>
                  <w:vMerge w:val="continue"/>
                  <w:vAlign w:val="center"/>
                </w:tcPr>
                <w:p w14:paraId="57EAB40D">
                  <w:pPr>
                    <w:snapToGrid w:val="0"/>
                    <w:jc w:val="center"/>
                    <w:rPr>
                      <w:bCs/>
                      <w:color w:val="000000" w:themeColor="text1"/>
                      <w:sz w:val="18"/>
                      <w:szCs w:val="18"/>
                      <w14:textFill>
                        <w14:solidFill>
                          <w14:schemeClr w14:val="tx1"/>
                        </w14:solidFill>
                      </w14:textFill>
                    </w:rPr>
                  </w:pPr>
                </w:p>
              </w:tc>
              <w:tc>
                <w:tcPr>
                  <w:tcW w:w="286" w:type="pct"/>
                  <w:vMerge w:val="continue"/>
                  <w:vAlign w:val="center"/>
                </w:tcPr>
                <w:p w14:paraId="620A307C">
                  <w:pPr>
                    <w:jc w:val="center"/>
                    <w:rPr>
                      <w:bCs/>
                      <w:color w:val="000000" w:themeColor="text1"/>
                      <w:sz w:val="18"/>
                      <w:szCs w:val="18"/>
                      <w14:textFill>
                        <w14:solidFill>
                          <w14:schemeClr w14:val="tx1"/>
                        </w14:solidFill>
                      </w14:textFill>
                    </w:rPr>
                  </w:pPr>
                </w:p>
              </w:tc>
              <w:tc>
                <w:tcPr>
                  <w:tcW w:w="356" w:type="pct"/>
                  <w:vMerge w:val="continue"/>
                  <w:vAlign w:val="center"/>
                </w:tcPr>
                <w:p w14:paraId="3BF2F61D">
                  <w:pPr>
                    <w:jc w:val="center"/>
                    <w:rPr>
                      <w:bCs/>
                      <w:color w:val="000000" w:themeColor="text1"/>
                      <w:sz w:val="18"/>
                      <w:szCs w:val="18"/>
                      <w14:textFill>
                        <w14:solidFill>
                          <w14:schemeClr w14:val="tx1"/>
                        </w14:solidFill>
                      </w14:textFill>
                    </w:rPr>
                  </w:pPr>
                </w:p>
              </w:tc>
              <w:tc>
                <w:tcPr>
                  <w:tcW w:w="695" w:type="pct"/>
                  <w:vAlign w:val="center"/>
                </w:tcPr>
                <w:p w14:paraId="72D8940B">
                  <w:pPr>
                    <w:jc w:val="center"/>
                    <w:rPr>
                      <w:rFonts w:eastAsia="新宋体"/>
                      <w:bCs/>
                      <w:color w:val="000000" w:themeColor="text1"/>
                      <w:sz w:val="18"/>
                      <w:szCs w:val="18"/>
                      <w14:textFill>
                        <w14:solidFill>
                          <w14:schemeClr w14:val="tx1"/>
                        </w14:solidFill>
                      </w14:textFill>
                    </w:rPr>
                  </w:pPr>
                  <w:r>
                    <w:rPr>
                      <w:rFonts w:eastAsia="新宋体"/>
                      <w:bCs/>
                      <w:color w:val="000000" w:themeColor="text1"/>
                      <w:sz w:val="18"/>
                      <w:szCs w:val="18"/>
                      <w14:textFill>
                        <w14:solidFill>
                          <w14:schemeClr w14:val="tx1"/>
                        </w14:solidFill>
                      </w14:textFill>
                    </w:rPr>
                    <w:t>环境风险保护措施</w:t>
                  </w:r>
                </w:p>
              </w:tc>
              <w:tc>
                <w:tcPr>
                  <w:tcW w:w="2949" w:type="pct"/>
                  <w:vAlign w:val="center"/>
                </w:tcPr>
                <w:p w14:paraId="79B45E35">
                  <w:pPr>
                    <w:adjustRightInd w:val="0"/>
                    <w:snapToGrid w:val="0"/>
                    <w:jc w:val="left"/>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1、设置地面防渗层；</w:t>
                  </w:r>
                </w:p>
                <w:p w14:paraId="178F0CF8">
                  <w:pPr>
                    <w:adjustRightInd w:val="0"/>
                    <w:snapToGrid w:val="0"/>
                    <w:jc w:val="left"/>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2、危险固废暂存库设置围堰；</w:t>
                  </w:r>
                </w:p>
                <w:p w14:paraId="65F1475B">
                  <w:pPr>
                    <w:adjustRightInd w:val="0"/>
                    <w:snapToGrid w:val="0"/>
                    <w:jc w:val="left"/>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3、一般固废库应做好防雨淋、防渗漏、防扬尘等措施</w:t>
                  </w:r>
                </w:p>
              </w:tc>
              <w:tc>
                <w:tcPr>
                  <w:tcW w:w="491" w:type="pct"/>
                  <w:vAlign w:val="center"/>
                </w:tcPr>
                <w:p w14:paraId="744B4FE9">
                  <w:pPr>
                    <w:widowControl/>
                    <w:jc w:val="center"/>
                    <w:textAlignment w:val="center"/>
                    <w:rPr>
                      <w:bCs/>
                      <w:color w:val="000000" w:themeColor="text1"/>
                      <w:sz w:val="18"/>
                      <w:szCs w:val="18"/>
                      <w14:textFill>
                        <w14:solidFill>
                          <w14:schemeClr w14:val="tx1"/>
                        </w14:solidFill>
                      </w14:textFill>
                    </w:rPr>
                  </w:pPr>
                  <w:r>
                    <w:rPr>
                      <w:rFonts w:hint="eastAsia"/>
                      <w:color w:val="000000" w:themeColor="text1"/>
                      <w:kern w:val="0"/>
                      <w:sz w:val="18"/>
                      <w:szCs w:val="18"/>
                      <w:lang w:bidi="ar"/>
                      <w14:textFill>
                        <w14:solidFill>
                          <w14:schemeClr w14:val="tx1"/>
                        </w14:solidFill>
                      </w14:textFill>
                    </w:rPr>
                    <w:t>2</w:t>
                  </w:r>
                </w:p>
              </w:tc>
            </w:tr>
            <w:tr w14:paraId="5A38B42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cantSplit/>
                <w:trHeight w:val="20" w:hRule="atLeast"/>
                <w:jc w:val="center"/>
              </w:trPr>
              <w:tc>
                <w:tcPr>
                  <w:tcW w:w="219" w:type="pct"/>
                  <w:vAlign w:val="center"/>
                </w:tcPr>
                <w:p w14:paraId="730D10D5">
                  <w:pPr>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2</w:t>
                  </w:r>
                </w:p>
              </w:tc>
              <w:tc>
                <w:tcPr>
                  <w:tcW w:w="4288" w:type="pct"/>
                  <w:gridSpan w:val="4"/>
                  <w:vAlign w:val="center"/>
                </w:tcPr>
                <w:p w14:paraId="574BB8A8">
                  <w:pPr>
                    <w:jc w:val="center"/>
                    <w:rPr>
                      <w:bCs/>
                      <w:color w:val="000000" w:themeColor="text1"/>
                      <w:sz w:val="18"/>
                      <w:szCs w:val="18"/>
                      <w14:textFill>
                        <w14:solidFill>
                          <w14:schemeClr w14:val="tx1"/>
                        </w14:solidFill>
                      </w14:textFill>
                    </w:rPr>
                  </w:pPr>
                  <w:r>
                    <w:rPr>
                      <w:bCs/>
                      <w:color w:val="000000" w:themeColor="text1"/>
                      <w:sz w:val="18"/>
                      <w:szCs w:val="18"/>
                      <w14:textFill>
                        <w14:solidFill>
                          <w14:schemeClr w14:val="tx1"/>
                        </w14:solidFill>
                      </w14:textFill>
                    </w:rPr>
                    <w:t>合计</w:t>
                  </w:r>
                </w:p>
              </w:tc>
              <w:tc>
                <w:tcPr>
                  <w:tcW w:w="491" w:type="pct"/>
                  <w:vAlign w:val="center"/>
                </w:tcPr>
                <w:p w14:paraId="0EF7F9D9">
                  <w:pPr>
                    <w:jc w:val="center"/>
                    <w:rPr>
                      <w:bCs/>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30</w:t>
                  </w:r>
                </w:p>
              </w:tc>
            </w:tr>
          </w:tbl>
          <w:p w14:paraId="4C63159A">
            <w:pPr>
              <w:tabs>
                <w:tab w:val="left" w:pos="2832"/>
              </w:tabs>
              <w:snapToGrid w:val="0"/>
              <w:spacing w:line="360" w:lineRule="auto"/>
              <w:rPr>
                <w:b/>
                <w:color w:val="000000" w:themeColor="text1"/>
                <w:sz w:val="28"/>
                <w:szCs w:val="28"/>
                <w14:textFill>
                  <w14:solidFill>
                    <w14:schemeClr w14:val="tx1"/>
                  </w14:solidFill>
                </w14:textFill>
              </w:rPr>
            </w:pPr>
          </w:p>
        </w:tc>
      </w:tr>
    </w:tbl>
    <w:p w14:paraId="18EBD899">
      <w:pPr>
        <w:adjustRightInd w:val="0"/>
        <w:snapToGrid w:val="0"/>
        <w:spacing w:line="360" w:lineRule="auto"/>
        <w:rPr>
          <w:b/>
          <w:color w:val="000000" w:themeColor="text1"/>
          <w:kern w:val="0"/>
          <w:sz w:val="28"/>
          <w:szCs w:val="28"/>
          <w14:textFill>
            <w14:solidFill>
              <w14:schemeClr w14:val="tx1"/>
            </w14:solidFill>
          </w14:textFill>
        </w:rPr>
        <w:sectPr>
          <w:pgSz w:w="16840" w:h="11907" w:orient="landscape"/>
          <w:pgMar w:top="1134" w:right="1134" w:bottom="1134" w:left="1134" w:header="851" w:footer="851" w:gutter="0"/>
          <w:cols w:space="720" w:num="1"/>
          <w:docGrid w:linePitch="312" w:charSpace="0"/>
        </w:sectPr>
      </w:pPr>
    </w:p>
    <w:p w14:paraId="2AE123C6">
      <w:pPr>
        <w:pStyle w:val="40"/>
        <w:outlineLvl w:val="0"/>
        <w:rPr>
          <w:rFonts w:ascii="Times New Roman" w:hAnsi="Times New Roman"/>
          <w:b/>
          <w:bCs/>
          <w:snapToGrid w:val="0"/>
          <w:color w:val="000000" w:themeColor="text1"/>
          <w:sz w:val="30"/>
          <w:szCs w:val="30"/>
          <w14:textFill>
            <w14:solidFill>
              <w14:schemeClr w14:val="tx1"/>
            </w14:solidFill>
          </w14:textFill>
        </w:rPr>
      </w:pPr>
      <w:bookmarkStart w:id="59" w:name="_Toc71641913"/>
      <w:bookmarkStart w:id="60" w:name="_Toc4229"/>
      <w:r>
        <w:rPr>
          <w:rFonts w:eastAsia="新宋体"/>
          <w:b/>
          <w:bCs/>
          <w:color w:val="000000" w:themeColor="text1"/>
          <w14:textFill>
            <w14:solidFill>
              <w14:schemeClr w14:val="tx1"/>
            </w14:solidFill>
          </w14:textFill>
        </w:rPr>
        <mc:AlternateContent>
          <mc:Choice Requires="wps">
            <w:drawing>
              <wp:anchor distT="0" distB="0" distL="114300" distR="114300" simplePos="0" relativeHeight="251661312" behindDoc="0" locked="0" layoutInCell="1" allowOverlap="1">
                <wp:simplePos x="0" y="0"/>
                <wp:positionH relativeFrom="column">
                  <wp:posOffset>650875</wp:posOffset>
                </wp:positionH>
                <wp:positionV relativeFrom="paragraph">
                  <wp:posOffset>594995</wp:posOffset>
                </wp:positionV>
                <wp:extent cx="544195" cy="338455"/>
                <wp:effectExtent l="635" t="0" r="0" b="0"/>
                <wp:wrapNone/>
                <wp:docPr id="2774588" name="文本框 85"/>
                <wp:cNvGraphicFramePr/>
                <a:graphic xmlns:a="http://schemas.openxmlformats.org/drawingml/2006/main">
                  <a:graphicData uri="http://schemas.microsoft.com/office/word/2010/wordprocessingShape">
                    <wps:wsp>
                      <wps:cNvSpPr txBox="1">
                        <a:spLocks noChangeArrowheads="1"/>
                      </wps:cNvSpPr>
                      <wps:spPr bwMode="auto">
                        <a:xfrm>
                          <a:off x="0" y="0"/>
                          <a:ext cx="544195" cy="338455"/>
                        </a:xfrm>
                        <a:prstGeom prst="rect">
                          <a:avLst/>
                        </a:prstGeom>
                        <a:noFill/>
                        <a:ln>
                          <a:noFill/>
                        </a:ln>
                      </wps:spPr>
                      <wps:txbx>
                        <w:txbxContent>
                          <w:p w14:paraId="76184FE5">
                            <w:pPr>
                              <w:rPr>
                                <w:rFonts w:hint="eastAsia" w:ascii="新宋体" w:hAnsi="新宋体" w:eastAsia="新宋体"/>
                                <w:b/>
                                <w:bCs/>
                                <w:sz w:val="24"/>
                              </w:rPr>
                            </w:pPr>
                            <w:r>
                              <w:rPr>
                                <w:rFonts w:ascii="新宋体" w:hAnsi="新宋体" w:eastAsia="新宋体"/>
                                <w:b/>
                                <w:bCs/>
                                <w:sz w:val="24"/>
                              </w:rPr>
                              <w:t>内容</w:t>
                            </w:r>
                          </w:p>
                        </w:txbxContent>
                      </wps:txbx>
                      <wps:bodyPr rot="0" vert="horz" wrap="square" lIns="91440" tIns="45720" rIns="91440" bIns="45720" anchor="t" anchorCtr="0" upright="1">
                        <a:noAutofit/>
                      </wps:bodyPr>
                    </wps:wsp>
                  </a:graphicData>
                </a:graphic>
              </wp:anchor>
            </w:drawing>
          </mc:Choice>
          <mc:Fallback>
            <w:pict>
              <v:shape id="文本框 85" o:spid="_x0000_s1026" o:spt="202" type="#_x0000_t202" style="position:absolute;left:0pt;margin-left:51.25pt;margin-top:46.85pt;height:26.65pt;width:42.85pt;z-index:251661312;mso-width-relative:page;mso-height-relative:page;" filled="f" stroked="f" coordsize="21600,21600" o:gfxdata="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bnZlldcAAAAK&#10;AQAADwAAAAAAAAABACAAAAAiAAAAZHJzL2Rvd25yZXYueG1sUEsBAhQAFAAAAAgAh07iQIizr8kd&#10;AgAAGwQAAA4AAAAAAAAAAQAgAAAAJgEAAGRycy9lMm9Eb2MueG1sUEsFBgAAAAAGAAYAWQEAALUF&#10;AAAAAA==&#10;">
                <v:fill on="f" focussize="0,0"/>
                <v:stroke on="f"/>
                <v:imagedata o:title=""/>
                <o:lock v:ext="edit" aspectratio="f"/>
                <v:textbox>
                  <w:txbxContent>
                    <w:p w14:paraId="76184FE5">
                      <w:pPr>
                        <w:rPr>
                          <w:rFonts w:hint="eastAsia" w:ascii="新宋体" w:hAnsi="新宋体" w:eastAsia="新宋体"/>
                          <w:b/>
                          <w:bCs/>
                          <w:sz w:val="24"/>
                        </w:rPr>
                      </w:pPr>
                      <w:r>
                        <w:rPr>
                          <w:rFonts w:ascii="新宋体" w:hAnsi="新宋体" w:eastAsia="新宋体"/>
                          <w:b/>
                          <w:bCs/>
                          <w:sz w:val="24"/>
                        </w:rPr>
                        <w:t>内容</w:t>
                      </w:r>
                    </w:p>
                  </w:txbxContent>
                </v:textbox>
              </v:shape>
            </w:pict>
          </mc:Fallback>
        </mc:AlternateContent>
      </w:r>
      <w:r>
        <w:rPr>
          <w:rFonts w:eastAsia="新宋体"/>
          <w:b/>
          <w:bCs/>
          <w:color w:val="000000" w:themeColor="text1"/>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-82550</wp:posOffset>
                </wp:positionH>
                <wp:positionV relativeFrom="paragraph">
                  <wp:posOffset>711835</wp:posOffset>
                </wp:positionV>
                <wp:extent cx="544195" cy="338455"/>
                <wp:effectExtent l="0" t="3175" r="0" b="1270"/>
                <wp:wrapNone/>
                <wp:docPr id="1457858468" name="文本框 86"/>
                <wp:cNvGraphicFramePr/>
                <a:graphic xmlns:a="http://schemas.openxmlformats.org/drawingml/2006/main">
                  <a:graphicData uri="http://schemas.microsoft.com/office/word/2010/wordprocessingShape">
                    <wps:wsp>
                      <wps:cNvSpPr txBox="1">
                        <a:spLocks noChangeArrowheads="1"/>
                      </wps:cNvSpPr>
                      <wps:spPr bwMode="auto">
                        <a:xfrm>
                          <a:off x="0" y="0"/>
                          <a:ext cx="544195" cy="338455"/>
                        </a:xfrm>
                        <a:prstGeom prst="rect">
                          <a:avLst/>
                        </a:prstGeom>
                        <a:noFill/>
                        <a:ln>
                          <a:noFill/>
                        </a:ln>
                      </wps:spPr>
                      <wps:txbx>
                        <w:txbxContent>
                          <w:p w14:paraId="1B7C824E">
                            <w:pPr>
                              <w:rPr>
                                <w:rFonts w:hint="eastAsia" w:ascii="新宋体" w:hAnsi="新宋体" w:eastAsia="新宋体"/>
                                <w:b/>
                                <w:bCs/>
                                <w:sz w:val="24"/>
                              </w:rPr>
                            </w:pPr>
                            <w:r>
                              <w:rPr>
                                <w:rFonts w:hint="eastAsia" w:ascii="新宋体" w:hAnsi="新宋体" w:eastAsia="新宋体"/>
                                <w:b/>
                                <w:bCs/>
                                <w:sz w:val="24"/>
                              </w:rPr>
                              <w:t>要素</w:t>
                            </w:r>
                          </w:p>
                        </w:txbxContent>
                      </wps:txbx>
                      <wps:bodyPr rot="0" vert="horz" wrap="square" lIns="91440" tIns="45720" rIns="91440" bIns="45720" anchor="t" anchorCtr="0" upright="1">
                        <a:noAutofit/>
                      </wps:bodyPr>
                    </wps:wsp>
                  </a:graphicData>
                </a:graphic>
              </wp:anchor>
            </w:drawing>
          </mc:Choice>
          <mc:Fallback>
            <w:pict>
              <v:shape id="文本框 86" o:spid="_x0000_s1026" o:spt="202" type="#_x0000_t202" style="position:absolute;left:0pt;margin-left:-6.5pt;margin-top:56.05pt;height:26.65pt;width:42.85pt;z-index:251662336;mso-width-relative:page;mso-height-relative:page;" filled="f" stroked="f" coordsize="21600,21600" o:gfxdata="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CTyzB1wAA&#10;AAoBAAAPAAAAAAAAAAEAIAAAACIAAABkcnMvZG93bnJldi54bWxQSwECFAAUAAAACACHTuJA8Vau&#10;pR8CAAAeBAAADgAAAAAAAAABACAAAAAmAQAAZHJzL2Uyb0RvYy54bWxQSwUGAAAAAAYABgBZAQAA&#10;twUAAAAA&#10;">
                <v:fill on="f" focussize="0,0"/>
                <v:stroke on="f"/>
                <v:imagedata o:title=""/>
                <o:lock v:ext="edit" aspectratio="f"/>
                <v:textbox>
                  <w:txbxContent>
                    <w:p w14:paraId="1B7C824E">
                      <w:pPr>
                        <w:rPr>
                          <w:rFonts w:hint="eastAsia" w:ascii="新宋体" w:hAnsi="新宋体" w:eastAsia="新宋体"/>
                          <w:b/>
                          <w:bCs/>
                          <w:sz w:val="24"/>
                        </w:rPr>
                      </w:pPr>
                      <w:r>
                        <w:rPr>
                          <w:rFonts w:hint="eastAsia" w:ascii="新宋体" w:hAnsi="新宋体" w:eastAsia="新宋体"/>
                          <w:b/>
                          <w:bCs/>
                          <w:sz w:val="24"/>
                        </w:rPr>
                        <w:t>要素</w:t>
                      </w:r>
                    </w:p>
                  </w:txbxContent>
                </v:textbox>
              </v:shape>
            </w:pict>
          </mc:Fallback>
        </mc:AlternateContent>
      </w:r>
      <w:r>
        <w:rPr>
          <w:rFonts w:ascii="Times New Roman" w:hAnsi="Times New Roman"/>
          <w:b/>
          <w:bCs/>
          <w:snapToGrid w:val="0"/>
          <w:color w:val="000000" w:themeColor="text1"/>
          <w:sz w:val="30"/>
          <w:szCs w:val="30"/>
          <w14:textFill>
            <w14:solidFill>
              <w14:schemeClr w14:val="tx1"/>
            </w14:solidFill>
          </w14:textFill>
        </w:rPr>
        <w:t>五、</w:t>
      </w:r>
      <w:bookmarkStart w:id="61" w:name="_Hlk54167917"/>
      <w:r>
        <w:rPr>
          <w:rFonts w:ascii="Times New Roman" w:hAnsi="Times New Roman"/>
          <w:b/>
          <w:bCs/>
          <w:snapToGrid w:val="0"/>
          <w:color w:val="000000" w:themeColor="text1"/>
          <w:sz w:val="30"/>
          <w:szCs w:val="30"/>
          <w14:textFill>
            <w14:solidFill>
              <w14:schemeClr w14:val="tx1"/>
            </w14:solidFill>
          </w14:textFill>
        </w:rPr>
        <w:t>环境保护措施监督检查清单</w:t>
      </w:r>
      <w:bookmarkEnd w:id="59"/>
      <w:bookmarkEnd w:id="60"/>
      <w:bookmarkEnd w:id="61"/>
    </w:p>
    <w:tbl>
      <w:tblPr>
        <w:tblStyle w:val="45"/>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878"/>
        <w:gridCol w:w="1745"/>
        <w:gridCol w:w="1159"/>
        <w:gridCol w:w="2590"/>
        <w:gridCol w:w="2482"/>
      </w:tblGrid>
      <w:tr w14:paraId="798D00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953" w:type="pct"/>
            <w:tcBorders>
              <w:top w:val="single" w:color="auto" w:sz="12" w:space="0"/>
              <w:bottom w:val="single" w:color="auto" w:sz="12" w:space="0"/>
              <w:right w:val="single" w:color="auto" w:sz="12" w:space="0"/>
              <w:tl2br w:val="single" w:color="auto" w:sz="12" w:space="0"/>
            </w:tcBorders>
            <w:vAlign w:val="center"/>
          </w:tcPr>
          <w:p w14:paraId="1A2633A1">
            <w:pPr>
              <w:adjustRightInd w:val="0"/>
              <w:snapToGrid w:val="0"/>
              <w:rPr>
                <w:rFonts w:eastAsia="新宋体"/>
                <w:b/>
                <w:bCs/>
                <w:color w:val="000000" w:themeColor="text1"/>
                <w:sz w:val="24"/>
                <w14:textFill>
                  <w14:solidFill>
                    <w14:schemeClr w14:val="tx1"/>
                  </w14:solidFill>
                </w14:textFill>
              </w:rPr>
            </w:pPr>
          </w:p>
        </w:tc>
        <w:tc>
          <w:tcPr>
            <w:tcW w:w="885" w:type="pct"/>
            <w:tcBorders>
              <w:top w:val="single" w:color="auto" w:sz="12" w:space="0"/>
              <w:left w:val="single" w:color="auto" w:sz="12" w:space="0"/>
              <w:bottom w:val="single" w:color="auto" w:sz="12" w:space="0"/>
              <w:right w:val="single" w:color="auto" w:sz="12" w:space="0"/>
            </w:tcBorders>
            <w:vAlign w:val="center"/>
          </w:tcPr>
          <w:p w14:paraId="46977304">
            <w:pPr>
              <w:adjustRightInd w:val="0"/>
              <w:snapToGrid w:val="0"/>
              <w:jc w:val="center"/>
              <w:rPr>
                <w:rFonts w:eastAsia="新宋体"/>
                <w:b/>
                <w:bCs/>
                <w:color w:val="000000" w:themeColor="text1"/>
                <w:sz w:val="24"/>
                <w14:textFill>
                  <w14:solidFill>
                    <w14:schemeClr w14:val="tx1"/>
                  </w14:solidFill>
                </w14:textFill>
              </w:rPr>
            </w:pPr>
            <w:r>
              <w:rPr>
                <w:rFonts w:eastAsia="新宋体"/>
                <w:b/>
                <w:bCs/>
                <w:color w:val="000000" w:themeColor="text1"/>
                <w:sz w:val="24"/>
                <w14:textFill>
                  <w14:solidFill>
                    <w14:schemeClr w14:val="tx1"/>
                  </w14:solidFill>
                </w14:textFill>
              </w:rPr>
              <w:t>排放口(编号、名称)/污染源</w:t>
            </w:r>
          </w:p>
        </w:tc>
        <w:tc>
          <w:tcPr>
            <w:tcW w:w="588" w:type="pct"/>
            <w:tcBorders>
              <w:top w:val="single" w:color="auto" w:sz="12" w:space="0"/>
              <w:left w:val="single" w:color="auto" w:sz="12" w:space="0"/>
              <w:bottom w:val="single" w:color="auto" w:sz="12" w:space="0"/>
              <w:right w:val="single" w:color="auto" w:sz="12" w:space="0"/>
            </w:tcBorders>
            <w:vAlign w:val="center"/>
          </w:tcPr>
          <w:p w14:paraId="3B243DE4">
            <w:pPr>
              <w:adjustRightInd w:val="0"/>
              <w:snapToGrid w:val="0"/>
              <w:jc w:val="center"/>
              <w:rPr>
                <w:rFonts w:eastAsia="新宋体"/>
                <w:b/>
                <w:bCs/>
                <w:color w:val="000000" w:themeColor="text1"/>
                <w:sz w:val="24"/>
                <w14:textFill>
                  <w14:solidFill>
                    <w14:schemeClr w14:val="tx1"/>
                  </w14:solidFill>
                </w14:textFill>
              </w:rPr>
            </w:pPr>
            <w:r>
              <w:rPr>
                <w:rFonts w:eastAsia="新宋体"/>
                <w:b/>
                <w:bCs/>
                <w:color w:val="000000" w:themeColor="text1"/>
                <w:sz w:val="24"/>
                <w14:textFill>
                  <w14:solidFill>
                    <w14:schemeClr w14:val="tx1"/>
                  </w14:solidFill>
                </w14:textFill>
              </w:rPr>
              <w:t>污染物项目</w:t>
            </w:r>
          </w:p>
        </w:tc>
        <w:tc>
          <w:tcPr>
            <w:tcW w:w="1314" w:type="pct"/>
            <w:tcBorders>
              <w:top w:val="single" w:color="auto" w:sz="12" w:space="0"/>
              <w:left w:val="single" w:color="auto" w:sz="12" w:space="0"/>
              <w:bottom w:val="single" w:color="auto" w:sz="12" w:space="0"/>
              <w:right w:val="single" w:color="auto" w:sz="12" w:space="0"/>
            </w:tcBorders>
            <w:vAlign w:val="center"/>
          </w:tcPr>
          <w:p w14:paraId="78671AB5">
            <w:pPr>
              <w:adjustRightInd w:val="0"/>
              <w:snapToGrid w:val="0"/>
              <w:jc w:val="center"/>
              <w:rPr>
                <w:rFonts w:eastAsia="新宋体"/>
                <w:b/>
                <w:bCs/>
                <w:color w:val="000000" w:themeColor="text1"/>
                <w:sz w:val="24"/>
                <w14:textFill>
                  <w14:solidFill>
                    <w14:schemeClr w14:val="tx1"/>
                  </w14:solidFill>
                </w14:textFill>
              </w:rPr>
            </w:pPr>
            <w:r>
              <w:rPr>
                <w:rFonts w:eastAsia="新宋体"/>
                <w:b/>
                <w:bCs/>
                <w:color w:val="000000" w:themeColor="text1"/>
                <w:sz w:val="24"/>
                <w14:textFill>
                  <w14:solidFill>
                    <w14:schemeClr w14:val="tx1"/>
                  </w14:solidFill>
                </w14:textFill>
              </w:rPr>
              <w:t>环境保护措施</w:t>
            </w:r>
          </w:p>
        </w:tc>
        <w:tc>
          <w:tcPr>
            <w:tcW w:w="1257" w:type="pct"/>
            <w:tcBorders>
              <w:top w:val="single" w:color="auto" w:sz="12" w:space="0"/>
              <w:left w:val="single" w:color="auto" w:sz="12" w:space="0"/>
              <w:bottom w:val="single" w:color="auto" w:sz="12" w:space="0"/>
              <w:right w:val="single" w:color="auto" w:sz="12" w:space="0"/>
            </w:tcBorders>
            <w:vAlign w:val="center"/>
          </w:tcPr>
          <w:p w14:paraId="26788B84">
            <w:pPr>
              <w:adjustRightInd w:val="0"/>
              <w:snapToGrid w:val="0"/>
              <w:jc w:val="center"/>
              <w:rPr>
                <w:rFonts w:eastAsia="新宋体"/>
                <w:b/>
                <w:bCs/>
                <w:color w:val="000000" w:themeColor="text1"/>
                <w:sz w:val="24"/>
                <w14:textFill>
                  <w14:solidFill>
                    <w14:schemeClr w14:val="tx1"/>
                  </w14:solidFill>
                </w14:textFill>
              </w:rPr>
            </w:pPr>
            <w:r>
              <w:rPr>
                <w:rFonts w:eastAsia="新宋体"/>
                <w:b/>
                <w:bCs/>
                <w:color w:val="000000" w:themeColor="text1"/>
                <w:sz w:val="24"/>
                <w14:textFill>
                  <w14:solidFill>
                    <w14:schemeClr w14:val="tx1"/>
                  </w14:solidFill>
                </w14:textFill>
              </w:rPr>
              <w:t>执行标准</w:t>
            </w:r>
          </w:p>
        </w:tc>
      </w:tr>
      <w:tr w14:paraId="5BB69D4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84" w:hRule="atLeast"/>
          <w:jc w:val="center"/>
        </w:trPr>
        <w:tc>
          <w:tcPr>
            <w:tcW w:w="953" w:type="pct"/>
            <w:vMerge w:val="restart"/>
            <w:tcBorders>
              <w:top w:val="single" w:color="auto" w:sz="12" w:space="0"/>
              <w:right w:val="single" w:color="auto" w:sz="12" w:space="0"/>
            </w:tcBorders>
            <w:vAlign w:val="center"/>
          </w:tcPr>
          <w:p w14:paraId="31675483">
            <w:pPr>
              <w:adjustRightInd w:val="0"/>
              <w:snapToGrid w:val="0"/>
              <w:jc w:val="center"/>
              <w:rPr>
                <w:rFonts w:eastAsia="新宋体"/>
                <w:b/>
                <w:bCs/>
                <w:color w:val="000000" w:themeColor="text1"/>
                <w:sz w:val="24"/>
                <w14:textFill>
                  <w14:solidFill>
                    <w14:schemeClr w14:val="tx1"/>
                  </w14:solidFill>
                </w14:textFill>
              </w:rPr>
            </w:pPr>
            <w:r>
              <w:rPr>
                <w:rFonts w:eastAsia="新宋体"/>
                <w:b/>
                <w:bCs/>
                <w:color w:val="000000" w:themeColor="text1"/>
                <w:sz w:val="24"/>
                <w14:textFill>
                  <w14:solidFill>
                    <w14:schemeClr w14:val="tx1"/>
                  </w14:solidFill>
                </w14:textFill>
              </w:rPr>
              <w:t>大气环境</w:t>
            </w:r>
          </w:p>
        </w:tc>
        <w:tc>
          <w:tcPr>
            <w:tcW w:w="885" w:type="pct"/>
            <w:tcBorders>
              <w:top w:val="single" w:color="auto" w:sz="4" w:space="0"/>
              <w:left w:val="single" w:color="auto" w:sz="12" w:space="0"/>
              <w:right w:val="single" w:color="auto" w:sz="12" w:space="0"/>
            </w:tcBorders>
            <w:vAlign w:val="center"/>
          </w:tcPr>
          <w:p w14:paraId="6421F5D6">
            <w:pPr>
              <w:adjustRightInd w:val="0"/>
              <w:snapToGrid w:val="0"/>
              <w:jc w:val="center"/>
              <w:rPr>
                <w:rFonts w:eastAsia="新宋体"/>
                <w:color w:val="000000" w:themeColor="text1"/>
                <w:kern w:val="0"/>
                <w:szCs w:val="21"/>
                <w14:textFill>
                  <w14:solidFill>
                    <w14:schemeClr w14:val="tx1"/>
                  </w14:solidFill>
                </w14:textFill>
              </w:rPr>
            </w:pPr>
            <w:r>
              <w:rPr>
                <w:rFonts w:hint="eastAsia" w:eastAsia="新宋体"/>
                <w:color w:val="000000" w:themeColor="text1"/>
                <w:kern w:val="0"/>
                <w:szCs w:val="21"/>
                <w14:textFill>
                  <w14:solidFill>
                    <w14:schemeClr w14:val="tx1"/>
                  </w14:solidFill>
                </w14:textFill>
              </w:rPr>
              <w:t>破碎、筛分粉尘、投料粉尘、堆场扬尘、车辆运输动力起尘、传送带输送粉尘、筒仓呼吸粉尘、搅拌粉尘</w:t>
            </w:r>
          </w:p>
        </w:tc>
        <w:tc>
          <w:tcPr>
            <w:tcW w:w="588" w:type="pct"/>
            <w:tcBorders>
              <w:top w:val="single" w:color="auto" w:sz="4" w:space="0"/>
              <w:left w:val="single" w:color="auto" w:sz="12" w:space="0"/>
              <w:right w:val="single" w:color="auto" w:sz="12" w:space="0"/>
            </w:tcBorders>
            <w:vAlign w:val="center"/>
          </w:tcPr>
          <w:p w14:paraId="05E10131">
            <w:pPr>
              <w:adjustRightInd w:val="0"/>
              <w:snapToGrid w:val="0"/>
              <w:jc w:val="center"/>
              <w:rPr>
                <w:rFonts w:eastAsia="新宋体"/>
                <w:color w:val="000000" w:themeColor="text1"/>
                <w:kern w:val="0"/>
                <w:szCs w:val="21"/>
                <w14:textFill>
                  <w14:solidFill>
                    <w14:schemeClr w14:val="tx1"/>
                  </w14:solidFill>
                </w14:textFill>
              </w:rPr>
            </w:pPr>
            <w:r>
              <w:rPr>
                <w:rFonts w:hint="eastAsia" w:eastAsia="新宋体"/>
                <w:color w:val="000000" w:themeColor="text1"/>
                <w:kern w:val="0"/>
                <w:szCs w:val="21"/>
                <w14:textFill>
                  <w14:solidFill>
                    <w14:schemeClr w14:val="tx1"/>
                  </w14:solidFill>
                </w14:textFill>
              </w:rPr>
              <w:t>颗粒物</w:t>
            </w:r>
          </w:p>
        </w:tc>
        <w:tc>
          <w:tcPr>
            <w:tcW w:w="1314" w:type="pct"/>
            <w:tcBorders>
              <w:top w:val="single" w:color="auto" w:sz="4" w:space="0"/>
              <w:left w:val="single" w:color="auto" w:sz="12" w:space="0"/>
              <w:right w:val="single" w:color="auto" w:sz="12" w:space="0"/>
            </w:tcBorders>
            <w:vAlign w:val="center"/>
          </w:tcPr>
          <w:p w14:paraId="23F75E3D">
            <w:pPr>
              <w:adjustRightInd w:val="0"/>
              <w:snapToGrid w:val="0"/>
              <w:jc w:val="center"/>
              <w:rPr>
                <w:rFonts w:eastAsia="新宋体"/>
                <w:color w:val="000000" w:themeColor="text1"/>
                <w:kern w:val="0"/>
                <w:szCs w:val="21"/>
                <w14:textFill>
                  <w14:solidFill>
                    <w14:schemeClr w14:val="tx1"/>
                  </w14:solidFill>
                </w14:textFill>
              </w:rPr>
            </w:pPr>
            <w:r>
              <w:rPr>
                <w:rFonts w:hint="eastAsia" w:eastAsia="新宋体"/>
                <w:color w:val="000000" w:themeColor="text1"/>
                <w:kern w:val="0"/>
                <w:szCs w:val="21"/>
                <w14:textFill>
                  <w14:solidFill>
                    <w14:schemeClr w14:val="tx1"/>
                  </w14:solidFill>
                </w14:textFill>
              </w:rPr>
              <w:t>1、破碎、筛分粉尘、</w:t>
            </w:r>
            <w:r>
              <w:rPr>
                <w:rFonts w:hint="eastAsia" w:eastAsia="新宋体"/>
                <w:bCs/>
                <w:color w:val="000000" w:themeColor="text1"/>
                <w:kern w:val="0"/>
                <w:szCs w:val="21"/>
                <w14:textFill>
                  <w14:solidFill>
                    <w14:schemeClr w14:val="tx1"/>
                  </w14:solidFill>
                </w14:textFill>
              </w:rPr>
              <w:t>投料粉尘、</w:t>
            </w:r>
            <w:r>
              <w:rPr>
                <w:rFonts w:hint="eastAsia" w:eastAsia="新宋体"/>
                <w:color w:val="000000" w:themeColor="text1"/>
                <w:kern w:val="0"/>
                <w:szCs w:val="21"/>
                <w14:textFill>
                  <w14:solidFill>
                    <w14:schemeClr w14:val="tx1"/>
                  </w14:solidFill>
                </w14:textFill>
              </w:rPr>
              <w:t>搅拌粉尘、堆场扬尘经洒水抑尘处理后无组织排放；</w:t>
            </w:r>
          </w:p>
          <w:p w14:paraId="63E70ECB">
            <w:pPr>
              <w:adjustRightInd w:val="0"/>
              <w:snapToGrid w:val="0"/>
              <w:jc w:val="center"/>
              <w:rPr>
                <w:rFonts w:eastAsia="新宋体"/>
                <w:color w:val="000000" w:themeColor="text1"/>
                <w:kern w:val="0"/>
                <w:szCs w:val="21"/>
                <w14:textFill>
                  <w14:solidFill>
                    <w14:schemeClr w14:val="tx1"/>
                  </w14:solidFill>
                </w14:textFill>
              </w:rPr>
            </w:pPr>
            <w:r>
              <w:rPr>
                <w:rFonts w:hint="eastAsia" w:eastAsia="新宋体"/>
                <w:color w:val="000000" w:themeColor="text1"/>
                <w:kern w:val="0"/>
                <w:szCs w:val="21"/>
                <w14:textFill>
                  <w14:solidFill>
                    <w14:schemeClr w14:val="tx1"/>
                  </w14:solidFill>
                </w14:textFill>
              </w:rPr>
              <w:t>2、车辆运输动力起尘经洒水抑尘处理后无组织排排；</w:t>
            </w:r>
          </w:p>
          <w:p w14:paraId="322F6A46">
            <w:pPr>
              <w:adjustRightInd w:val="0"/>
              <w:snapToGrid w:val="0"/>
              <w:jc w:val="center"/>
              <w:rPr>
                <w:rFonts w:eastAsia="新宋体"/>
                <w:color w:val="000000" w:themeColor="text1"/>
                <w:kern w:val="0"/>
                <w:szCs w:val="21"/>
                <w14:textFill>
                  <w14:solidFill>
                    <w14:schemeClr w14:val="tx1"/>
                  </w14:solidFill>
                </w14:textFill>
              </w:rPr>
            </w:pPr>
            <w:r>
              <w:rPr>
                <w:rFonts w:hint="eastAsia" w:eastAsia="新宋体"/>
                <w:color w:val="000000" w:themeColor="text1"/>
                <w:kern w:val="0"/>
                <w:szCs w:val="21"/>
                <w14:textFill>
                  <w14:solidFill>
                    <w14:schemeClr w14:val="tx1"/>
                  </w14:solidFill>
                </w14:textFill>
              </w:rPr>
              <w:t>3、传送带输送粉尘经密闭传送处理后无组织排放；</w:t>
            </w:r>
          </w:p>
          <w:p w14:paraId="600CC1D1">
            <w:pPr>
              <w:adjustRightInd w:val="0"/>
              <w:snapToGrid w:val="0"/>
              <w:jc w:val="center"/>
              <w:rPr>
                <w:rFonts w:eastAsia="新宋体"/>
                <w:color w:val="000000" w:themeColor="text1"/>
                <w:kern w:val="0"/>
                <w:szCs w:val="21"/>
                <w14:textFill>
                  <w14:solidFill>
                    <w14:schemeClr w14:val="tx1"/>
                  </w14:solidFill>
                </w14:textFill>
              </w:rPr>
            </w:pPr>
            <w:r>
              <w:rPr>
                <w:rFonts w:hint="eastAsia" w:eastAsia="新宋体"/>
                <w:color w:val="000000" w:themeColor="text1"/>
                <w:kern w:val="0"/>
                <w:szCs w:val="21"/>
                <w14:textFill>
                  <w14:solidFill>
                    <w14:schemeClr w14:val="tx1"/>
                  </w14:solidFill>
                </w14:textFill>
              </w:rPr>
              <w:t>4、筒仓呼吸粉尘通过脉冲布袋除尘器去除后无组织排放</w:t>
            </w:r>
          </w:p>
        </w:tc>
        <w:tc>
          <w:tcPr>
            <w:tcW w:w="1257" w:type="pct"/>
            <w:tcBorders>
              <w:top w:val="single" w:color="auto" w:sz="4" w:space="0"/>
              <w:left w:val="single" w:color="auto" w:sz="12" w:space="0"/>
              <w:right w:val="single" w:color="auto" w:sz="12" w:space="0"/>
            </w:tcBorders>
            <w:vAlign w:val="center"/>
          </w:tcPr>
          <w:p w14:paraId="64744637">
            <w:pPr>
              <w:adjustRightInd w:val="0"/>
              <w:snapToGrid w:val="0"/>
              <w:jc w:val="center"/>
              <w:rPr>
                <w:rFonts w:eastAsia="新宋体"/>
                <w:color w:val="000000" w:themeColor="text1"/>
                <w:kern w:val="0"/>
                <w:szCs w:val="21"/>
                <w14:textFill>
                  <w14:solidFill>
                    <w14:schemeClr w14:val="tx1"/>
                  </w14:solidFill>
                </w14:textFill>
              </w:rPr>
            </w:pPr>
            <w:r>
              <w:rPr>
                <w:rFonts w:hint="eastAsia" w:eastAsia="新宋体"/>
                <w:color w:val="000000" w:themeColor="text1"/>
                <w:kern w:val="0"/>
                <w:szCs w:val="21"/>
                <w14:textFill>
                  <w14:solidFill>
                    <w14:schemeClr w14:val="tx1"/>
                  </w14:solidFill>
                </w14:textFill>
              </w:rPr>
              <w:t>执行《水泥工业大气污染物排放标准》(GB4915-2013)中表3无组织排放限值。</w:t>
            </w:r>
          </w:p>
        </w:tc>
      </w:tr>
      <w:tr w14:paraId="47D9AA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953" w:type="pct"/>
            <w:vMerge w:val="continue"/>
            <w:tcBorders>
              <w:right w:val="single" w:color="auto" w:sz="12" w:space="0"/>
            </w:tcBorders>
            <w:vAlign w:val="center"/>
          </w:tcPr>
          <w:p w14:paraId="07BC527C">
            <w:pPr>
              <w:adjustRightInd w:val="0"/>
              <w:snapToGrid w:val="0"/>
              <w:jc w:val="center"/>
              <w:rPr>
                <w:rFonts w:eastAsia="新宋体"/>
                <w:b/>
                <w:bCs/>
                <w:color w:val="000000" w:themeColor="text1"/>
                <w:sz w:val="24"/>
                <w14:textFill>
                  <w14:solidFill>
                    <w14:schemeClr w14:val="tx1"/>
                  </w14:solidFill>
                </w14:textFill>
              </w:rPr>
            </w:pPr>
          </w:p>
        </w:tc>
        <w:tc>
          <w:tcPr>
            <w:tcW w:w="885" w:type="pct"/>
            <w:tcBorders>
              <w:top w:val="single" w:color="auto" w:sz="4" w:space="0"/>
              <w:left w:val="single" w:color="auto" w:sz="12" w:space="0"/>
              <w:right w:val="single" w:color="auto" w:sz="12" w:space="0"/>
            </w:tcBorders>
            <w:vAlign w:val="center"/>
          </w:tcPr>
          <w:p w14:paraId="5EB52088">
            <w:pPr>
              <w:adjustRightInd w:val="0"/>
              <w:snapToGrid w:val="0"/>
              <w:jc w:val="center"/>
              <w:rPr>
                <w:rFonts w:eastAsia="新宋体"/>
                <w:color w:val="000000" w:themeColor="text1"/>
                <w:kern w:val="0"/>
                <w:szCs w:val="21"/>
                <w14:textFill>
                  <w14:solidFill>
                    <w14:schemeClr w14:val="tx1"/>
                  </w14:solidFill>
                </w14:textFill>
              </w:rPr>
            </w:pPr>
            <w:r>
              <w:rPr>
                <w:rFonts w:hint="eastAsia" w:eastAsia="新宋体"/>
                <w:color w:val="000000" w:themeColor="text1"/>
                <w:kern w:val="0"/>
                <w:szCs w:val="21"/>
                <w14:textFill>
                  <w14:solidFill>
                    <w14:schemeClr w14:val="tx1"/>
                  </w14:solidFill>
                </w14:textFill>
              </w:rPr>
              <w:t>食堂油烟</w:t>
            </w:r>
          </w:p>
        </w:tc>
        <w:tc>
          <w:tcPr>
            <w:tcW w:w="588" w:type="pct"/>
            <w:tcBorders>
              <w:top w:val="single" w:color="auto" w:sz="4" w:space="0"/>
              <w:left w:val="single" w:color="auto" w:sz="12" w:space="0"/>
              <w:right w:val="single" w:color="auto" w:sz="12" w:space="0"/>
            </w:tcBorders>
            <w:vAlign w:val="center"/>
          </w:tcPr>
          <w:p w14:paraId="65ADF82A">
            <w:pPr>
              <w:adjustRightInd w:val="0"/>
              <w:snapToGrid w:val="0"/>
              <w:jc w:val="center"/>
              <w:rPr>
                <w:rFonts w:eastAsia="新宋体"/>
                <w:color w:val="000000" w:themeColor="text1"/>
                <w:kern w:val="0"/>
                <w:szCs w:val="21"/>
                <w14:textFill>
                  <w14:solidFill>
                    <w14:schemeClr w14:val="tx1"/>
                  </w14:solidFill>
                </w14:textFill>
              </w:rPr>
            </w:pPr>
            <w:r>
              <w:rPr>
                <w:rFonts w:hint="eastAsia" w:eastAsia="新宋体"/>
                <w:color w:val="000000" w:themeColor="text1"/>
                <w:kern w:val="0"/>
                <w:szCs w:val="21"/>
                <w14:textFill>
                  <w14:solidFill>
                    <w14:schemeClr w14:val="tx1"/>
                  </w14:solidFill>
                </w14:textFill>
              </w:rPr>
              <w:t>油烟</w:t>
            </w:r>
          </w:p>
        </w:tc>
        <w:tc>
          <w:tcPr>
            <w:tcW w:w="1314" w:type="pct"/>
            <w:tcBorders>
              <w:top w:val="single" w:color="auto" w:sz="4" w:space="0"/>
              <w:left w:val="single" w:color="auto" w:sz="12" w:space="0"/>
              <w:right w:val="single" w:color="auto" w:sz="12" w:space="0"/>
            </w:tcBorders>
            <w:vAlign w:val="center"/>
          </w:tcPr>
          <w:p w14:paraId="5E165FA3">
            <w:pPr>
              <w:adjustRightInd w:val="0"/>
              <w:snapToGrid w:val="0"/>
              <w:jc w:val="center"/>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油烟净化器</w:t>
            </w:r>
          </w:p>
        </w:tc>
        <w:tc>
          <w:tcPr>
            <w:tcW w:w="1257" w:type="pct"/>
            <w:tcBorders>
              <w:top w:val="single" w:color="auto" w:sz="4" w:space="0"/>
              <w:left w:val="single" w:color="auto" w:sz="12" w:space="0"/>
              <w:right w:val="single" w:color="auto" w:sz="12" w:space="0"/>
            </w:tcBorders>
            <w:vAlign w:val="center"/>
          </w:tcPr>
          <w:p w14:paraId="1B5FDE23">
            <w:pPr>
              <w:adjustRightInd w:val="0"/>
              <w:snapToGrid w:val="0"/>
              <w:jc w:val="center"/>
              <w:rPr>
                <w:rFonts w:eastAsia="新宋体"/>
                <w:color w:val="000000" w:themeColor="text1"/>
                <w:kern w:val="0"/>
                <w:szCs w:val="21"/>
                <w14:textFill>
                  <w14:solidFill>
                    <w14:schemeClr w14:val="tx1"/>
                  </w14:solidFill>
                </w14:textFill>
              </w:rPr>
            </w:pPr>
            <w:r>
              <w:rPr>
                <w:rFonts w:hint="eastAsia" w:eastAsia="新宋体"/>
                <w:color w:val="000000" w:themeColor="text1"/>
                <w:kern w:val="0"/>
                <w:szCs w:val="21"/>
                <w14:textFill>
                  <w14:solidFill>
                    <w14:schemeClr w14:val="tx1"/>
                  </w14:solidFill>
                </w14:textFill>
              </w:rPr>
              <w:t>执行《饮食业油烟排放标准（试行）》（GB18483-2001）中小型灶头标准</w:t>
            </w:r>
          </w:p>
        </w:tc>
      </w:tr>
      <w:tr w14:paraId="018F19F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953" w:type="pct"/>
            <w:vMerge w:val="restart"/>
            <w:tcBorders>
              <w:top w:val="single" w:color="auto" w:sz="12" w:space="0"/>
              <w:right w:val="single" w:color="auto" w:sz="12" w:space="0"/>
            </w:tcBorders>
            <w:vAlign w:val="center"/>
          </w:tcPr>
          <w:p w14:paraId="045F6291">
            <w:pPr>
              <w:adjustRightInd w:val="0"/>
              <w:snapToGrid w:val="0"/>
              <w:jc w:val="center"/>
              <w:rPr>
                <w:rFonts w:eastAsia="新宋体"/>
                <w:b/>
                <w:bCs/>
                <w:color w:val="000000" w:themeColor="text1"/>
                <w:sz w:val="24"/>
                <w14:textFill>
                  <w14:solidFill>
                    <w14:schemeClr w14:val="tx1"/>
                  </w14:solidFill>
                </w14:textFill>
              </w:rPr>
            </w:pPr>
            <w:r>
              <w:rPr>
                <w:rFonts w:eastAsia="新宋体"/>
                <w:b/>
                <w:bCs/>
                <w:color w:val="000000" w:themeColor="text1"/>
                <w:sz w:val="24"/>
                <w14:textFill>
                  <w14:solidFill>
                    <w14:schemeClr w14:val="tx1"/>
                  </w14:solidFill>
                </w14:textFill>
              </w:rPr>
              <w:t>地表水环境</w:t>
            </w:r>
          </w:p>
        </w:tc>
        <w:tc>
          <w:tcPr>
            <w:tcW w:w="885" w:type="pct"/>
            <w:tcBorders>
              <w:top w:val="single" w:color="auto" w:sz="12" w:space="0"/>
              <w:left w:val="single" w:color="auto" w:sz="12" w:space="0"/>
              <w:bottom w:val="single" w:color="auto" w:sz="12" w:space="0"/>
              <w:right w:val="single" w:color="auto" w:sz="12" w:space="0"/>
            </w:tcBorders>
            <w:vAlign w:val="center"/>
          </w:tcPr>
          <w:p w14:paraId="5A551437">
            <w:pPr>
              <w:adjustRightInd w:val="0"/>
              <w:snapToGrid w:val="0"/>
              <w:jc w:val="center"/>
              <w:rPr>
                <w:rFonts w:eastAsia="新宋体"/>
                <w:color w:val="000000" w:themeColor="text1"/>
                <w:szCs w:val="21"/>
                <w14:textFill>
                  <w14:solidFill>
                    <w14:schemeClr w14:val="tx1"/>
                  </w14:solidFill>
                </w14:textFill>
              </w:rPr>
            </w:pPr>
            <w:r>
              <w:rPr>
                <w:rFonts w:eastAsia="新宋体"/>
                <w:color w:val="000000" w:themeColor="text1"/>
                <w:szCs w:val="21"/>
                <w14:textFill>
                  <w14:solidFill>
                    <w14:schemeClr w14:val="tx1"/>
                  </w14:solidFill>
                </w14:textFill>
              </w:rPr>
              <w:t>生活废水</w:t>
            </w:r>
          </w:p>
        </w:tc>
        <w:tc>
          <w:tcPr>
            <w:tcW w:w="588" w:type="pct"/>
            <w:tcBorders>
              <w:top w:val="single" w:color="auto" w:sz="12" w:space="0"/>
              <w:left w:val="single" w:color="auto" w:sz="12" w:space="0"/>
              <w:bottom w:val="single" w:color="auto" w:sz="12" w:space="0"/>
              <w:right w:val="single" w:color="auto" w:sz="12" w:space="0"/>
            </w:tcBorders>
            <w:vAlign w:val="center"/>
          </w:tcPr>
          <w:p w14:paraId="0CF55D06">
            <w:pPr>
              <w:adjustRightInd w:val="0"/>
              <w:snapToGrid w:val="0"/>
              <w:jc w:val="center"/>
              <w:rPr>
                <w:rFonts w:eastAsia="新宋体"/>
                <w:color w:val="000000" w:themeColor="text1"/>
                <w:szCs w:val="21"/>
                <w14:textFill>
                  <w14:solidFill>
                    <w14:schemeClr w14:val="tx1"/>
                  </w14:solidFill>
                </w14:textFill>
              </w:rPr>
            </w:pPr>
            <w:r>
              <w:rPr>
                <w:rFonts w:eastAsia="新宋体"/>
                <w:color w:val="000000" w:themeColor="text1"/>
                <w:szCs w:val="21"/>
                <w14:textFill>
                  <w14:solidFill>
                    <w14:schemeClr w14:val="tx1"/>
                  </w14:solidFill>
                </w14:textFill>
              </w:rPr>
              <w:t>pH、CODcr、BOD</w:t>
            </w:r>
            <w:r>
              <w:rPr>
                <w:rFonts w:eastAsia="新宋体"/>
                <w:color w:val="000000" w:themeColor="text1"/>
                <w:szCs w:val="21"/>
                <w:vertAlign w:val="subscript"/>
                <w14:textFill>
                  <w14:solidFill>
                    <w14:schemeClr w14:val="tx1"/>
                  </w14:solidFill>
                </w14:textFill>
              </w:rPr>
              <w:t>5</w:t>
            </w:r>
            <w:r>
              <w:rPr>
                <w:rFonts w:eastAsia="新宋体"/>
                <w:color w:val="000000" w:themeColor="text1"/>
                <w:szCs w:val="21"/>
                <w14:textFill>
                  <w14:solidFill>
                    <w14:schemeClr w14:val="tx1"/>
                  </w14:solidFill>
                </w14:textFill>
              </w:rPr>
              <w:t>、SS、氨氮</w:t>
            </w:r>
            <w:r>
              <w:rPr>
                <w:rFonts w:hint="eastAsia" w:eastAsia="新宋体"/>
                <w:color w:val="000000" w:themeColor="text1"/>
                <w:szCs w:val="21"/>
                <w14:textFill>
                  <w14:solidFill>
                    <w14:schemeClr w14:val="tx1"/>
                  </w14:solidFill>
                </w14:textFill>
              </w:rPr>
              <w:t>、T</w:t>
            </w:r>
            <w:r>
              <w:rPr>
                <w:rFonts w:eastAsia="新宋体"/>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、TN、动植物油</w:t>
            </w:r>
          </w:p>
        </w:tc>
        <w:tc>
          <w:tcPr>
            <w:tcW w:w="1314" w:type="pct"/>
            <w:tcBorders>
              <w:top w:val="single" w:color="auto" w:sz="12" w:space="0"/>
              <w:left w:val="single" w:color="auto" w:sz="12" w:space="0"/>
              <w:bottom w:val="single" w:color="auto" w:sz="12" w:space="0"/>
              <w:right w:val="single" w:color="auto" w:sz="12" w:space="0"/>
            </w:tcBorders>
            <w:vAlign w:val="center"/>
          </w:tcPr>
          <w:p w14:paraId="3BFE56E4">
            <w:pPr>
              <w:adjustRightInd w:val="0"/>
              <w:snapToGrid w:val="0"/>
              <w:jc w:val="center"/>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隔油池+化粪池</w:t>
            </w:r>
          </w:p>
        </w:tc>
        <w:tc>
          <w:tcPr>
            <w:tcW w:w="1257" w:type="pct"/>
            <w:tcBorders>
              <w:top w:val="single" w:color="auto" w:sz="12" w:space="0"/>
              <w:left w:val="single" w:color="auto" w:sz="12" w:space="0"/>
              <w:bottom w:val="single" w:color="auto" w:sz="12" w:space="0"/>
              <w:right w:val="single" w:color="auto" w:sz="12" w:space="0"/>
            </w:tcBorders>
            <w:vAlign w:val="center"/>
          </w:tcPr>
          <w:p w14:paraId="27584D02">
            <w:pPr>
              <w:adjustRightInd w:val="0"/>
              <w:snapToGrid w:val="0"/>
              <w:jc w:val="center"/>
              <w:rPr>
                <w:rFonts w:eastAsia="新宋体"/>
                <w:color w:val="000000" w:themeColor="text1"/>
                <w:kern w:val="0"/>
                <w:szCs w:val="21"/>
                <w14:textFill>
                  <w14:solidFill>
                    <w14:schemeClr w14:val="tx1"/>
                  </w14:solidFill>
                </w14:textFill>
              </w:rPr>
            </w:pPr>
            <w:r>
              <w:rPr>
                <w:rFonts w:eastAsia="新宋体"/>
                <w:bCs/>
                <w:color w:val="000000" w:themeColor="text1"/>
                <w:kern w:val="0"/>
                <w:szCs w:val="21"/>
                <w14:textFill>
                  <w14:solidFill>
                    <w14:schemeClr w14:val="tx1"/>
                  </w14:solidFill>
                </w14:textFill>
              </w:rPr>
              <w:t>近期</w:t>
            </w:r>
            <w:r>
              <w:rPr>
                <w:rFonts w:hint="eastAsia" w:eastAsia="新宋体"/>
                <w:bCs/>
                <w:color w:val="000000" w:themeColor="text1"/>
                <w:kern w:val="0"/>
                <w:szCs w:val="21"/>
                <w14:textFill>
                  <w14:solidFill>
                    <w14:schemeClr w14:val="tx1"/>
                  </w14:solidFill>
                </w14:textFill>
              </w:rPr>
              <w:t>执行</w:t>
            </w:r>
            <w:r>
              <w:rPr>
                <w:rFonts w:eastAsia="新宋体"/>
                <w:bCs/>
                <w:color w:val="000000" w:themeColor="text1"/>
                <w:kern w:val="0"/>
                <w:szCs w:val="21"/>
                <w14:textFill>
                  <w14:solidFill>
                    <w14:schemeClr w14:val="tx1"/>
                  </w14:solidFill>
                </w14:textFill>
              </w:rPr>
              <w:t>《污水综合排放标准》（GB8978-1996）表4中三级标准</w:t>
            </w:r>
            <w:r>
              <w:rPr>
                <w:rFonts w:hint="eastAsia" w:eastAsia="新宋体"/>
                <w:bCs/>
                <w:color w:val="000000" w:themeColor="text1"/>
                <w:kern w:val="0"/>
                <w:szCs w:val="21"/>
                <w14:textFill>
                  <w14:solidFill>
                    <w14:schemeClr w14:val="tx1"/>
                  </w14:solidFill>
                </w14:textFill>
              </w:rPr>
              <w:t>后</w:t>
            </w:r>
            <w:r>
              <w:rPr>
                <w:rFonts w:eastAsia="新宋体"/>
                <w:bCs/>
                <w:color w:val="000000" w:themeColor="text1"/>
                <w:kern w:val="0"/>
                <w:szCs w:val="21"/>
                <w14:textFill>
                  <w14:solidFill>
                    <w14:schemeClr w14:val="tx1"/>
                  </w14:solidFill>
                </w14:textFill>
              </w:rPr>
              <w:t>通过管网进入乐平市金山</w:t>
            </w:r>
            <w:r>
              <w:rPr>
                <w:rFonts w:hint="eastAsia" w:eastAsia="新宋体"/>
                <w:bCs/>
                <w:color w:val="000000" w:themeColor="text1"/>
                <w:kern w:val="0"/>
                <w:szCs w:val="21"/>
                <w14:textFill>
                  <w14:solidFill>
                    <w14:schemeClr w14:val="tx1"/>
                  </w14:solidFill>
                </w14:textFill>
              </w:rPr>
              <w:t>工业园</w:t>
            </w:r>
            <w:r>
              <w:rPr>
                <w:rFonts w:eastAsia="新宋体"/>
                <w:bCs/>
                <w:color w:val="000000" w:themeColor="text1"/>
                <w:kern w:val="0"/>
                <w:szCs w:val="21"/>
                <w14:textFill>
                  <w14:solidFill>
                    <w14:schemeClr w14:val="tx1"/>
                  </w14:solidFill>
                </w14:textFill>
              </w:rPr>
              <w:t>区一期一体化污水处理站进一步处理达到《城镇污水处理厂污染物排放标准》（GB18918-2002）中一级A标准后，尾水</w:t>
            </w:r>
            <w:r>
              <w:rPr>
                <w:rFonts w:hint="eastAsia" w:eastAsia="新宋体"/>
                <w:bCs/>
                <w:color w:val="000000" w:themeColor="text1"/>
                <w:kern w:val="0"/>
                <w:szCs w:val="21"/>
                <w14:textFill>
                  <w14:solidFill>
                    <w14:schemeClr w14:val="tx1"/>
                  </w14:solidFill>
                </w14:textFill>
              </w:rPr>
              <w:t>排</w:t>
            </w:r>
            <w:r>
              <w:rPr>
                <w:rFonts w:eastAsia="新宋体"/>
                <w:bCs/>
                <w:color w:val="000000" w:themeColor="text1"/>
                <w:kern w:val="0"/>
                <w:szCs w:val="21"/>
                <w14:textFill>
                  <w14:solidFill>
                    <w14:schemeClr w14:val="tx1"/>
                  </w14:solidFill>
                </w14:textFill>
              </w:rPr>
              <w:t>入乐安河；远期待金山工业园污水处理厂正式投运后，排入金山工业园污水处理厂，处理达到《城镇污水处理厂污染物排放标准》（GB18918-2002）一级A标准后外排至乐安河</w:t>
            </w:r>
          </w:p>
        </w:tc>
      </w:tr>
      <w:tr w14:paraId="1F7491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953" w:type="pct"/>
            <w:vMerge w:val="continue"/>
            <w:tcBorders>
              <w:bottom w:val="single" w:color="auto" w:sz="12" w:space="0"/>
              <w:right w:val="single" w:color="auto" w:sz="12" w:space="0"/>
            </w:tcBorders>
            <w:vAlign w:val="center"/>
          </w:tcPr>
          <w:p w14:paraId="69E3390B">
            <w:pPr>
              <w:adjustRightInd w:val="0"/>
              <w:snapToGrid w:val="0"/>
              <w:jc w:val="center"/>
              <w:rPr>
                <w:rFonts w:eastAsia="新宋体"/>
                <w:b/>
                <w:bCs/>
                <w:color w:val="000000" w:themeColor="text1"/>
                <w:sz w:val="24"/>
                <w14:textFill>
                  <w14:solidFill>
                    <w14:schemeClr w14:val="tx1"/>
                  </w14:solidFill>
                </w14:textFill>
              </w:rPr>
            </w:pPr>
          </w:p>
        </w:tc>
        <w:tc>
          <w:tcPr>
            <w:tcW w:w="885" w:type="pct"/>
            <w:tcBorders>
              <w:top w:val="single" w:color="auto" w:sz="12" w:space="0"/>
              <w:left w:val="single" w:color="auto" w:sz="12" w:space="0"/>
              <w:bottom w:val="single" w:color="auto" w:sz="12" w:space="0"/>
              <w:right w:val="single" w:color="auto" w:sz="12" w:space="0"/>
            </w:tcBorders>
            <w:vAlign w:val="center"/>
          </w:tcPr>
          <w:p w14:paraId="4D105CEC">
            <w:pPr>
              <w:adjustRightInd w:val="0"/>
              <w:snapToGrid w:val="0"/>
              <w:jc w:val="center"/>
              <w:rPr>
                <w:rFonts w:eastAsia="新宋体"/>
                <w:color w:val="000000" w:themeColor="text1"/>
                <w:szCs w:val="21"/>
                <w14:textFill>
                  <w14:solidFill>
                    <w14:schemeClr w14:val="tx1"/>
                  </w14:solidFill>
                </w14:textFill>
              </w:rPr>
            </w:pPr>
            <w:r>
              <w:rPr>
                <w:color w:val="000000" w:themeColor="text1"/>
                <w:sz w:val="18"/>
                <w:szCs w:val="18"/>
                <w14:textFill>
                  <w14:solidFill>
                    <w14:schemeClr w14:val="tx1"/>
                  </w14:solidFill>
                </w14:textFill>
              </w:rPr>
              <w:t>生产废水</w:t>
            </w:r>
          </w:p>
        </w:tc>
        <w:tc>
          <w:tcPr>
            <w:tcW w:w="588" w:type="pct"/>
            <w:tcBorders>
              <w:top w:val="single" w:color="auto" w:sz="12" w:space="0"/>
              <w:left w:val="single" w:color="auto" w:sz="12" w:space="0"/>
              <w:bottom w:val="single" w:color="auto" w:sz="12" w:space="0"/>
              <w:right w:val="single" w:color="auto" w:sz="12" w:space="0"/>
            </w:tcBorders>
            <w:vAlign w:val="center"/>
          </w:tcPr>
          <w:p w14:paraId="07C9ADB1">
            <w:pPr>
              <w:adjustRightInd w:val="0"/>
              <w:snapToGrid w:val="0"/>
              <w:jc w:val="center"/>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p>
        </w:tc>
        <w:tc>
          <w:tcPr>
            <w:tcW w:w="1314" w:type="pct"/>
            <w:tcBorders>
              <w:top w:val="single" w:color="auto" w:sz="12" w:space="0"/>
              <w:left w:val="single" w:color="auto" w:sz="12" w:space="0"/>
              <w:bottom w:val="single" w:color="auto" w:sz="12" w:space="0"/>
              <w:right w:val="single" w:color="auto" w:sz="12" w:space="0"/>
            </w:tcBorders>
            <w:vAlign w:val="center"/>
          </w:tcPr>
          <w:p w14:paraId="61B85988">
            <w:pPr>
              <w:adjustRightInd w:val="0"/>
              <w:snapToGrid w:val="0"/>
              <w:jc w:val="center"/>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车辆清洗废水经</w:t>
            </w:r>
            <w:r>
              <w:rPr>
                <w:rFonts w:hint="eastAsia" w:eastAsia="新宋体"/>
                <w:color w:val="000000" w:themeColor="text1"/>
                <w:szCs w:val="21"/>
                <w:lang w:val="en-US" w:eastAsia="zh-CN"/>
                <w14:textFill>
                  <w14:solidFill>
                    <w14:schemeClr w14:val="tx1"/>
                  </w14:solidFill>
                </w14:textFill>
              </w:rPr>
              <w:t>洗车平台自带的</w:t>
            </w:r>
            <w:r>
              <w:rPr>
                <w:rFonts w:hint="eastAsia" w:eastAsia="新宋体"/>
                <w:color w:val="000000" w:themeColor="text1"/>
                <w:szCs w:val="21"/>
                <w14:textFill>
                  <w14:solidFill>
                    <w14:schemeClr w14:val="tx1"/>
                  </w14:solidFill>
                </w14:textFill>
              </w:rPr>
              <w:t>沉淀池处理后回用，不外排</w:t>
            </w:r>
            <w:r>
              <w:rPr>
                <w:rFonts w:hint="eastAsia" w:eastAsia="新宋体"/>
                <w:color w:val="000000" w:themeColor="text1"/>
                <w:szCs w:val="21"/>
                <w:lang w:eastAsia="zh-CN"/>
                <w14:textFill>
                  <w14:solidFill>
                    <w14:schemeClr w14:val="tx1"/>
                  </w14:solidFill>
                </w14:textFill>
              </w:rPr>
              <w:t>；过水清洗废水、地面拖洗废水经</w:t>
            </w:r>
            <w:r>
              <w:rPr>
                <w:rFonts w:hint="eastAsia" w:eastAsia="新宋体"/>
                <w:color w:val="000000" w:themeColor="text1"/>
                <w:szCs w:val="21"/>
                <w:lang w:val="en-US" w:eastAsia="zh-CN"/>
                <w14:textFill>
                  <w14:solidFill>
                    <w14:schemeClr w14:val="tx1"/>
                  </w14:solidFill>
                </w14:textFill>
              </w:rPr>
              <w:t>沉淀池（</w:t>
            </w:r>
            <w:r>
              <w:rPr>
                <w:rFonts w:hint="eastAsia" w:eastAsia="新宋体"/>
                <w:color w:val="000000" w:themeColor="text1"/>
                <w:szCs w:val="21"/>
                <w:lang w:eastAsia="zh-CN"/>
                <w14:textFill>
                  <w14:solidFill>
                    <w14:schemeClr w14:val="tx1"/>
                  </w14:solidFill>
                </w14:textFill>
              </w:rPr>
              <w:t>三级沉淀</w:t>
            </w:r>
            <w:r>
              <w:rPr>
                <w:rFonts w:hint="eastAsia" w:eastAsia="新宋体"/>
                <w:color w:val="000000" w:themeColor="text1"/>
                <w:szCs w:val="21"/>
                <w:lang w:val="en-US" w:eastAsia="zh-CN"/>
                <w14:textFill>
                  <w14:solidFill>
                    <w14:schemeClr w14:val="tx1"/>
                  </w14:solidFill>
                </w14:textFill>
              </w:rPr>
              <w:t>）工艺</w:t>
            </w:r>
            <w:r>
              <w:rPr>
                <w:rFonts w:hint="eastAsia" w:eastAsia="新宋体"/>
                <w:color w:val="000000" w:themeColor="text1"/>
                <w:szCs w:val="21"/>
                <w:lang w:eastAsia="zh-CN"/>
                <w14:textFill>
                  <w14:solidFill>
                    <w14:schemeClr w14:val="tx1"/>
                  </w14:solidFill>
                </w14:textFill>
              </w:rPr>
              <w:t>处理后回用于生产</w:t>
            </w:r>
            <w:r>
              <w:rPr>
                <w:rFonts w:hint="eastAsia" w:eastAsia="新宋体"/>
                <w:color w:val="000000" w:themeColor="text1"/>
                <w:szCs w:val="21"/>
                <w14:textFill>
                  <w14:solidFill>
                    <w14:schemeClr w14:val="tx1"/>
                  </w14:solidFill>
                </w14:textFill>
              </w:rPr>
              <w:t>。</w:t>
            </w:r>
          </w:p>
        </w:tc>
        <w:tc>
          <w:tcPr>
            <w:tcW w:w="1257" w:type="pct"/>
            <w:tcBorders>
              <w:top w:val="single" w:color="auto" w:sz="12" w:space="0"/>
              <w:left w:val="single" w:color="auto" w:sz="12" w:space="0"/>
              <w:bottom w:val="single" w:color="auto" w:sz="12" w:space="0"/>
              <w:right w:val="single" w:color="auto" w:sz="12" w:space="0"/>
            </w:tcBorders>
            <w:vAlign w:val="center"/>
          </w:tcPr>
          <w:p w14:paraId="784F90D7">
            <w:pPr>
              <w:adjustRightInd w:val="0"/>
              <w:snapToGrid w:val="0"/>
              <w:jc w:val="center"/>
              <w:rPr>
                <w:rFonts w:eastAsia="新宋体"/>
                <w:color w:val="000000" w:themeColor="text1"/>
                <w:kern w:val="0"/>
                <w:szCs w:val="21"/>
                <w14:textFill>
                  <w14:solidFill>
                    <w14:schemeClr w14:val="tx1"/>
                  </w14:solidFill>
                </w14:textFill>
              </w:rPr>
            </w:pPr>
            <w:r>
              <w:rPr>
                <w:rFonts w:hint="eastAsia" w:eastAsia="新宋体"/>
                <w:color w:val="000000" w:themeColor="text1"/>
                <w:kern w:val="0"/>
                <w:szCs w:val="21"/>
                <w14:textFill>
                  <w14:solidFill>
                    <w14:schemeClr w14:val="tx1"/>
                  </w14:solidFill>
                </w14:textFill>
              </w:rPr>
              <w:t>工艺回用水参照《城市污水再生利用 工业用水水质》（GBT19923-2005）洗涤用水标准</w:t>
            </w:r>
          </w:p>
        </w:tc>
      </w:tr>
      <w:tr w14:paraId="65C460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38" w:hRule="atLeast"/>
          <w:jc w:val="center"/>
        </w:trPr>
        <w:tc>
          <w:tcPr>
            <w:tcW w:w="953" w:type="pct"/>
            <w:tcBorders>
              <w:top w:val="single" w:color="auto" w:sz="12" w:space="0"/>
              <w:left w:val="single" w:color="auto" w:sz="12" w:space="0"/>
              <w:bottom w:val="single" w:color="auto" w:sz="12" w:space="0"/>
              <w:right w:val="single" w:color="auto" w:sz="12" w:space="0"/>
            </w:tcBorders>
            <w:vAlign w:val="center"/>
          </w:tcPr>
          <w:p w14:paraId="55FFA09D">
            <w:pPr>
              <w:adjustRightInd w:val="0"/>
              <w:snapToGrid w:val="0"/>
              <w:jc w:val="center"/>
              <w:rPr>
                <w:rFonts w:eastAsia="新宋体"/>
                <w:b/>
                <w:bCs/>
                <w:color w:val="000000" w:themeColor="text1"/>
                <w:sz w:val="24"/>
                <w14:textFill>
                  <w14:solidFill>
                    <w14:schemeClr w14:val="tx1"/>
                  </w14:solidFill>
                </w14:textFill>
              </w:rPr>
            </w:pPr>
            <w:r>
              <w:rPr>
                <w:rFonts w:eastAsia="新宋体"/>
                <w:b/>
                <w:bCs/>
                <w:color w:val="000000" w:themeColor="text1"/>
                <w:sz w:val="24"/>
                <w14:textFill>
                  <w14:solidFill>
                    <w14:schemeClr w14:val="tx1"/>
                  </w14:solidFill>
                </w14:textFill>
              </w:rPr>
              <w:t>声环境</w:t>
            </w:r>
          </w:p>
        </w:tc>
        <w:tc>
          <w:tcPr>
            <w:tcW w:w="885" w:type="pct"/>
            <w:tcBorders>
              <w:top w:val="single" w:color="auto" w:sz="12" w:space="0"/>
              <w:left w:val="single" w:color="auto" w:sz="12" w:space="0"/>
              <w:bottom w:val="single" w:color="auto" w:sz="12" w:space="0"/>
              <w:right w:val="single" w:color="auto" w:sz="12" w:space="0"/>
            </w:tcBorders>
            <w:vAlign w:val="center"/>
          </w:tcPr>
          <w:p w14:paraId="4AC18632">
            <w:pPr>
              <w:adjustRightInd w:val="0"/>
              <w:snapToGrid w:val="0"/>
              <w:jc w:val="center"/>
              <w:rPr>
                <w:rFonts w:eastAsia="新宋体"/>
                <w:color w:val="000000" w:themeColor="text1"/>
                <w:szCs w:val="21"/>
                <w14:textFill>
                  <w14:solidFill>
                    <w14:schemeClr w14:val="tx1"/>
                  </w14:solidFill>
                </w14:textFill>
              </w:rPr>
            </w:pPr>
            <w:r>
              <w:rPr>
                <w:rFonts w:eastAsia="新宋体"/>
                <w:color w:val="000000" w:themeColor="text1"/>
                <w:szCs w:val="21"/>
                <w14:textFill>
                  <w14:solidFill>
                    <w14:schemeClr w14:val="tx1"/>
                  </w14:solidFill>
                </w14:textFill>
              </w:rPr>
              <w:t>设备生产</w:t>
            </w:r>
          </w:p>
        </w:tc>
        <w:tc>
          <w:tcPr>
            <w:tcW w:w="588" w:type="pct"/>
            <w:tcBorders>
              <w:top w:val="single" w:color="auto" w:sz="12" w:space="0"/>
              <w:left w:val="single" w:color="auto" w:sz="12" w:space="0"/>
              <w:bottom w:val="single" w:color="auto" w:sz="12" w:space="0"/>
              <w:right w:val="single" w:color="auto" w:sz="12" w:space="0"/>
            </w:tcBorders>
            <w:vAlign w:val="center"/>
          </w:tcPr>
          <w:p w14:paraId="7D45F9DC">
            <w:pPr>
              <w:adjustRightInd w:val="0"/>
              <w:snapToGrid w:val="0"/>
              <w:jc w:val="center"/>
              <w:rPr>
                <w:rFonts w:eastAsia="新宋体"/>
                <w:color w:val="000000" w:themeColor="text1"/>
                <w:szCs w:val="21"/>
                <w14:textFill>
                  <w14:solidFill>
                    <w14:schemeClr w14:val="tx1"/>
                  </w14:solidFill>
                </w14:textFill>
              </w:rPr>
            </w:pPr>
            <w:r>
              <w:rPr>
                <w:rFonts w:eastAsia="新宋体"/>
                <w:color w:val="000000" w:themeColor="text1"/>
                <w:szCs w:val="21"/>
                <w14:textFill>
                  <w14:solidFill>
                    <w14:schemeClr w14:val="tx1"/>
                  </w14:solidFill>
                </w14:textFill>
              </w:rPr>
              <w:t>厂界噪声</w:t>
            </w:r>
          </w:p>
        </w:tc>
        <w:tc>
          <w:tcPr>
            <w:tcW w:w="1314" w:type="pct"/>
            <w:tcBorders>
              <w:top w:val="single" w:color="auto" w:sz="12" w:space="0"/>
              <w:left w:val="single" w:color="auto" w:sz="12" w:space="0"/>
              <w:bottom w:val="single" w:color="auto" w:sz="12" w:space="0"/>
              <w:right w:val="single" w:color="auto" w:sz="12" w:space="0"/>
            </w:tcBorders>
            <w:vAlign w:val="center"/>
          </w:tcPr>
          <w:p w14:paraId="008F7AFD">
            <w:pPr>
              <w:adjustRightInd w:val="0"/>
              <w:snapToGrid w:val="0"/>
              <w:jc w:val="center"/>
              <w:rPr>
                <w:rFonts w:eastAsia="新宋体"/>
                <w:color w:val="000000" w:themeColor="text1"/>
                <w:szCs w:val="21"/>
                <w14:textFill>
                  <w14:solidFill>
                    <w14:schemeClr w14:val="tx1"/>
                  </w14:solidFill>
                </w14:textFill>
              </w:rPr>
            </w:pPr>
            <w:r>
              <w:rPr>
                <w:rFonts w:eastAsia="新宋体"/>
                <w:color w:val="000000" w:themeColor="text1"/>
                <w:szCs w:val="21"/>
                <w14:textFill>
                  <w14:solidFill>
                    <w14:schemeClr w14:val="tx1"/>
                  </w14:solidFill>
                </w14:textFill>
              </w:rPr>
              <w:t>墙壁隔声及距离衰减</w:t>
            </w:r>
          </w:p>
        </w:tc>
        <w:tc>
          <w:tcPr>
            <w:tcW w:w="1257" w:type="pct"/>
            <w:tcBorders>
              <w:top w:val="single" w:color="auto" w:sz="12" w:space="0"/>
              <w:left w:val="single" w:color="auto" w:sz="12" w:space="0"/>
              <w:bottom w:val="single" w:color="auto" w:sz="12" w:space="0"/>
              <w:right w:val="single" w:color="auto" w:sz="12" w:space="0"/>
            </w:tcBorders>
            <w:vAlign w:val="center"/>
          </w:tcPr>
          <w:p w14:paraId="1B6DFE60">
            <w:pPr>
              <w:adjustRightInd w:val="0"/>
              <w:snapToGrid w:val="0"/>
              <w:jc w:val="center"/>
              <w:rPr>
                <w:rFonts w:eastAsia="新宋体"/>
                <w:color w:val="000000" w:themeColor="text1"/>
                <w:kern w:val="0"/>
                <w:szCs w:val="21"/>
                <w14:textFill>
                  <w14:solidFill>
                    <w14:schemeClr w14:val="tx1"/>
                  </w14:solidFill>
                </w14:textFill>
              </w:rPr>
            </w:pPr>
            <w:r>
              <w:rPr>
                <w:rFonts w:eastAsia="新宋体"/>
                <w:color w:val="000000" w:themeColor="text1"/>
                <w:kern w:val="0"/>
                <w:szCs w:val="21"/>
                <w14:textFill>
                  <w14:solidFill>
                    <w14:schemeClr w14:val="tx1"/>
                  </w14:solidFill>
                </w14:textFill>
              </w:rPr>
              <w:t>执行《工业企业厂界环境噪声排放标准》（GB12348-2008）中</w:t>
            </w:r>
            <w:r>
              <w:rPr>
                <w:rFonts w:hint="eastAsia" w:eastAsia="新宋体"/>
                <w:color w:val="000000" w:themeColor="text1"/>
                <w:kern w:val="0"/>
                <w:szCs w:val="21"/>
                <w14:textFill>
                  <w14:solidFill>
                    <w14:schemeClr w14:val="tx1"/>
                  </w14:solidFill>
                </w14:textFill>
              </w:rPr>
              <w:t>3</w:t>
            </w:r>
            <w:r>
              <w:rPr>
                <w:rFonts w:eastAsia="新宋体"/>
                <w:color w:val="000000" w:themeColor="text1"/>
                <w:kern w:val="0"/>
                <w:szCs w:val="21"/>
                <w14:textFill>
                  <w14:solidFill>
                    <w14:schemeClr w14:val="tx1"/>
                  </w14:solidFill>
                </w14:textFill>
              </w:rPr>
              <w:t>类标准</w:t>
            </w:r>
          </w:p>
        </w:tc>
      </w:tr>
      <w:tr w14:paraId="7327C37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953" w:type="pct"/>
            <w:tcBorders>
              <w:top w:val="single" w:color="auto" w:sz="12" w:space="0"/>
              <w:left w:val="single" w:color="auto" w:sz="12" w:space="0"/>
              <w:bottom w:val="single" w:color="auto" w:sz="12" w:space="0"/>
              <w:right w:val="single" w:color="auto" w:sz="12" w:space="0"/>
            </w:tcBorders>
            <w:vAlign w:val="center"/>
          </w:tcPr>
          <w:p w14:paraId="39C15E3D">
            <w:pPr>
              <w:adjustRightInd w:val="0"/>
              <w:snapToGrid w:val="0"/>
              <w:jc w:val="center"/>
              <w:rPr>
                <w:rFonts w:eastAsia="新宋体"/>
                <w:b/>
                <w:bCs/>
                <w:color w:val="000000" w:themeColor="text1"/>
                <w:sz w:val="24"/>
                <w14:textFill>
                  <w14:solidFill>
                    <w14:schemeClr w14:val="tx1"/>
                  </w14:solidFill>
                </w14:textFill>
              </w:rPr>
            </w:pPr>
            <w:r>
              <w:rPr>
                <w:rFonts w:eastAsia="新宋体"/>
                <w:b/>
                <w:bCs/>
                <w:color w:val="000000" w:themeColor="text1"/>
                <w:sz w:val="24"/>
                <w14:textFill>
                  <w14:solidFill>
                    <w14:schemeClr w14:val="tx1"/>
                  </w14:solidFill>
                </w14:textFill>
              </w:rPr>
              <w:t>电磁辐射</w:t>
            </w:r>
          </w:p>
        </w:tc>
        <w:tc>
          <w:tcPr>
            <w:tcW w:w="4046" w:type="pct"/>
            <w:gridSpan w:val="4"/>
            <w:tcBorders>
              <w:top w:val="single" w:color="auto" w:sz="4" w:space="0"/>
              <w:left w:val="single" w:color="auto" w:sz="12" w:space="0"/>
              <w:bottom w:val="single" w:color="auto" w:sz="12" w:space="0"/>
              <w:right w:val="single" w:color="auto" w:sz="12" w:space="0"/>
            </w:tcBorders>
            <w:vAlign w:val="center"/>
          </w:tcPr>
          <w:p w14:paraId="4A492546">
            <w:pPr>
              <w:adjustRightInd w:val="0"/>
              <w:snapToGrid w:val="0"/>
              <w:jc w:val="center"/>
              <w:rPr>
                <w:rFonts w:eastAsia="新宋体"/>
                <w:color w:val="000000" w:themeColor="text1"/>
                <w:szCs w:val="21"/>
                <w14:textFill>
                  <w14:solidFill>
                    <w14:schemeClr w14:val="tx1"/>
                  </w14:solidFill>
                </w14:textFill>
              </w:rPr>
            </w:pPr>
            <w:r>
              <w:rPr>
                <w:rFonts w:eastAsia="新宋体"/>
                <w:color w:val="000000" w:themeColor="text1"/>
                <w:szCs w:val="21"/>
                <w14:textFill>
                  <w14:solidFill>
                    <w14:schemeClr w14:val="tx1"/>
                  </w14:solidFill>
                </w14:textFill>
              </w:rPr>
              <w:t>/</w:t>
            </w:r>
          </w:p>
        </w:tc>
      </w:tr>
      <w:tr w14:paraId="243ABFB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953" w:type="pct"/>
            <w:tcBorders>
              <w:top w:val="single" w:color="auto" w:sz="12" w:space="0"/>
              <w:left w:val="single" w:color="auto" w:sz="12" w:space="0"/>
              <w:bottom w:val="single" w:color="auto" w:sz="12" w:space="0"/>
              <w:right w:val="single" w:color="auto" w:sz="12" w:space="0"/>
            </w:tcBorders>
            <w:vAlign w:val="center"/>
          </w:tcPr>
          <w:p w14:paraId="5782D904">
            <w:pPr>
              <w:adjustRightInd w:val="0"/>
              <w:snapToGrid w:val="0"/>
              <w:jc w:val="center"/>
              <w:rPr>
                <w:rFonts w:eastAsia="新宋体"/>
                <w:b/>
                <w:bCs/>
                <w:color w:val="000000" w:themeColor="text1"/>
                <w:sz w:val="24"/>
                <w14:textFill>
                  <w14:solidFill>
                    <w14:schemeClr w14:val="tx1"/>
                  </w14:solidFill>
                </w14:textFill>
              </w:rPr>
            </w:pPr>
            <w:r>
              <w:rPr>
                <w:rFonts w:eastAsia="新宋体"/>
                <w:b/>
                <w:bCs/>
                <w:color w:val="000000" w:themeColor="text1"/>
                <w:sz w:val="24"/>
                <w14:textFill>
                  <w14:solidFill>
                    <w14:schemeClr w14:val="tx1"/>
                  </w14:solidFill>
                </w14:textFill>
              </w:rPr>
              <w:t>固体废物</w:t>
            </w:r>
          </w:p>
        </w:tc>
        <w:tc>
          <w:tcPr>
            <w:tcW w:w="4046" w:type="pct"/>
            <w:gridSpan w:val="4"/>
            <w:tcBorders>
              <w:top w:val="single" w:color="auto" w:sz="12" w:space="0"/>
              <w:left w:val="single" w:color="auto" w:sz="12" w:space="0"/>
              <w:bottom w:val="single" w:color="auto" w:sz="12" w:space="0"/>
              <w:right w:val="single" w:color="auto" w:sz="12" w:space="0"/>
            </w:tcBorders>
            <w:vAlign w:val="center"/>
          </w:tcPr>
          <w:p w14:paraId="51CC4332">
            <w:pPr>
              <w:widowControl/>
              <w:jc w:val="left"/>
              <w:rPr>
                <w:color w:val="000000" w:themeColor="text1"/>
                <w:szCs w:val="21"/>
                <w14:textFill>
                  <w14:solidFill>
                    <w14:schemeClr w14:val="tx1"/>
                  </w14:solidFill>
                </w14:textFill>
              </w:rPr>
            </w:pPr>
            <w:r>
              <w:rPr>
                <w:rFonts w:eastAsia="新宋体"/>
                <w:color w:val="000000" w:themeColor="text1"/>
                <w:szCs w:val="21"/>
                <w14:textFill>
                  <w14:solidFill>
                    <w14:schemeClr w14:val="tx1"/>
                  </w14:solidFill>
                </w14:textFill>
              </w:rPr>
              <w:t>一般固废主要是</w:t>
            </w:r>
            <w:r>
              <w:rPr>
                <w:rFonts w:hint="eastAsia" w:eastAsia="新宋体"/>
                <w:bCs/>
                <w:color w:val="000000" w:themeColor="text1"/>
                <w:szCs w:val="21"/>
                <w14:textFill>
                  <w14:solidFill>
                    <w14:schemeClr w14:val="tx1"/>
                  </w14:solidFill>
                </w14:textFill>
              </w:rPr>
              <w:t>压滤泥渣</w:t>
            </w:r>
            <w:r>
              <w:rPr>
                <w:rFonts w:hint="eastAsia" w:eastAsia="新宋体"/>
                <w:color w:val="000000" w:themeColor="text1"/>
                <w:szCs w:val="21"/>
                <w14:textFill>
                  <w14:solidFill>
                    <w14:schemeClr w14:val="tx1"/>
                  </w14:solidFill>
                </w14:textFill>
              </w:rPr>
              <w:t>和废布袋，</w:t>
            </w:r>
            <w:r>
              <w:rPr>
                <w:rFonts w:eastAsia="新宋体"/>
                <w:color w:val="000000" w:themeColor="text1"/>
                <w:szCs w:val="21"/>
                <w14:textFill>
                  <w14:solidFill>
                    <w14:schemeClr w14:val="tx1"/>
                  </w14:solidFill>
                </w14:textFill>
              </w:rPr>
              <w:t>统一收集后</w:t>
            </w:r>
            <w:r>
              <w:rPr>
                <w:rFonts w:hint="eastAsia" w:eastAsia="新宋体"/>
                <w:color w:val="000000" w:themeColor="text1"/>
                <w:szCs w:val="21"/>
                <w14:textFill>
                  <w14:solidFill>
                    <w14:schemeClr w14:val="tx1"/>
                  </w14:solidFill>
                </w14:textFill>
              </w:rPr>
              <w:t>暂存于一般固废间，定期综合外售处理</w:t>
            </w:r>
            <w:r>
              <w:rPr>
                <w:rFonts w:eastAsia="新宋体"/>
                <w:color w:val="000000" w:themeColor="text1"/>
                <w:szCs w:val="21"/>
                <w14:textFill>
                  <w14:solidFill>
                    <w14:schemeClr w14:val="tx1"/>
                  </w14:solidFill>
                </w14:textFill>
              </w:rPr>
              <w:t>；危险废物主要</w:t>
            </w:r>
            <w:r>
              <w:rPr>
                <w:rFonts w:hint="eastAsia" w:eastAsia="新宋体"/>
                <w:color w:val="000000" w:themeColor="text1"/>
                <w:szCs w:val="21"/>
                <w14:textFill>
                  <w14:solidFill>
                    <w14:schemeClr w14:val="tx1"/>
                  </w14:solidFill>
                </w14:textFill>
              </w:rPr>
              <w:t>为</w:t>
            </w:r>
            <w:r>
              <w:rPr>
                <w:rFonts w:hint="eastAsia" w:eastAsia="新宋体"/>
                <w:bCs/>
                <w:color w:val="000000" w:themeColor="text1"/>
                <w:szCs w:val="21"/>
                <w14:textFill>
                  <w14:solidFill>
                    <w14:schemeClr w14:val="tx1"/>
                  </w14:solidFill>
                </w14:textFill>
              </w:rPr>
              <w:t>废机油及废机油桶、废含油抹布及劳保用品等</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统一收集后存放于危险废物暂存库</w:t>
            </w:r>
            <w:r>
              <w:rPr>
                <w:color w:val="000000" w:themeColor="text1"/>
                <w:szCs w:val="21"/>
                <w14:textFill>
                  <w14:solidFill>
                    <w14:schemeClr w14:val="tx1"/>
                  </w14:solidFill>
                </w14:textFill>
              </w:rPr>
              <w:t>，</w:t>
            </w:r>
            <w:r>
              <w:rPr>
                <w:rFonts w:hint="eastAsia" w:eastAsia="新宋体"/>
                <w:color w:val="000000" w:themeColor="text1"/>
                <w:szCs w:val="21"/>
                <w14:textFill>
                  <w14:solidFill>
                    <w14:schemeClr w14:val="tx1"/>
                  </w14:solidFill>
                </w14:textFill>
              </w:rPr>
              <w:t>交由有资质单位处置</w:t>
            </w:r>
            <w:r>
              <w:rPr>
                <w:color w:val="000000" w:themeColor="text1"/>
                <w:szCs w:val="21"/>
                <w14:textFill>
                  <w14:solidFill>
                    <w14:schemeClr w14:val="tx1"/>
                  </w14:solidFill>
                </w14:textFill>
              </w:rPr>
              <w:t>。</w:t>
            </w:r>
          </w:p>
        </w:tc>
      </w:tr>
      <w:tr w14:paraId="0D584BD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953" w:type="pct"/>
            <w:tcBorders>
              <w:top w:val="single" w:color="auto" w:sz="12" w:space="0"/>
              <w:left w:val="single" w:color="auto" w:sz="12" w:space="0"/>
              <w:bottom w:val="single" w:color="auto" w:sz="12" w:space="0"/>
              <w:right w:val="single" w:color="auto" w:sz="12" w:space="0"/>
            </w:tcBorders>
            <w:vAlign w:val="center"/>
          </w:tcPr>
          <w:p w14:paraId="7CD98E31">
            <w:pPr>
              <w:adjustRightInd w:val="0"/>
              <w:snapToGrid w:val="0"/>
              <w:jc w:val="center"/>
              <w:rPr>
                <w:rFonts w:eastAsia="新宋体"/>
                <w:b/>
                <w:bCs/>
                <w:color w:val="000000" w:themeColor="text1"/>
                <w:sz w:val="24"/>
                <w14:textFill>
                  <w14:solidFill>
                    <w14:schemeClr w14:val="tx1"/>
                  </w14:solidFill>
                </w14:textFill>
              </w:rPr>
            </w:pPr>
            <w:r>
              <w:rPr>
                <w:rFonts w:eastAsia="新宋体"/>
                <w:b/>
                <w:bCs/>
                <w:color w:val="000000" w:themeColor="text1"/>
                <w:sz w:val="24"/>
                <w14:textFill>
                  <w14:solidFill>
                    <w14:schemeClr w14:val="tx1"/>
                  </w14:solidFill>
                </w14:textFill>
              </w:rPr>
              <w:t>土壤及地下水污染防治措施</w:t>
            </w:r>
          </w:p>
        </w:tc>
        <w:tc>
          <w:tcPr>
            <w:tcW w:w="4046" w:type="pct"/>
            <w:gridSpan w:val="4"/>
            <w:tcBorders>
              <w:top w:val="single" w:color="auto" w:sz="12" w:space="0"/>
              <w:left w:val="single" w:color="auto" w:sz="12" w:space="0"/>
              <w:bottom w:val="single" w:color="auto" w:sz="12" w:space="0"/>
              <w:right w:val="single" w:color="auto" w:sz="12" w:space="0"/>
            </w:tcBorders>
            <w:vAlign w:val="center"/>
          </w:tcPr>
          <w:p w14:paraId="4130EF47">
            <w:pPr>
              <w:adjustRightInd w:val="0"/>
              <w:snapToGrid w:val="0"/>
              <w:jc w:val="left"/>
              <w:rPr>
                <w:rFonts w:eastAsia="新宋体"/>
                <w:color w:val="000000" w:themeColor="text1"/>
                <w:szCs w:val="21"/>
                <w14:textFill>
                  <w14:solidFill>
                    <w14:schemeClr w14:val="tx1"/>
                  </w14:solidFill>
                </w14:textFill>
              </w:rPr>
            </w:pPr>
            <w:r>
              <w:rPr>
                <w:rFonts w:eastAsia="新宋体"/>
                <w:color w:val="000000" w:themeColor="text1"/>
                <w:szCs w:val="21"/>
                <w14:textFill>
                  <w14:solidFill>
                    <w14:schemeClr w14:val="tx1"/>
                  </w14:solidFill>
                </w14:textFill>
              </w:rPr>
              <w:t>采用先进的技术、工艺、设备，实施清洁生产，防止跑冒滴漏，防止污染物泄漏；注意危险固废暂存库的防腐防渗要求，防止污染物下渗，污染土壤和地下水环境</w:t>
            </w:r>
          </w:p>
        </w:tc>
      </w:tr>
      <w:tr w14:paraId="525751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953" w:type="pct"/>
            <w:tcBorders>
              <w:top w:val="single" w:color="auto" w:sz="12" w:space="0"/>
              <w:left w:val="single" w:color="auto" w:sz="12" w:space="0"/>
              <w:bottom w:val="single" w:color="auto" w:sz="12" w:space="0"/>
              <w:right w:val="single" w:color="auto" w:sz="12" w:space="0"/>
            </w:tcBorders>
            <w:vAlign w:val="center"/>
          </w:tcPr>
          <w:p w14:paraId="0F6230CE">
            <w:pPr>
              <w:adjustRightInd w:val="0"/>
              <w:snapToGrid w:val="0"/>
              <w:jc w:val="center"/>
              <w:rPr>
                <w:rFonts w:eastAsia="新宋体"/>
                <w:b/>
                <w:bCs/>
                <w:color w:val="000000" w:themeColor="text1"/>
                <w:sz w:val="24"/>
                <w14:textFill>
                  <w14:solidFill>
                    <w14:schemeClr w14:val="tx1"/>
                  </w14:solidFill>
                </w14:textFill>
              </w:rPr>
            </w:pPr>
            <w:r>
              <w:rPr>
                <w:rFonts w:eastAsia="新宋体"/>
                <w:b/>
                <w:bCs/>
                <w:color w:val="000000" w:themeColor="text1"/>
                <w:sz w:val="24"/>
                <w14:textFill>
                  <w14:solidFill>
                    <w14:schemeClr w14:val="tx1"/>
                  </w14:solidFill>
                </w14:textFill>
              </w:rPr>
              <w:t>生态保护措施</w:t>
            </w:r>
          </w:p>
        </w:tc>
        <w:tc>
          <w:tcPr>
            <w:tcW w:w="4046" w:type="pct"/>
            <w:gridSpan w:val="4"/>
            <w:tcBorders>
              <w:top w:val="single" w:color="auto" w:sz="12" w:space="0"/>
              <w:left w:val="single" w:color="auto" w:sz="12" w:space="0"/>
              <w:bottom w:val="single" w:color="auto" w:sz="12" w:space="0"/>
              <w:right w:val="single" w:color="auto" w:sz="12" w:space="0"/>
            </w:tcBorders>
            <w:vAlign w:val="center"/>
          </w:tcPr>
          <w:p w14:paraId="44F6FD11">
            <w:pPr>
              <w:adjustRightInd w:val="0"/>
              <w:snapToGrid w:val="0"/>
              <w:jc w:val="left"/>
              <w:rPr>
                <w:rFonts w:eastAsia="新宋体"/>
                <w:color w:val="000000" w:themeColor="text1"/>
                <w:szCs w:val="21"/>
                <w14:textFill>
                  <w14:solidFill>
                    <w14:schemeClr w14:val="tx1"/>
                  </w14:solidFill>
                </w14:textFill>
              </w:rPr>
            </w:pPr>
            <w:r>
              <w:rPr>
                <w:rFonts w:eastAsia="新宋体"/>
                <w:color w:val="000000" w:themeColor="text1"/>
                <w:szCs w:val="21"/>
                <w14:textFill>
                  <w14:solidFill>
                    <w14:schemeClr w14:val="tx1"/>
                  </w14:solidFill>
                </w14:textFill>
              </w:rPr>
              <w:t>/</w:t>
            </w:r>
          </w:p>
        </w:tc>
      </w:tr>
      <w:tr w14:paraId="758E656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953" w:type="pct"/>
            <w:tcBorders>
              <w:top w:val="single" w:color="auto" w:sz="12" w:space="0"/>
              <w:left w:val="single" w:color="auto" w:sz="12" w:space="0"/>
              <w:bottom w:val="single" w:color="auto" w:sz="12" w:space="0"/>
              <w:right w:val="single" w:color="auto" w:sz="12" w:space="0"/>
            </w:tcBorders>
            <w:vAlign w:val="center"/>
          </w:tcPr>
          <w:p w14:paraId="7AE97956">
            <w:pPr>
              <w:adjustRightInd w:val="0"/>
              <w:snapToGrid w:val="0"/>
              <w:jc w:val="center"/>
              <w:rPr>
                <w:rFonts w:eastAsia="新宋体"/>
                <w:b/>
                <w:bCs/>
                <w:color w:val="000000" w:themeColor="text1"/>
                <w:sz w:val="24"/>
                <w14:textFill>
                  <w14:solidFill>
                    <w14:schemeClr w14:val="tx1"/>
                  </w14:solidFill>
                </w14:textFill>
              </w:rPr>
            </w:pPr>
            <w:r>
              <w:rPr>
                <w:rFonts w:eastAsia="新宋体"/>
                <w:b/>
                <w:bCs/>
                <w:color w:val="000000" w:themeColor="text1"/>
                <w:sz w:val="24"/>
                <w14:textFill>
                  <w14:solidFill>
                    <w14:schemeClr w14:val="tx1"/>
                  </w14:solidFill>
                </w14:textFill>
              </w:rPr>
              <w:t>环境风险</w:t>
            </w:r>
          </w:p>
          <w:p w14:paraId="69E0D8F7">
            <w:pPr>
              <w:adjustRightInd w:val="0"/>
              <w:snapToGrid w:val="0"/>
              <w:jc w:val="center"/>
              <w:rPr>
                <w:rFonts w:eastAsia="新宋体"/>
                <w:b/>
                <w:bCs/>
                <w:color w:val="000000" w:themeColor="text1"/>
                <w:sz w:val="24"/>
                <w14:textFill>
                  <w14:solidFill>
                    <w14:schemeClr w14:val="tx1"/>
                  </w14:solidFill>
                </w14:textFill>
              </w:rPr>
            </w:pPr>
            <w:r>
              <w:rPr>
                <w:rFonts w:eastAsia="新宋体"/>
                <w:b/>
                <w:bCs/>
                <w:color w:val="000000" w:themeColor="text1"/>
                <w:sz w:val="24"/>
                <w14:textFill>
                  <w14:solidFill>
                    <w14:schemeClr w14:val="tx1"/>
                  </w14:solidFill>
                </w14:textFill>
              </w:rPr>
              <w:t>防范措施</w:t>
            </w:r>
          </w:p>
        </w:tc>
        <w:tc>
          <w:tcPr>
            <w:tcW w:w="4046" w:type="pct"/>
            <w:gridSpan w:val="4"/>
            <w:tcBorders>
              <w:top w:val="single" w:color="auto" w:sz="12" w:space="0"/>
              <w:left w:val="single" w:color="auto" w:sz="12" w:space="0"/>
              <w:bottom w:val="single" w:color="auto" w:sz="12" w:space="0"/>
              <w:right w:val="single" w:color="auto" w:sz="12" w:space="0"/>
            </w:tcBorders>
            <w:vAlign w:val="center"/>
          </w:tcPr>
          <w:p w14:paraId="641C8CC1">
            <w:pPr>
              <w:adjustRightInd w:val="0"/>
              <w:snapToGrid w:val="0"/>
              <w:jc w:val="left"/>
              <w:rPr>
                <w:rFonts w:eastAsia="新宋体"/>
                <w:color w:val="000000" w:themeColor="text1"/>
                <w:szCs w:val="21"/>
                <w14:textFill>
                  <w14:solidFill>
                    <w14:schemeClr w14:val="tx1"/>
                  </w14:solidFill>
                </w14:textFill>
              </w:rPr>
            </w:pPr>
          </w:p>
          <w:p w14:paraId="53164920">
            <w:pPr>
              <w:adjustRightInd w:val="0"/>
              <w:snapToGrid w:val="0"/>
              <w:jc w:val="left"/>
              <w:rPr>
                <w:rFonts w:eastAsia="新宋体"/>
                <w:color w:val="000000" w:themeColor="text1"/>
                <w:szCs w:val="21"/>
                <w14:textFill>
                  <w14:solidFill>
                    <w14:schemeClr w14:val="tx1"/>
                  </w14:solidFill>
                </w14:textFill>
              </w:rPr>
            </w:pPr>
          </w:p>
          <w:p w14:paraId="364A4A53">
            <w:pPr>
              <w:adjustRightInd w:val="0"/>
              <w:snapToGrid w:val="0"/>
              <w:jc w:val="left"/>
              <w:rPr>
                <w:rFonts w:eastAsia="新宋体"/>
                <w:color w:val="000000" w:themeColor="text1"/>
                <w:szCs w:val="21"/>
                <w14:textFill>
                  <w14:solidFill>
                    <w14:schemeClr w14:val="tx1"/>
                  </w14:solidFill>
                </w14:textFill>
              </w:rPr>
            </w:pPr>
          </w:p>
          <w:p w14:paraId="642895B1">
            <w:pPr>
              <w:adjustRightInd w:val="0"/>
              <w:snapToGrid w:val="0"/>
              <w:jc w:val="left"/>
              <w:rPr>
                <w:rFonts w:eastAsia="新宋体"/>
                <w:color w:val="000000" w:themeColor="text1"/>
                <w:szCs w:val="21"/>
                <w14:textFill>
                  <w14:solidFill>
                    <w14:schemeClr w14:val="tx1"/>
                  </w14:solidFill>
                </w14:textFill>
              </w:rPr>
            </w:pPr>
          </w:p>
          <w:p w14:paraId="192FC934">
            <w:pPr>
              <w:adjustRightInd w:val="0"/>
              <w:snapToGrid w:val="0"/>
              <w:jc w:val="left"/>
              <w:rPr>
                <w:rFonts w:eastAsia="新宋体"/>
                <w:color w:val="000000" w:themeColor="text1"/>
                <w:szCs w:val="21"/>
                <w14:textFill>
                  <w14:solidFill>
                    <w14:schemeClr w14:val="tx1"/>
                  </w14:solidFill>
                </w14:textFill>
              </w:rPr>
            </w:pPr>
          </w:p>
          <w:p w14:paraId="04E1F404">
            <w:pPr>
              <w:adjustRightInd w:val="0"/>
              <w:snapToGrid w:val="0"/>
              <w:jc w:val="left"/>
              <w:rPr>
                <w:rFonts w:eastAsia="新宋体"/>
                <w:color w:val="000000" w:themeColor="text1"/>
                <w:szCs w:val="21"/>
                <w14:textFill>
                  <w14:solidFill>
                    <w14:schemeClr w14:val="tx1"/>
                  </w14:solidFill>
                </w14:textFill>
              </w:rPr>
            </w:pPr>
          </w:p>
          <w:p w14:paraId="1D54EF8E">
            <w:pPr>
              <w:adjustRightInd w:val="0"/>
              <w:snapToGrid w:val="0"/>
              <w:jc w:val="left"/>
              <w:rPr>
                <w:rFonts w:eastAsia="新宋体"/>
                <w:color w:val="000000" w:themeColor="text1"/>
                <w:szCs w:val="21"/>
                <w14:textFill>
                  <w14:solidFill>
                    <w14:schemeClr w14:val="tx1"/>
                  </w14:solidFill>
                </w14:textFill>
              </w:rPr>
            </w:pPr>
          </w:p>
          <w:p w14:paraId="103BFCEF">
            <w:pPr>
              <w:adjustRightInd w:val="0"/>
              <w:snapToGrid w:val="0"/>
              <w:jc w:val="left"/>
              <w:rPr>
                <w:rFonts w:eastAsia="新宋体"/>
                <w:color w:val="000000" w:themeColor="text1"/>
                <w:szCs w:val="21"/>
                <w14:textFill>
                  <w14:solidFill>
                    <w14:schemeClr w14:val="tx1"/>
                  </w14:solidFill>
                </w14:textFill>
              </w:rPr>
            </w:pPr>
          </w:p>
          <w:p w14:paraId="3CD3DBDE">
            <w:pPr>
              <w:adjustRightInd w:val="0"/>
              <w:snapToGrid w:val="0"/>
              <w:jc w:val="left"/>
              <w:rPr>
                <w:rFonts w:eastAsia="新宋体"/>
                <w:color w:val="000000" w:themeColor="text1"/>
                <w:szCs w:val="21"/>
                <w14:textFill>
                  <w14:solidFill>
                    <w14:schemeClr w14:val="tx1"/>
                  </w14:solidFill>
                </w14:textFill>
              </w:rPr>
            </w:pPr>
          </w:p>
          <w:p w14:paraId="62ADEDD7">
            <w:pPr>
              <w:adjustRightInd w:val="0"/>
              <w:snapToGrid w:val="0"/>
              <w:jc w:val="left"/>
              <w:rPr>
                <w:rFonts w:eastAsia="新宋体"/>
                <w:color w:val="000000" w:themeColor="text1"/>
                <w:szCs w:val="21"/>
                <w14:textFill>
                  <w14:solidFill>
                    <w14:schemeClr w14:val="tx1"/>
                  </w14:solidFill>
                </w14:textFill>
              </w:rPr>
            </w:pPr>
          </w:p>
          <w:p w14:paraId="631C7AE0">
            <w:pPr>
              <w:adjustRightInd w:val="0"/>
              <w:snapToGrid w:val="0"/>
              <w:jc w:val="left"/>
              <w:rPr>
                <w:rFonts w:eastAsia="新宋体"/>
                <w:color w:val="000000" w:themeColor="text1"/>
                <w:szCs w:val="21"/>
                <w14:textFill>
                  <w14:solidFill>
                    <w14:schemeClr w14:val="tx1"/>
                  </w14:solidFill>
                </w14:textFill>
              </w:rPr>
            </w:pPr>
          </w:p>
          <w:p w14:paraId="3D10AF57">
            <w:pPr>
              <w:adjustRightInd w:val="0"/>
              <w:snapToGrid w:val="0"/>
              <w:jc w:val="left"/>
              <w:rPr>
                <w:rFonts w:eastAsia="新宋体"/>
                <w:color w:val="000000" w:themeColor="text1"/>
                <w:szCs w:val="21"/>
                <w14:textFill>
                  <w14:solidFill>
                    <w14:schemeClr w14:val="tx1"/>
                  </w14:solidFill>
                </w14:textFill>
              </w:rPr>
            </w:pPr>
          </w:p>
          <w:p w14:paraId="20F97447">
            <w:pPr>
              <w:adjustRightInd w:val="0"/>
              <w:snapToGrid w:val="0"/>
              <w:jc w:val="left"/>
              <w:rPr>
                <w:rFonts w:eastAsia="新宋体"/>
                <w:color w:val="000000" w:themeColor="text1"/>
                <w:szCs w:val="21"/>
                <w14:textFill>
                  <w14:solidFill>
                    <w14:schemeClr w14:val="tx1"/>
                  </w14:solidFill>
                </w14:textFill>
              </w:rPr>
            </w:pPr>
          </w:p>
          <w:p w14:paraId="041E5631">
            <w:pPr>
              <w:adjustRightInd w:val="0"/>
              <w:snapToGrid w:val="0"/>
              <w:jc w:val="left"/>
              <w:rPr>
                <w:rFonts w:eastAsia="新宋体"/>
                <w:color w:val="000000" w:themeColor="text1"/>
                <w:szCs w:val="21"/>
                <w14:textFill>
                  <w14:solidFill>
                    <w14:schemeClr w14:val="tx1"/>
                  </w14:solidFill>
                </w14:textFill>
              </w:rPr>
            </w:pPr>
          </w:p>
          <w:p w14:paraId="34964E62">
            <w:pPr>
              <w:adjustRightInd w:val="0"/>
              <w:snapToGrid w:val="0"/>
              <w:jc w:val="left"/>
              <w:rPr>
                <w:rFonts w:eastAsia="新宋体"/>
                <w:color w:val="000000" w:themeColor="text1"/>
                <w:szCs w:val="21"/>
                <w14:textFill>
                  <w14:solidFill>
                    <w14:schemeClr w14:val="tx1"/>
                  </w14:solidFill>
                </w14:textFill>
              </w:rPr>
            </w:pPr>
          </w:p>
          <w:p w14:paraId="7B5BE2C2">
            <w:pPr>
              <w:adjustRightInd w:val="0"/>
              <w:snapToGrid w:val="0"/>
              <w:jc w:val="left"/>
              <w:rPr>
                <w:rFonts w:eastAsia="新宋体"/>
                <w:color w:val="000000" w:themeColor="text1"/>
                <w:szCs w:val="21"/>
                <w14:textFill>
                  <w14:solidFill>
                    <w14:schemeClr w14:val="tx1"/>
                  </w14:solidFill>
                </w14:textFill>
              </w:rPr>
            </w:pPr>
          </w:p>
          <w:p w14:paraId="05C6B039">
            <w:pPr>
              <w:adjustRightInd w:val="0"/>
              <w:snapToGrid w:val="0"/>
              <w:jc w:val="left"/>
              <w:rPr>
                <w:rFonts w:eastAsia="新宋体"/>
                <w:color w:val="000000" w:themeColor="text1"/>
                <w:szCs w:val="21"/>
                <w14:textFill>
                  <w14:solidFill>
                    <w14:schemeClr w14:val="tx1"/>
                  </w14:solidFill>
                </w14:textFill>
              </w:rPr>
            </w:pPr>
          </w:p>
          <w:p w14:paraId="210C7CF7">
            <w:pPr>
              <w:adjustRightInd w:val="0"/>
              <w:snapToGrid w:val="0"/>
              <w:jc w:val="left"/>
              <w:rPr>
                <w:rFonts w:eastAsia="新宋体"/>
                <w:color w:val="000000" w:themeColor="text1"/>
                <w:szCs w:val="21"/>
                <w14:textFill>
                  <w14:solidFill>
                    <w14:schemeClr w14:val="tx1"/>
                  </w14:solidFill>
                </w14:textFill>
              </w:rPr>
            </w:pPr>
          </w:p>
          <w:p w14:paraId="0E621A81">
            <w:pPr>
              <w:adjustRightInd w:val="0"/>
              <w:snapToGrid w:val="0"/>
              <w:jc w:val="left"/>
              <w:rPr>
                <w:rFonts w:eastAsia="新宋体"/>
                <w:color w:val="000000" w:themeColor="text1"/>
                <w:szCs w:val="21"/>
                <w14:textFill>
                  <w14:solidFill>
                    <w14:schemeClr w14:val="tx1"/>
                  </w14:solidFill>
                </w14:textFill>
              </w:rPr>
            </w:pPr>
          </w:p>
          <w:p w14:paraId="547E74C7">
            <w:pPr>
              <w:adjustRightInd w:val="0"/>
              <w:snapToGrid w:val="0"/>
              <w:jc w:val="left"/>
              <w:rPr>
                <w:rFonts w:eastAsia="新宋体"/>
                <w:color w:val="000000" w:themeColor="text1"/>
                <w:szCs w:val="21"/>
                <w14:textFill>
                  <w14:solidFill>
                    <w14:schemeClr w14:val="tx1"/>
                  </w14:solidFill>
                </w14:textFill>
              </w:rPr>
            </w:pPr>
          </w:p>
          <w:p w14:paraId="0F496B8B">
            <w:pPr>
              <w:adjustRightInd w:val="0"/>
              <w:snapToGrid w:val="0"/>
              <w:jc w:val="left"/>
              <w:rPr>
                <w:rFonts w:eastAsia="新宋体"/>
                <w:color w:val="000000" w:themeColor="text1"/>
                <w:szCs w:val="21"/>
                <w14:textFill>
                  <w14:solidFill>
                    <w14:schemeClr w14:val="tx1"/>
                  </w14:solidFill>
                </w14:textFill>
              </w:rPr>
            </w:pPr>
          </w:p>
          <w:p w14:paraId="79CEF2F9">
            <w:pPr>
              <w:adjustRightInd w:val="0"/>
              <w:snapToGrid w:val="0"/>
              <w:jc w:val="left"/>
              <w:rPr>
                <w:rFonts w:eastAsia="新宋体"/>
                <w:color w:val="000000" w:themeColor="text1"/>
                <w:szCs w:val="21"/>
                <w14:textFill>
                  <w14:solidFill>
                    <w14:schemeClr w14:val="tx1"/>
                  </w14:solidFill>
                </w14:textFill>
              </w:rPr>
            </w:pPr>
          </w:p>
          <w:p w14:paraId="6AB8E213">
            <w:pPr>
              <w:adjustRightInd w:val="0"/>
              <w:snapToGrid w:val="0"/>
              <w:jc w:val="left"/>
              <w:rPr>
                <w:rFonts w:eastAsia="新宋体"/>
                <w:color w:val="000000" w:themeColor="text1"/>
                <w:szCs w:val="21"/>
                <w14:textFill>
                  <w14:solidFill>
                    <w14:schemeClr w14:val="tx1"/>
                  </w14:solidFill>
                </w14:textFill>
              </w:rPr>
            </w:pPr>
          </w:p>
          <w:p w14:paraId="3117CF79">
            <w:pPr>
              <w:adjustRightInd w:val="0"/>
              <w:snapToGrid w:val="0"/>
              <w:jc w:val="left"/>
              <w:rPr>
                <w:rFonts w:eastAsia="新宋体"/>
                <w:color w:val="000000" w:themeColor="text1"/>
                <w:szCs w:val="21"/>
                <w14:textFill>
                  <w14:solidFill>
                    <w14:schemeClr w14:val="tx1"/>
                  </w14:solidFill>
                </w14:textFill>
              </w:rPr>
            </w:pPr>
          </w:p>
          <w:p w14:paraId="1FE271E5">
            <w:pPr>
              <w:adjustRightInd w:val="0"/>
              <w:snapToGrid w:val="0"/>
              <w:jc w:val="left"/>
              <w:rPr>
                <w:rFonts w:eastAsia="新宋体"/>
                <w:color w:val="000000" w:themeColor="text1"/>
                <w:szCs w:val="21"/>
                <w14:textFill>
                  <w14:solidFill>
                    <w14:schemeClr w14:val="tx1"/>
                  </w14:solidFill>
                </w14:textFill>
              </w:rPr>
            </w:pPr>
          </w:p>
          <w:p w14:paraId="7D8E81D2">
            <w:pPr>
              <w:adjustRightInd w:val="0"/>
              <w:snapToGrid w:val="0"/>
              <w:jc w:val="left"/>
              <w:rPr>
                <w:rFonts w:eastAsia="新宋体"/>
                <w:color w:val="000000" w:themeColor="text1"/>
                <w:szCs w:val="21"/>
                <w14:textFill>
                  <w14:solidFill>
                    <w14:schemeClr w14:val="tx1"/>
                  </w14:solidFill>
                </w14:textFill>
              </w:rPr>
            </w:pPr>
          </w:p>
          <w:p w14:paraId="136122ED">
            <w:pPr>
              <w:adjustRightInd w:val="0"/>
              <w:snapToGrid w:val="0"/>
              <w:jc w:val="left"/>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1、设置地面防渗层；</w:t>
            </w:r>
          </w:p>
          <w:p w14:paraId="108592DA">
            <w:pPr>
              <w:adjustRightInd w:val="0"/>
              <w:snapToGrid w:val="0"/>
              <w:jc w:val="left"/>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2、危险固废暂存库设置围堰；</w:t>
            </w:r>
          </w:p>
          <w:p w14:paraId="6F5F63E0">
            <w:pPr>
              <w:adjustRightInd w:val="0"/>
              <w:snapToGrid w:val="0"/>
              <w:jc w:val="left"/>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3、一般固废库应做好防雨淋、防渗漏、防扬尘等措施</w:t>
            </w:r>
          </w:p>
          <w:p w14:paraId="1CCA5970">
            <w:pPr>
              <w:adjustRightInd w:val="0"/>
              <w:snapToGrid w:val="0"/>
              <w:jc w:val="left"/>
              <w:rPr>
                <w:rFonts w:eastAsia="新宋体"/>
                <w:color w:val="000000" w:themeColor="text1"/>
                <w:szCs w:val="21"/>
                <w14:textFill>
                  <w14:solidFill>
                    <w14:schemeClr w14:val="tx1"/>
                  </w14:solidFill>
                </w14:textFill>
              </w:rPr>
            </w:pPr>
          </w:p>
          <w:p w14:paraId="3C38D93F">
            <w:pPr>
              <w:adjustRightInd w:val="0"/>
              <w:snapToGrid w:val="0"/>
              <w:jc w:val="left"/>
              <w:rPr>
                <w:rFonts w:eastAsia="新宋体"/>
                <w:color w:val="000000" w:themeColor="text1"/>
                <w:szCs w:val="21"/>
                <w14:textFill>
                  <w14:solidFill>
                    <w14:schemeClr w14:val="tx1"/>
                  </w14:solidFill>
                </w14:textFill>
              </w:rPr>
            </w:pPr>
          </w:p>
          <w:p w14:paraId="69D58B93">
            <w:pPr>
              <w:adjustRightInd w:val="0"/>
              <w:snapToGrid w:val="0"/>
              <w:jc w:val="left"/>
              <w:rPr>
                <w:rFonts w:eastAsia="新宋体"/>
                <w:color w:val="000000" w:themeColor="text1"/>
                <w:szCs w:val="21"/>
                <w14:textFill>
                  <w14:solidFill>
                    <w14:schemeClr w14:val="tx1"/>
                  </w14:solidFill>
                </w14:textFill>
              </w:rPr>
            </w:pPr>
          </w:p>
          <w:p w14:paraId="1E0007B1">
            <w:pPr>
              <w:adjustRightInd w:val="0"/>
              <w:snapToGrid w:val="0"/>
              <w:jc w:val="left"/>
              <w:rPr>
                <w:rFonts w:eastAsia="新宋体"/>
                <w:color w:val="000000" w:themeColor="text1"/>
                <w:szCs w:val="21"/>
                <w14:textFill>
                  <w14:solidFill>
                    <w14:schemeClr w14:val="tx1"/>
                  </w14:solidFill>
                </w14:textFill>
              </w:rPr>
            </w:pPr>
          </w:p>
          <w:p w14:paraId="1938BF23">
            <w:pPr>
              <w:adjustRightInd w:val="0"/>
              <w:snapToGrid w:val="0"/>
              <w:jc w:val="left"/>
              <w:rPr>
                <w:rFonts w:eastAsia="新宋体"/>
                <w:color w:val="000000" w:themeColor="text1"/>
                <w:szCs w:val="21"/>
                <w14:textFill>
                  <w14:solidFill>
                    <w14:schemeClr w14:val="tx1"/>
                  </w14:solidFill>
                </w14:textFill>
              </w:rPr>
            </w:pPr>
          </w:p>
          <w:p w14:paraId="502CC96C">
            <w:pPr>
              <w:adjustRightInd w:val="0"/>
              <w:snapToGrid w:val="0"/>
              <w:jc w:val="left"/>
              <w:rPr>
                <w:rFonts w:eastAsia="新宋体"/>
                <w:color w:val="000000" w:themeColor="text1"/>
                <w:szCs w:val="21"/>
                <w14:textFill>
                  <w14:solidFill>
                    <w14:schemeClr w14:val="tx1"/>
                  </w14:solidFill>
                </w14:textFill>
              </w:rPr>
            </w:pPr>
          </w:p>
          <w:p w14:paraId="3D306FB5">
            <w:pPr>
              <w:adjustRightInd w:val="0"/>
              <w:snapToGrid w:val="0"/>
              <w:jc w:val="left"/>
              <w:rPr>
                <w:rFonts w:eastAsia="新宋体"/>
                <w:color w:val="000000" w:themeColor="text1"/>
                <w:szCs w:val="21"/>
                <w14:textFill>
                  <w14:solidFill>
                    <w14:schemeClr w14:val="tx1"/>
                  </w14:solidFill>
                </w14:textFill>
              </w:rPr>
            </w:pPr>
          </w:p>
          <w:p w14:paraId="030CB240">
            <w:pPr>
              <w:adjustRightInd w:val="0"/>
              <w:snapToGrid w:val="0"/>
              <w:jc w:val="left"/>
              <w:rPr>
                <w:rFonts w:eastAsia="新宋体"/>
                <w:color w:val="000000" w:themeColor="text1"/>
                <w:szCs w:val="21"/>
                <w14:textFill>
                  <w14:solidFill>
                    <w14:schemeClr w14:val="tx1"/>
                  </w14:solidFill>
                </w14:textFill>
              </w:rPr>
            </w:pPr>
          </w:p>
          <w:p w14:paraId="55C45C8B">
            <w:pPr>
              <w:adjustRightInd w:val="0"/>
              <w:snapToGrid w:val="0"/>
              <w:jc w:val="left"/>
              <w:rPr>
                <w:rFonts w:eastAsia="新宋体"/>
                <w:color w:val="000000" w:themeColor="text1"/>
                <w:szCs w:val="21"/>
                <w14:textFill>
                  <w14:solidFill>
                    <w14:schemeClr w14:val="tx1"/>
                  </w14:solidFill>
                </w14:textFill>
              </w:rPr>
            </w:pPr>
          </w:p>
          <w:p w14:paraId="69A9A242">
            <w:pPr>
              <w:adjustRightInd w:val="0"/>
              <w:snapToGrid w:val="0"/>
              <w:jc w:val="left"/>
              <w:rPr>
                <w:rFonts w:eastAsia="新宋体"/>
                <w:color w:val="000000" w:themeColor="text1"/>
                <w:szCs w:val="21"/>
                <w14:textFill>
                  <w14:solidFill>
                    <w14:schemeClr w14:val="tx1"/>
                  </w14:solidFill>
                </w14:textFill>
              </w:rPr>
            </w:pPr>
          </w:p>
          <w:p w14:paraId="63F93694">
            <w:pPr>
              <w:adjustRightInd w:val="0"/>
              <w:snapToGrid w:val="0"/>
              <w:jc w:val="left"/>
              <w:rPr>
                <w:rFonts w:eastAsia="新宋体"/>
                <w:color w:val="000000" w:themeColor="text1"/>
                <w:szCs w:val="21"/>
                <w14:textFill>
                  <w14:solidFill>
                    <w14:schemeClr w14:val="tx1"/>
                  </w14:solidFill>
                </w14:textFill>
              </w:rPr>
            </w:pPr>
          </w:p>
          <w:p w14:paraId="7153E740">
            <w:pPr>
              <w:adjustRightInd w:val="0"/>
              <w:snapToGrid w:val="0"/>
              <w:jc w:val="left"/>
              <w:rPr>
                <w:rFonts w:eastAsia="新宋体"/>
                <w:color w:val="000000" w:themeColor="text1"/>
                <w:szCs w:val="21"/>
                <w14:textFill>
                  <w14:solidFill>
                    <w14:schemeClr w14:val="tx1"/>
                  </w14:solidFill>
                </w14:textFill>
              </w:rPr>
            </w:pPr>
          </w:p>
          <w:p w14:paraId="11D231C5">
            <w:pPr>
              <w:adjustRightInd w:val="0"/>
              <w:snapToGrid w:val="0"/>
              <w:jc w:val="left"/>
              <w:rPr>
                <w:rFonts w:eastAsia="新宋体"/>
                <w:color w:val="000000" w:themeColor="text1"/>
                <w:szCs w:val="21"/>
                <w14:textFill>
                  <w14:solidFill>
                    <w14:schemeClr w14:val="tx1"/>
                  </w14:solidFill>
                </w14:textFill>
              </w:rPr>
            </w:pPr>
          </w:p>
          <w:p w14:paraId="7B526BAC">
            <w:pPr>
              <w:adjustRightInd w:val="0"/>
              <w:snapToGrid w:val="0"/>
              <w:jc w:val="left"/>
              <w:rPr>
                <w:rFonts w:eastAsia="新宋体"/>
                <w:color w:val="000000" w:themeColor="text1"/>
                <w:szCs w:val="21"/>
                <w14:textFill>
                  <w14:solidFill>
                    <w14:schemeClr w14:val="tx1"/>
                  </w14:solidFill>
                </w14:textFill>
              </w:rPr>
            </w:pPr>
          </w:p>
          <w:p w14:paraId="37DDEAB9">
            <w:pPr>
              <w:adjustRightInd w:val="0"/>
              <w:snapToGrid w:val="0"/>
              <w:jc w:val="left"/>
              <w:rPr>
                <w:rFonts w:eastAsia="新宋体"/>
                <w:color w:val="000000" w:themeColor="text1"/>
                <w:szCs w:val="21"/>
                <w14:textFill>
                  <w14:solidFill>
                    <w14:schemeClr w14:val="tx1"/>
                  </w14:solidFill>
                </w14:textFill>
              </w:rPr>
            </w:pPr>
          </w:p>
          <w:p w14:paraId="44FEFD2A">
            <w:pPr>
              <w:adjustRightInd w:val="0"/>
              <w:snapToGrid w:val="0"/>
              <w:jc w:val="left"/>
              <w:rPr>
                <w:rFonts w:eastAsia="新宋体"/>
                <w:color w:val="000000" w:themeColor="text1"/>
                <w:szCs w:val="21"/>
                <w14:textFill>
                  <w14:solidFill>
                    <w14:schemeClr w14:val="tx1"/>
                  </w14:solidFill>
                </w14:textFill>
              </w:rPr>
            </w:pPr>
          </w:p>
          <w:p w14:paraId="789A8596">
            <w:pPr>
              <w:adjustRightInd w:val="0"/>
              <w:snapToGrid w:val="0"/>
              <w:jc w:val="left"/>
              <w:rPr>
                <w:rFonts w:eastAsia="新宋体"/>
                <w:color w:val="000000" w:themeColor="text1"/>
                <w:szCs w:val="21"/>
                <w14:textFill>
                  <w14:solidFill>
                    <w14:schemeClr w14:val="tx1"/>
                  </w14:solidFill>
                </w14:textFill>
              </w:rPr>
            </w:pPr>
          </w:p>
          <w:p w14:paraId="3BC9DC10">
            <w:pPr>
              <w:adjustRightInd w:val="0"/>
              <w:snapToGrid w:val="0"/>
              <w:jc w:val="left"/>
              <w:rPr>
                <w:rFonts w:eastAsia="新宋体"/>
                <w:color w:val="000000" w:themeColor="text1"/>
                <w:szCs w:val="21"/>
                <w14:textFill>
                  <w14:solidFill>
                    <w14:schemeClr w14:val="tx1"/>
                  </w14:solidFill>
                </w14:textFill>
              </w:rPr>
            </w:pPr>
          </w:p>
          <w:p w14:paraId="50ED8C16">
            <w:pPr>
              <w:adjustRightInd w:val="0"/>
              <w:snapToGrid w:val="0"/>
              <w:jc w:val="left"/>
              <w:rPr>
                <w:rFonts w:eastAsia="新宋体"/>
                <w:color w:val="000000" w:themeColor="text1"/>
                <w:szCs w:val="21"/>
                <w14:textFill>
                  <w14:solidFill>
                    <w14:schemeClr w14:val="tx1"/>
                  </w14:solidFill>
                </w14:textFill>
              </w:rPr>
            </w:pPr>
          </w:p>
          <w:p w14:paraId="3818CF81">
            <w:pPr>
              <w:adjustRightInd w:val="0"/>
              <w:snapToGrid w:val="0"/>
              <w:jc w:val="left"/>
              <w:rPr>
                <w:rFonts w:eastAsia="新宋体"/>
                <w:color w:val="000000" w:themeColor="text1"/>
                <w:szCs w:val="21"/>
                <w14:textFill>
                  <w14:solidFill>
                    <w14:schemeClr w14:val="tx1"/>
                  </w14:solidFill>
                </w14:textFill>
              </w:rPr>
            </w:pPr>
          </w:p>
          <w:p w14:paraId="07F1BF79">
            <w:pPr>
              <w:adjustRightInd w:val="0"/>
              <w:snapToGrid w:val="0"/>
              <w:jc w:val="left"/>
              <w:rPr>
                <w:rFonts w:eastAsia="新宋体"/>
                <w:color w:val="000000" w:themeColor="text1"/>
                <w:szCs w:val="21"/>
                <w14:textFill>
                  <w14:solidFill>
                    <w14:schemeClr w14:val="tx1"/>
                  </w14:solidFill>
                </w14:textFill>
              </w:rPr>
            </w:pPr>
          </w:p>
          <w:p w14:paraId="433C0F6A">
            <w:pPr>
              <w:adjustRightInd w:val="0"/>
              <w:snapToGrid w:val="0"/>
              <w:jc w:val="left"/>
              <w:rPr>
                <w:rFonts w:eastAsia="新宋体"/>
                <w:color w:val="000000" w:themeColor="text1"/>
                <w:szCs w:val="21"/>
                <w14:textFill>
                  <w14:solidFill>
                    <w14:schemeClr w14:val="tx1"/>
                  </w14:solidFill>
                </w14:textFill>
              </w:rPr>
            </w:pPr>
          </w:p>
          <w:p w14:paraId="343F2580">
            <w:pPr>
              <w:adjustRightInd w:val="0"/>
              <w:snapToGrid w:val="0"/>
              <w:jc w:val="left"/>
              <w:rPr>
                <w:rFonts w:eastAsia="新宋体"/>
                <w:color w:val="000000" w:themeColor="text1"/>
                <w:szCs w:val="21"/>
                <w14:textFill>
                  <w14:solidFill>
                    <w14:schemeClr w14:val="tx1"/>
                  </w14:solidFill>
                </w14:textFill>
              </w:rPr>
            </w:pPr>
          </w:p>
        </w:tc>
      </w:tr>
      <w:tr w14:paraId="407F5AC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286" w:hRule="atLeast"/>
          <w:jc w:val="center"/>
        </w:trPr>
        <w:tc>
          <w:tcPr>
            <w:tcW w:w="953" w:type="pct"/>
            <w:tcBorders>
              <w:top w:val="single" w:color="auto" w:sz="12" w:space="0"/>
              <w:left w:val="single" w:color="auto" w:sz="12" w:space="0"/>
              <w:bottom w:val="single" w:color="auto" w:sz="12" w:space="0"/>
              <w:right w:val="single" w:color="auto" w:sz="12" w:space="0"/>
            </w:tcBorders>
            <w:vAlign w:val="center"/>
          </w:tcPr>
          <w:p w14:paraId="72D532AD">
            <w:pPr>
              <w:adjustRightInd w:val="0"/>
              <w:snapToGrid w:val="0"/>
              <w:jc w:val="center"/>
              <w:rPr>
                <w:rFonts w:eastAsia="新宋体"/>
                <w:b/>
                <w:bCs/>
                <w:color w:val="000000" w:themeColor="text1"/>
                <w:sz w:val="24"/>
                <w14:textFill>
                  <w14:solidFill>
                    <w14:schemeClr w14:val="tx1"/>
                  </w14:solidFill>
                </w14:textFill>
              </w:rPr>
            </w:pPr>
            <w:r>
              <w:rPr>
                <w:rFonts w:eastAsia="新宋体"/>
                <w:b/>
                <w:bCs/>
                <w:color w:val="000000" w:themeColor="text1"/>
                <w:sz w:val="24"/>
                <w14:textFill>
                  <w14:solidFill>
                    <w14:schemeClr w14:val="tx1"/>
                  </w14:solidFill>
                </w14:textFill>
              </w:rPr>
              <w:t>其他环境</w:t>
            </w:r>
          </w:p>
          <w:p w14:paraId="78060643">
            <w:pPr>
              <w:adjustRightInd w:val="0"/>
              <w:snapToGrid w:val="0"/>
              <w:jc w:val="center"/>
              <w:rPr>
                <w:rFonts w:eastAsia="新宋体"/>
                <w:color w:val="000000" w:themeColor="text1"/>
                <w:spacing w:val="-8"/>
                <w:sz w:val="24"/>
                <w14:textFill>
                  <w14:solidFill>
                    <w14:schemeClr w14:val="tx1"/>
                  </w14:solidFill>
                </w14:textFill>
              </w:rPr>
            </w:pPr>
            <w:r>
              <w:rPr>
                <w:rFonts w:eastAsia="新宋体"/>
                <w:b/>
                <w:bCs/>
                <w:color w:val="000000" w:themeColor="text1"/>
                <w:sz w:val="24"/>
                <w14:textFill>
                  <w14:solidFill>
                    <w14:schemeClr w14:val="tx1"/>
                  </w14:solidFill>
                </w14:textFill>
              </w:rPr>
              <w:t>管理要求</w:t>
            </w:r>
          </w:p>
        </w:tc>
        <w:tc>
          <w:tcPr>
            <w:tcW w:w="4046" w:type="pct"/>
            <w:gridSpan w:val="4"/>
            <w:tcBorders>
              <w:top w:val="single" w:color="auto" w:sz="12" w:space="0"/>
              <w:left w:val="single" w:color="auto" w:sz="12" w:space="0"/>
              <w:bottom w:val="single" w:color="auto" w:sz="12" w:space="0"/>
              <w:right w:val="single" w:color="auto" w:sz="12" w:space="0"/>
            </w:tcBorders>
            <w:vAlign w:val="center"/>
          </w:tcPr>
          <w:p w14:paraId="1A2B3C71">
            <w:pPr>
              <w:adjustRightInd w:val="0"/>
              <w:snapToGrid w:val="0"/>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1、根据相关排污许可核发技术规范及时完成排污许可申报</w:t>
            </w:r>
          </w:p>
          <w:p w14:paraId="07BA7786">
            <w:pPr>
              <w:adjustRightInd w:val="0"/>
              <w:snapToGrid w:val="0"/>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2、实行自行监测和定期报告制度</w:t>
            </w:r>
          </w:p>
          <w:p w14:paraId="1787F333">
            <w:pPr>
              <w:adjustRightInd w:val="0"/>
              <w:snapToGrid w:val="0"/>
              <w:spacing w:line="360"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3、排污口规范化管理要求：</w:t>
            </w:r>
          </w:p>
          <w:p w14:paraId="5589A2C0">
            <w:pPr>
              <w:spacing w:line="360" w:lineRule="auto"/>
              <w:ind w:firstLine="480"/>
              <w:rPr>
                <w:color w:val="000000" w:themeColor="text1"/>
                <w:szCs w:val="21"/>
                <w14:textFill>
                  <w14:solidFill>
                    <w14:schemeClr w14:val="tx1"/>
                  </w14:solidFill>
                </w14:textFill>
              </w:rPr>
            </w:pPr>
            <w:r>
              <w:rPr>
                <w:color w:val="000000" w:themeColor="text1"/>
                <w:szCs w:val="21"/>
                <w14:textFill>
                  <w14:solidFill>
                    <w14:schemeClr w14:val="tx1"/>
                  </w14:solidFill>
                </w14:textFill>
              </w:rPr>
              <w:t>废水排放口、固定噪声源、固体废物贮存和排气筒必须按照国家和江西省的有关规定进行建设，应符合“一明显、二合理、三便于”的要求，即环保标志明显，排污口设置合理，便于采集样品、便于监测计量、便于公众参与和监督管理。同时要求按照国家环保总局制定的《环境保护图形标志实施细则（试行）》的规定，设置与排污口相应的图形标志牌。</w:t>
            </w:r>
          </w:p>
          <w:p w14:paraId="1C357492">
            <w:pPr>
              <w:spacing w:line="360" w:lineRule="auto"/>
              <w:ind w:firstLine="420" w:firstLineChars="200"/>
              <w:rPr>
                <w:color w:val="000000" w:themeColor="text1"/>
                <w:szCs w:val="21"/>
                <w14:textFill>
                  <w14:solidFill>
                    <w14:schemeClr w14:val="tx1"/>
                  </w14:solidFill>
                </w14:textFill>
              </w:rPr>
            </w:pPr>
            <w:r>
              <w:rPr>
                <w:color w:val="000000" w:themeColor="text1"/>
                <w:szCs w:val="21"/>
                <w14:textFill>
                  <w14:solidFill>
                    <w14:schemeClr w14:val="tx1"/>
                  </w14:solidFill>
                </w14:textFill>
              </w:rPr>
              <w:t>（1）排气筒设置取样口，并具备采样监测条件，废水排放口附近树立图形标志牌。</w:t>
            </w:r>
          </w:p>
          <w:p w14:paraId="49C5D031">
            <w:pPr>
              <w:snapToGrid w:val="0"/>
              <w:spacing w:line="360" w:lineRule="auto"/>
              <w:ind w:firstLine="420" w:firstLineChars="200"/>
              <w:rPr>
                <w:color w:val="000000" w:themeColor="text1"/>
                <w:szCs w:val="21"/>
                <w14:textFill>
                  <w14:solidFill>
                    <w14:schemeClr w14:val="tx1"/>
                  </w14:solidFill>
                </w14:textFill>
              </w:rPr>
            </w:pPr>
            <w:r>
              <w:rPr>
                <w:color w:val="000000" w:themeColor="text1"/>
                <w:szCs w:val="21"/>
                <w14:textFill>
                  <w14:solidFill>
                    <w14:schemeClr w14:val="tx1"/>
                  </w14:solidFill>
                </w14:textFill>
              </w:rPr>
              <w:t>（2）排污口管理。建设单位应在各个排污口处树立标志牌，并如实填写《中华人民共和国规范化排污口标记登记证》，由</w:t>
            </w:r>
            <w:r>
              <w:rPr>
                <w:rFonts w:hint="eastAsia"/>
                <w:color w:val="000000" w:themeColor="text1"/>
                <w:szCs w:val="21"/>
                <w14:textFill>
                  <w14:solidFill>
                    <w14:schemeClr w14:val="tx1"/>
                  </w14:solidFill>
                </w14:textFill>
              </w:rPr>
              <w:t>生态环境</w:t>
            </w:r>
            <w:r>
              <w:rPr>
                <w:color w:val="000000" w:themeColor="text1"/>
                <w:szCs w:val="21"/>
                <w14:textFill>
                  <w14:solidFill>
                    <w14:schemeClr w14:val="tx1"/>
                  </w14:solidFill>
                </w14:textFill>
              </w:rPr>
              <w:t>部门签发。</w:t>
            </w:r>
            <w:r>
              <w:rPr>
                <w:rFonts w:hint="eastAsia"/>
                <w:color w:val="000000" w:themeColor="text1"/>
                <w:szCs w:val="21"/>
                <w14:textFill>
                  <w14:solidFill>
                    <w14:schemeClr w14:val="tx1"/>
                  </w14:solidFill>
                </w14:textFill>
              </w:rPr>
              <w:t>生态环境</w:t>
            </w:r>
            <w:r>
              <w:rPr>
                <w:color w:val="000000" w:themeColor="text1"/>
                <w:szCs w:val="21"/>
                <w14:textFill>
                  <w14:solidFill>
                    <w14:schemeClr w14:val="tx1"/>
                  </w14:solidFill>
                </w14:textFill>
              </w:rPr>
              <w:t>主管部门和建设单位可分别按以下内容建立排污口管理的专门档案：排污口性质和编号；位置；排放主要污染物种类、数量、浓度；排放去向；达标情况；治理设施运行情况及整改意见。</w:t>
            </w:r>
          </w:p>
          <w:p w14:paraId="44D0C8C2">
            <w:pPr>
              <w:spacing w:line="360" w:lineRule="auto"/>
              <w:ind w:firstLine="480"/>
              <w:rPr>
                <w:color w:val="000000" w:themeColor="text1"/>
                <w:szCs w:val="21"/>
                <w14:textFill>
                  <w14:solidFill>
                    <w14:schemeClr w14:val="tx1"/>
                  </w14:solidFill>
                </w14:textFill>
              </w:rPr>
            </w:pPr>
            <w:r>
              <w:rPr>
                <w:color w:val="000000" w:themeColor="text1"/>
                <w:szCs w:val="21"/>
                <w14:textFill>
                  <w14:solidFill>
                    <w14:schemeClr w14:val="tx1"/>
                  </w14:solidFill>
                </w14:textFill>
              </w:rPr>
              <w:t>在厂区的废气排放源、固体废物贮存处置场应设置环境保护图形标志，图形符号分为提示图形和警告图形符号两种，分别按GB15562.1-1995、GB15562.2-1995</w:t>
            </w:r>
            <w:r>
              <w:rPr>
                <w:rFonts w:hint="eastAsia"/>
                <w:color w:val="000000" w:themeColor="text1"/>
                <w:szCs w:val="21"/>
                <w14:textFill>
                  <w14:solidFill>
                    <w14:schemeClr w14:val="tx1"/>
                  </w14:solidFill>
                </w14:textFill>
              </w:rPr>
              <w:t>及</w:t>
            </w:r>
            <w:r>
              <w:rPr>
                <w:rFonts w:hint="eastAsia"/>
                <w:color w:val="000000" w:themeColor="text1"/>
                <w14:textFill>
                  <w14:solidFill>
                    <w14:schemeClr w14:val="tx1"/>
                  </w14:solidFill>
                </w14:textFill>
              </w:rPr>
              <w:t>2023年修改单</w:t>
            </w:r>
            <w:r>
              <w:rPr>
                <w:color w:val="000000" w:themeColor="text1"/>
                <w:szCs w:val="21"/>
                <w14:textFill>
                  <w14:solidFill>
                    <w14:schemeClr w14:val="tx1"/>
                  </w14:solidFill>
                </w14:textFill>
              </w:rPr>
              <w:t>执行。</w:t>
            </w:r>
            <w:r>
              <w:rPr>
                <w:rFonts w:hint="eastAsia"/>
                <w:color w:val="000000" w:themeColor="text1"/>
                <w:szCs w:val="21"/>
                <w14:textFill>
                  <w14:solidFill>
                    <w14:schemeClr w14:val="tx1"/>
                  </w14:solidFill>
                </w14:textFill>
              </w:rPr>
              <w:t>危险特性警示图形按</w:t>
            </w:r>
            <w:r>
              <w:rPr>
                <w:color w:val="000000" w:themeColor="text1"/>
                <w14:textFill>
                  <w14:solidFill>
                    <w14:schemeClr w14:val="tx1"/>
                  </w14:solidFill>
                </w14:textFill>
              </w:rPr>
              <w:t>HJ1276-2022</w:t>
            </w:r>
            <w:r>
              <w:rPr>
                <w:rFonts w:hint="eastAsia"/>
                <w:color w:val="000000" w:themeColor="text1"/>
                <w14:textFill>
                  <w14:solidFill>
                    <w14:schemeClr w14:val="tx1"/>
                  </w14:solidFill>
                </w14:textFill>
              </w:rPr>
              <w:t>执行。</w:t>
            </w:r>
            <w:r>
              <w:rPr>
                <w:color w:val="000000" w:themeColor="text1"/>
                <w:szCs w:val="21"/>
                <w14:textFill>
                  <w14:solidFill>
                    <w14:schemeClr w14:val="tx1"/>
                  </w14:solidFill>
                </w14:textFill>
              </w:rPr>
              <w:t>环境保护图形标志的形状及颜色见表5-1，环境保护图形符号见表5-2。</w:t>
            </w:r>
            <w:r>
              <w:rPr>
                <w:rFonts w:hint="eastAsia"/>
                <w:color w:val="000000" w:themeColor="text1"/>
                <w:szCs w:val="21"/>
                <w14:textFill>
                  <w14:solidFill>
                    <w14:schemeClr w14:val="tx1"/>
                  </w14:solidFill>
                </w14:textFill>
              </w:rPr>
              <w:t>危险特性警示图形见表5</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w:t>
            </w:r>
          </w:p>
          <w:p w14:paraId="18B295F7">
            <w:pPr>
              <w:keepNext/>
              <w:autoSpaceDE w:val="0"/>
              <w:autoSpaceDN w:val="0"/>
              <w:adjustRightInd w:val="0"/>
              <w:jc w:val="center"/>
              <w:textAlignment w:val="baseline"/>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表5-1  环境保护图形标志的形状及颜色表</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2852"/>
              <w:gridCol w:w="1642"/>
              <w:gridCol w:w="1387"/>
              <w:gridCol w:w="1849"/>
            </w:tblGrid>
            <w:tr w14:paraId="78727FE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6" w:hRule="atLeast"/>
              </w:trPr>
              <w:tc>
                <w:tcPr>
                  <w:tcW w:w="1845" w:type="pct"/>
                  <w:vAlign w:val="center"/>
                </w:tcPr>
                <w:p w14:paraId="162FF641">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标志名称</w:t>
                  </w:r>
                </w:p>
              </w:tc>
              <w:tc>
                <w:tcPr>
                  <w:tcW w:w="1062" w:type="pct"/>
                  <w:vAlign w:val="center"/>
                </w:tcPr>
                <w:p w14:paraId="4906E711">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形状</w:t>
                  </w:r>
                </w:p>
              </w:tc>
              <w:tc>
                <w:tcPr>
                  <w:tcW w:w="897" w:type="pct"/>
                  <w:vAlign w:val="center"/>
                </w:tcPr>
                <w:p w14:paraId="28DB4DA5">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背景颜色</w:t>
                  </w:r>
                </w:p>
              </w:tc>
              <w:tc>
                <w:tcPr>
                  <w:tcW w:w="1196" w:type="pct"/>
                  <w:vAlign w:val="center"/>
                </w:tcPr>
                <w:p w14:paraId="003E7DF3">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图形颜色</w:t>
                  </w:r>
                </w:p>
              </w:tc>
            </w:tr>
            <w:tr w14:paraId="52B52054">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87" w:hRule="atLeast"/>
              </w:trPr>
              <w:tc>
                <w:tcPr>
                  <w:tcW w:w="1845" w:type="pct"/>
                  <w:vAlign w:val="center"/>
                </w:tcPr>
                <w:p w14:paraId="5BA2D78E">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警告标志</w:t>
                  </w:r>
                </w:p>
              </w:tc>
              <w:tc>
                <w:tcPr>
                  <w:tcW w:w="1062" w:type="pct"/>
                  <w:vAlign w:val="center"/>
                </w:tcPr>
                <w:p w14:paraId="113441D3">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三角形边框</w:t>
                  </w:r>
                </w:p>
              </w:tc>
              <w:tc>
                <w:tcPr>
                  <w:tcW w:w="897" w:type="pct"/>
                  <w:vAlign w:val="center"/>
                </w:tcPr>
                <w:p w14:paraId="1CCDE9F6">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黄色</w:t>
                  </w:r>
                </w:p>
              </w:tc>
              <w:tc>
                <w:tcPr>
                  <w:tcW w:w="1196" w:type="pct"/>
                  <w:vAlign w:val="center"/>
                </w:tcPr>
                <w:p w14:paraId="22953F96">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黑色</w:t>
                  </w:r>
                </w:p>
              </w:tc>
            </w:tr>
            <w:tr w14:paraId="61E65E6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67" w:hRule="atLeast"/>
              </w:trPr>
              <w:tc>
                <w:tcPr>
                  <w:tcW w:w="1845" w:type="pct"/>
                  <w:vAlign w:val="center"/>
                </w:tcPr>
                <w:p w14:paraId="09A61142">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提示标志</w:t>
                  </w:r>
                </w:p>
              </w:tc>
              <w:tc>
                <w:tcPr>
                  <w:tcW w:w="1062" w:type="pct"/>
                  <w:vAlign w:val="center"/>
                </w:tcPr>
                <w:p w14:paraId="42F0C32E">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正方形边框</w:t>
                  </w:r>
                </w:p>
              </w:tc>
              <w:tc>
                <w:tcPr>
                  <w:tcW w:w="897" w:type="pct"/>
                  <w:vAlign w:val="center"/>
                </w:tcPr>
                <w:p w14:paraId="297C8A03">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绿色</w:t>
                  </w:r>
                </w:p>
              </w:tc>
              <w:tc>
                <w:tcPr>
                  <w:tcW w:w="1196" w:type="pct"/>
                  <w:vAlign w:val="center"/>
                </w:tcPr>
                <w:p w14:paraId="29C767D0">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白色</w:t>
                  </w:r>
                </w:p>
              </w:tc>
            </w:tr>
          </w:tbl>
          <w:p w14:paraId="5DC11020">
            <w:pPr>
              <w:keepNext/>
              <w:autoSpaceDE w:val="0"/>
              <w:autoSpaceDN w:val="0"/>
              <w:adjustRightInd w:val="0"/>
              <w:jc w:val="center"/>
              <w:textAlignment w:val="baseline"/>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表5-2   环境保护图形符号一览表</w:t>
            </w:r>
          </w:p>
          <w:tbl>
            <w:tblPr>
              <w:tblStyle w:val="45"/>
              <w:tblW w:w="5000" w:type="pct"/>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747"/>
              <w:gridCol w:w="1787"/>
              <w:gridCol w:w="1911"/>
              <w:gridCol w:w="711"/>
              <w:gridCol w:w="2574"/>
            </w:tblGrid>
            <w:tr w14:paraId="525AD10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23" w:hRule="atLeast"/>
                <w:jc w:val="center"/>
              </w:trPr>
              <w:tc>
                <w:tcPr>
                  <w:tcW w:w="483" w:type="pct"/>
                  <w:vAlign w:val="center"/>
                </w:tcPr>
                <w:p w14:paraId="529492FC">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序号</w:t>
                  </w:r>
                </w:p>
              </w:tc>
              <w:tc>
                <w:tcPr>
                  <w:tcW w:w="1156" w:type="pct"/>
                  <w:vAlign w:val="center"/>
                </w:tcPr>
                <w:p w14:paraId="28D7B4F3">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提示图形符号</w:t>
                  </w:r>
                </w:p>
              </w:tc>
              <w:tc>
                <w:tcPr>
                  <w:tcW w:w="1236" w:type="pct"/>
                  <w:vAlign w:val="center"/>
                </w:tcPr>
                <w:p w14:paraId="76459B3A">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警告图形符号</w:t>
                  </w:r>
                </w:p>
              </w:tc>
              <w:tc>
                <w:tcPr>
                  <w:tcW w:w="460" w:type="pct"/>
                  <w:vAlign w:val="center"/>
                </w:tcPr>
                <w:p w14:paraId="6760EED0">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名称</w:t>
                  </w:r>
                </w:p>
              </w:tc>
              <w:tc>
                <w:tcPr>
                  <w:tcW w:w="1665" w:type="pct"/>
                  <w:vAlign w:val="center"/>
                </w:tcPr>
                <w:p w14:paraId="0CB68D63">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功能</w:t>
                  </w:r>
                </w:p>
              </w:tc>
            </w:tr>
            <w:tr w14:paraId="2E475C8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972" w:hRule="atLeast"/>
                <w:jc w:val="center"/>
              </w:trPr>
              <w:tc>
                <w:tcPr>
                  <w:tcW w:w="483" w:type="pct"/>
                  <w:vAlign w:val="center"/>
                </w:tcPr>
                <w:p w14:paraId="0112C182">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p>
              </w:tc>
              <w:tc>
                <w:tcPr>
                  <w:tcW w:w="1156" w:type="pct"/>
                  <w:vAlign w:val="center"/>
                </w:tcPr>
                <w:p w14:paraId="47964D47">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drawing>
                      <wp:inline distT="0" distB="0" distL="0" distR="0">
                        <wp:extent cx="861060" cy="609600"/>
                        <wp:effectExtent l="0" t="0" r="0" b="0"/>
                        <wp:docPr id="15" name="图片 32" descr="C:\Users\ADMINI~1\AppData\Local\Temp\ksohtml\wps320.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2" descr="C:\Users\ADMINI~1\AppData\Local\Temp\ksohtml\wps320.tmp.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861060" cy="609600"/>
                                </a:xfrm>
                                <a:prstGeom prst="rect">
                                  <a:avLst/>
                                </a:prstGeom>
                                <a:noFill/>
                                <a:ln>
                                  <a:noFill/>
                                </a:ln>
                              </pic:spPr>
                            </pic:pic>
                          </a:graphicData>
                        </a:graphic>
                      </wp:inline>
                    </w:drawing>
                  </w:r>
                </w:p>
              </w:tc>
              <w:tc>
                <w:tcPr>
                  <w:tcW w:w="1236" w:type="pct"/>
                  <w:vAlign w:val="center"/>
                </w:tcPr>
                <w:p w14:paraId="6C1F6758">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drawing>
                      <wp:inline distT="0" distB="0" distL="0" distR="0">
                        <wp:extent cx="883920" cy="609600"/>
                        <wp:effectExtent l="0" t="0" r="0" b="0"/>
                        <wp:docPr id="16" name="图片 33" descr="C:\Users\ADMINI~1\AppData\Local\Temp\ksohtml\wps321.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3" descr="C:\Users\ADMINI~1\AppData\Local\Temp\ksohtml\wps321.tmp.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883920" cy="609600"/>
                                </a:xfrm>
                                <a:prstGeom prst="rect">
                                  <a:avLst/>
                                </a:prstGeom>
                                <a:noFill/>
                                <a:ln>
                                  <a:noFill/>
                                </a:ln>
                              </pic:spPr>
                            </pic:pic>
                          </a:graphicData>
                        </a:graphic>
                      </wp:inline>
                    </w:drawing>
                  </w:r>
                </w:p>
              </w:tc>
              <w:tc>
                <w:tcPr>
                  <w:tcW w:w="460" w:type="pct"/>
                  <w:vAlign w:val="center"/>
                </w:tcPr>
                <w:p w14:paraId="0BCC9C60">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废气排放口</w:t>
                  </w:r>
                </w:p>
              </w:tc>
              <w:tc>
                <w:tcPr>
                  <w:tcW w:w="1665" w:type="pct"/>
                  <w:vAlign w:val="center"/>
                </w:tcPr>
                <w:p w14:paraId="4397B6A9">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表示废气向大气环境排放</w:t>
                  </w:r>
                </w:p>
              </w:tc>
            </w:tr>
            <w:tr w14:paraId="5240813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972" w:hRule="atLeast"/>
                <w:jc w:val="center"/>
              </w:trPr>
              <w:tc>
                <w:tcPr>
                  <w:tcW w:w="483" w:type="pct"/>
                  <w:vAlign w:val="center"/>
                </w:tcPr>
                <w:p w14:paraId="02B61099">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p>
              </w:tc>
              <w:tc>
                <w:tcPr>
                  <w:tcW w:w="1156" w:type="pct"/>
                  <w:vAlign w:val="center"/>
                </w:tcPr>
                <w:p w14:paraId="1DA777BB">
                  <w:pPr>
                    <w:spacing w:after="12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drawing>
                      <wp:inline distT="0" distB="0" distL="0" distR="0">
                        <wp:extent cx="822960" cy="693420"/>
                        <wp:effectExtent l="0" t="0" r="0" b="0"/>
                        <wp:docPr id="17" name="图片 34" descr="说明: 说明: 说明: 1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4" descr="说明: 说明: 说明: 1300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822960" cy="693420"/>
                                </a:xfrm>
                                <a:prstGeom prst="rect">
                                  <a:avLst/>
                                </a:prstGeom>
                                <a:noFill/>
                                <a:ln>
                                  <a:noFill/>
                                </a:ln>
                              </pic:spPr>
                            </pic:pic>
                          </a:graphicData>
                        </a:graphic>
                      </wp:inline>
                    </w:drawing>
                  </w:r>
                </w:p>
              </w:tc>
              <w:tc>
                <w:tcPr>
                  <w:tcW w:w="1236" w:type="pct"/>
                  <w:vAlign w:val="center"/>
                </w:tcPr>
                <w:p w14:paraId="3CA8F29D">
                  <w:pPr>
                    <w:spacing w:after="12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drawing>
                      <wp:inline distT="0" distB="0" distL="0" distR="0">
                        <wp:extent cx="762000" cy="769620"/>
                        <wp:effectExtent l="0" t="0" r="0" b="0"/>
                        <wp:docPr id="18" name="图片 35" descr="说明: 说明: 说明: 1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5" descr="说明: 说明: 说明: 1300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762000" cy="769620"/>
                                </a:xfrm>
                                <a:prstGeom prst="rect">
                                  <a:avLst/>
                                </a:prstGeom>
                                <a:noFill/>
                                <a:ln>
                                  <a:noFill/>
                                </a:ln>
                              </pic:spPr>
                            </pic:pic>
                          </a:graphicData>
                        </a:graphic>
                      </wp:inline>
                    </w:drawing>
                  </w:r>
                </w:p>
              </w:tc>
              <w:tc>
                <w:tcPr>
                  <w:tcW w:w="460" w:type="pct"/>
                  <w:vAlign w:val="center"/>
                </w:tcPr>
                <w:p w14:paraId="38704BED">
                  <w:pPr>
                    <w:spacing w:after="12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废水排放口</w:t>
                  </w:r>
                </w:p>
              </w:tc>
              <w:tc>
                <w:tcPr>
                  <w:tcW w:w="1665" w:type="pct"/>
                  <w:vAlign w:val="center"/>
                </w:tcPr>
                <w:p w14:paraId="471D833C">
                  <w:pPr>
                    <w:spacing w:after="12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表示废水向水体排放</w:t>
                  </w:r>
                </w:p>
              </w:tc>
            </w:tr>
            <w:tr w14:paraId="28CB6C7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368" w:hRule="atLeast"/>
                <w:jc w:val="center"/>
              </w:trPr>
              <w:tc>
                <w:tcPr>
                  <w:tcW w:w="483" w:type="pct"/>
                  <w:vAlign w:val="center"/>
                </w:tcPr>
                <w:p w14:paraId="0FAA14D1">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w:t>
                  </w:r>
                </w:p>
              </w:tc>
              <w:tc>
                <w:tcPr>
                  <w:tcW w:w="1156" w:type="pct"/>
                  <w:vAlign w:val="center"/>
                </w:tcPr>
                <w:p w14:paraId="0AED56BE">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drawing>
                      <wp:inline distT="0" distB="0" distL="0" distR="0">
                        <wp:extent cx="861060" cy="861060"/>
                        <wp:effectExtent l="0" t="0" r="0" b="0"/>
                        <wp:docPr id="19" name="图片 36" descr="C:\Users\ADMINI~1\AppData\Local\Temp\ksohtml\wps322.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6" descr="C:\Users\ADMINI~1\AppData\Local\Temp\ksohtml\wps322.tmp.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861060" cy="861060"/>
                                </a:xfrm>
                                <a:prstGeom prst="rect">
                                  <a:avLst/>
                                </a:prstGeom>
                                <a:noFill/>
                                <a:ln>
                                  <a:noFill/>
                                </a:ln>
                              </pic:spPr>
                            </pic:pic>
                          </a:graphicData>
                        </a:graphic>
                      </wp:inline>
                    </w:drawing>
                  </w:r>
                </w:p>
              </w:tc>
              <w:tc>
                <w:tcPr>
                  <w:tcW w:w="1236" w:type="pct"/>
                  <w:vAlign w:val="center"/>
                </w:tcPr>
                <w:p w14:paraId="4E256F12">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drawing>
                      <wp:inline distT="0" distB="0" distL="0" distR="0">
                        <wp:extent cx="914400" cy="861060"/>
                        <wp:effectExtent l="0" t="0" r="0" b="0"/>
                        <wp:docPr id="20" name="图片 37" descr="C:\Users\ADMINI~1\AppData\Local\Temp\ksohtml\wps323.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7" descr="C:\Users\ADMINI~1\AppData\Local\Temp\ksohtml\wps323.tmp.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914400" cy="861060"/>
                                </a:xfrm>
                                <a:prstGeom prst="rect">
                                  <a:avLst/>
                                </a:prstGeom>
                                <a:noFill/>
                                <a:ln>
                                  <a:noFill/>
                                </a:ln>
                              </pic:spPr>
                            </pic:pic>
                          </a:graphicData>
                        </a:graphic>
                      </wp:inline>
                    </w:drawing>
                  </w:r>
                </w:p>
              </w:tc>
              <w:tc>
                <w:tcPr>
                  <w:tcW w:w="460" w:type="pct"/>
                  <w:vAlign w:val="center"/>
                </w:tcPr>
                <w:p w14:paraId="0D22DA49">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一般固体废物</w:t>
                  </w:r>
                </w:p>
              </w:tc>
              <w:tc>
                <w:tcPr>
                  <w:tcW w:w="1665" w:type="pct"/>
                  <w:vAlign w:val="center"/>
                </w:tcPr>
                <w:p w14:paraId="0D1CE6B5">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表示一般固体废物贮存、处置场</w:t>
                  </w:r>
                </w:p>
              </w:tc>
            </w:tr>
            <w:tr w14:paraId="0C7F0E2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353" w:hRule="atLeast"/>
                <w:jc w:val="center"/>
              </w:trPr>
              <w:tc>
                <w:tcPr>
                  <w:tcW w:w="483" w:type="pct"/>
                  <w:vAlign w:val="center"/>
                </w:tcPr>
                <w:p w14:paraId="1F0D12B5">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4</w:t>
                  </w:r>
                </w:p>
              </w:tc>
              <w:tc>
                <w:tcPr>
                  <w:tcW w:w="1156" w:type="pct"/>
                  <w:vAlign w:val="center"/>
                </w:tcPr>
                <w:p w14:paraId="53937ECC">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drawing>
                      <wp:inline distT="0" distB="0" distL="0" distR="0">
                        <wp:extent cx="853440" cy="853440"/>
                        <wp:effectExtent l="0" t="0" r="0" b="0"/>
                        <wp:docPr id="21" name="图片 38" descr="C:\Users\ADMINI~1\AppData\Local\Temp\ksohtml\wps334.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8" descr="C:\Users\ADMINI~1\AppData\Local\Temp\ksohtml\wps334.tmp.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853440" cy="853440"/>
                                </a:xfrm>
                                <a:prstGeom prst="rect">
                                  <a:avLst/>
                                </a:prstGeom>
                                <a:noFill/>
                                <a:ln>
                                  <a:noFill/>
                                </a:ln>
                              </pic:spPr>
                            </pic:pic>
                          </a:graphicData>
                        </a:graphic>
                      </wp:inline>
                    </w:drawing>
                  </w:r>
                </w:p>
              </w:tc>
              <w:tc>
                <w:tcPr>
                  <w:tcW w:w="1236" w:type="pct"/>
                  <w:vAlign w:val="center"/>
                </w:tcPr>
                <w:p w14:paraId="5C74382B">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drawing>
                      <wp:inline distT="0" distB="0" distL="0" distR="0">
                        <wp:extent cx="960120" cy="853440"/>
                        <wp:effectExtent l="0" t="0" r="0" b="0"/>
                        <wp:docPr id="22" name="图片 39" descr="C:\Users\ADMINI~1\AppData\Local\Temp\ksohtml\wps335.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9" descr="C:\Users\ADMINI~1\AppData\Local\Temp\ksohtml\wps335.tmp.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960120" cy="853440"/>
                                </a:xfrm>
                                <a:prstGeom prst="rect">
                                  <a:avLst/>
                                </a:prstGeom>
                                <a:noFill/>
                                <a:ln>
                                  <a:noFill/>
                                </a:ln>
                              </pic:spPr>
                            </pic:pic>
                          </a:graphicData>
                        </a:graphic>
                      </wp:inline>
                    </w:drawing>
                  </w:r>
                </w:p>
              </w:tc>
              <w:tc>
                <w:tcPr>
                  <w:tcW w:w="460" w:type="pct"/>
                  <w:vAlign w:val="center"/>
                </w:tcPr>
                <w:p w14:paraId="719B9E36">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噪声排放源</w:t>
                  </w:r>
                </w:p>
              </w:tc>
              <w:tc>
                <w:tcPr>
                  <w:tcW w:w="1665" w:type="pct"/>
                  <w:vAlign w:val="center"/>
                </w:tcPr>
                <w:p w14:paraId="7A118097">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表示噪声向外环境排放</w:t>
                  </w:r>
                </w:p>
              </w:tc>
            </w:tr>
            <w:tr w14:paraId="57F2D7F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353" w:hRule="atLeast"/>
                <w:jc w:val="center"/>
              </w:trPr>
              <w:tc>
                <w:tcPr>
                  <w:tcW w:w="483" w:type="pct"/>
                  <w:vAlign w:val="center"/>
                </w:tcPr>
                <w:p w14:paraId="014FAECA">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w:t>
                  </w:r>
                </w:p>
              </w:tc>
              <w:tc>
                <w:tcPr>
                  <w:tcW w:w="1156" w:type="pct"/>
                  <w:vAlign w:val="center"/>
                </w:tcPr>
                <w:p w14:paraId="68F13813">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drawing>
                      <wp:inline distT="0" distB="0" distL="0" distR="0">
                        <wp:extent cx="868680" cy="640080"/>
                        <wp:effectExtent l="0" t="0" r="0" b="0"/>
                        <wp:docPr id="2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868680" cy="640080"/>
                                </a:xfrm>
                                <a:prstGeom prst="rect">
                                  <a:avLst/>
                                </a:prstGeom>
                                <a:noFill/>
                                <a:ln>
                                  <a:noFill/>
                                </a:ln>
                              </pic:spPr>
                            </pic:pic>
                          </a:graphicData>
                        </a:graphic>
                      </wp:inline>
                    </w:drawing>
                  </w:r>
                </w:p>
              </w:tc>
              <w:tc>
                <w:tcPr>
                  <w:tcW w:w="1236" w:type="pct"/>
                  <w:vAlign w:val="center"/>
                </w:tcPr>
                <w:p w14:paraId="09010FB1">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drawing>
                      <wp:inline distT="0" distB="0" distL="0" distR="0">
                        <wp:extent cx="1043940" cy="922020"/>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43940" cy="922020"/>
                                </a:xfrm>
                                <a:prstGeom prst="rect">
                                  <a:avLst/>
                                </a:prstGeom>
                                <a:noFill/>
                                <a:ln>
                                  <a:noFill/>
                                </a:ln>
                              </pic:spPr>
                            </pic:pic>
                          </a:graphicData>
                        </a:graphic>
                      </wp:inline>
                    </w:drawing>
                  </w:r>
                </w:p>
              </w:tc>
              <w:tc>
                <w:tcPr>
                  <w:tcW w:w="460" w:type="pct"/>
                  <w:vAlign w:val="center"/>
                </w:tcPr>
                <w:p w14:paraId="08C3AFA1">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危险废物</w:t>
                  </w:r>
                </w:p>
              </w:tc>
              <w:tc>
                <w:tcPr>
                  <w:tcW w:w="1665" w:type="pct"/>
                  <w:vAlign w:val="center"/>
                </w:tcPr>
                <w:p w14:paraId="56355B0D">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表示危险废物贮存、处置场</w:t>
                  </w:r>
                </w:p>
              </w:tc>
            </w:tr>
          </w:tbl>
          <w:p w14:paraId="1A53FB32">
            <w:pPr>
              <w:keepNext/>
              <w:autoSpaceDE w:val="0"/>
              <w:autoSpaceDN w:val="0"/>
              <w:adjustRightInd w:val="0"/>
              <w:jc w:val="center"/>
              <w:textAlignment w:val="baseline"/>
              <w:rPr>
                <w:b/>
                <w:bCs/>
                <w:color w:val="000000" w:themeColor="text1"/>
                <w:sz w:val="18"/>
                <w:szCs w:val="18"/>
                <w14:textFill>
                  <w14:solidFill>
                    <w14:schemeClr w14:val="tx1"/>
                  </w14:solidFill>
                </w14:textFill>
              </w:rPr>
            </w:pPr>
            <w:r>
              <w:rPr>
                <w:b/>
                <w:bCs/>
                <w:color w:val="000000" w:themeColor="text1"/>
                <w:sz w:val="18"/>
                <w:szCs w:val="18"/>
                <w14:textFill>
                  <w14:solidFill>
                    <w14:schemeClr w14:val="tx1"/>
                  </w14:solidFill>
                </w14:textFill>
              </w:rPr>
              <w:t>表5-</w:t>
            </w:r>
            <w:r>
              <w:rPr>
                <w:rFonts w:hint="eastAsia"/>
                <w:b/>
                <w:bCs/>
                <w:color w:val="000000" w:themeColor="text1"/>
                <w:sz w:val="18"/>
                <w:szCs w:val="18"/>
                <w14:textFill>
                  <w14:solidFill>
                    <w14:schemeClr w14:val="tx1"/>
                  </w14:solidFill>
                </w14:textFill>
              </w:rPr>
              <w:t>3</w:t>
            </w:r>
            <w:r>
              <w:rPr>
                <w:b/>
                <w:bCs/>
                <w:color w:val="000000" w:themeColor="text1"/>
                <w:sz w:val="18"/>
                <w:szCs w:val="18"/>
                <w14:textFill>
                  <w14:solidFill>
                    <w14:schemeClr w14:val="tx1"/>
                  </w14:solidFill>
                </w14:textFill>
              </w:rPr>
              <w:t xml:space="preserve">   </w:t>
            </w:r>
            <w:r>
              <w:rPr>
                <w:rFonts w:hint="eastAsia"/>
                <w:b/>
                <w:bCs/>
                <w:color w:val="000000" w:themeColor="text1"/>
                <w:sz w:val="18"/>
                <w:szCs w:val="18"/>
                <w14:textFill>
                  <w14:solidFill>
                    <w14:schemeClr w14:val="tx1"/>
                  </w14:solidFill>
                </w14:textFill>
              </w:rPr>
              <w:t>危险特性警示图形</w:t>
            </w:r>
          </w:p>
          <w:tbl>
            <w:tblPr>
              <w:tblStyle w:val="45"/>
              <w:tblW w:w="5000"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1324"/>
              <w:gridCol w:w="1164"/>
              <w:gridCol w:w="2618"/>
              <w:gridCol w:w="2624"/>
            </w:tblGrid>
            <w:tr w14:paraId="52DB71E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6" w:hRule="atLeast"/>
              </w:trPr>
              <w:tc>
                <w:tcPr>
                  <w:tcW w:w="856" w:type="pct"/>
                  <w:vAlign w:val="center"/>
                </w:tcPr>
                <w:p w14:paraId="22D86630">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序号</w:t>
                  </w:r>
                </w:p>
              </w:tc>
              <w:tc>
                <w:tcPr>
                  <w:tcW w:w="753" w:type="pct"/>
                  <w:vAlign w:val="center"/>
                </w:tcPr>
                <w:p w14:paraId="62D4FBAE">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危险特性</w:t>
                  </w:r>
                </w:p>
              </w:tc>
              <w:tc>
                <w:tcPr>
                  <w:tcW w:w="1693" w:type="pct"/>
                  <w:vAlign w:val="center"/>
                </w:tcPr>
                <w:p w14:paraId="1FC81D8D">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警示图形</w:t>
                  </w:r>
                </w:p>
              </w:tc>
              <w:tc>
                <w:tcPr>
                  <w:tcW w:w="1697" w:type="pct"/>
                  <w:vAlign w:val="center"/>
                </w:tcPr>
                <w:p w14:paraId="5B226DCF">
                  <w:pPr>
                    <w:keepNext/>
                    <w:autoSpaceDE w:val="0"/>
                    <w:autoSpaceDN w:val="0"/>
                    <w:adjustRightInd w:val="0"/>
                    <w:jc w:val="center"/>
                    <w:textAlignment w:val="baseline"/>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图形颜色</w:t>
                  </w:r>
                </w:p>
              </w:tc>
            </w:tr>
            <w:tr w14:paraId="7D56548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87" w:hRule="atLeast"/>
              </w:trPr>
              <w:tc>
                <w:tcPr>
                  <w:tcW w:w="856" w:type="pct"/>
                  <w:vAlign w:val="center"/>
                </w:tcPr>
                <w:p w14:paraId="47AD33E9">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w:t>
                  </w:r>
                </w:p>
              </w:tc>
              <w:tc>
                <w:tcPr>
                  <w:tcW w:w="753" w:type="pct"/>
                  <w:vAlign w:val="center"/>
                </w:tcPr>
                <w:p w14:paraId="5AAD43B1">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腐蚀性</w:t>
                  </w:r>
                </w:p>
              </w:tc>
              <w:tc>
                <w:tcPr>
                  <w:tcW w:w="1693" w:type="pct"/>
                  <w:vAlign w:val="center"/>
                </w:tcPr>
                <w:p w14:paraId="440AB32B">
                  <w:pPr>
                    <w:widowControl/>
                    <w:jc w:val="left"/>
                    <w:rPr>
                      <w:rFonts w:hint="eastAsia" w:ascii="宋体" w:hAnsi="宋体" w:cs="宋体"/>
                      <w:color w:val="000000" w:themeColor="text1"/>
                      <w:kern w:val="0"/>
                      <w:sz w:val="24"/>
                      <w14:textFill>
                        <w14:solidFill>
                          <w14:schemeClr w14:val="tx1"/>
                        </w14:solidFill>
                      </w14:textFill>
                    </w:rPr>
                  </w:pPr>
                  <w:r>
                    <w:rPr>
                      <w:rFonts w:ascii="宋体" w:hAnsi="宋体" w:cs="宋体"/>
                      <w:color w:val="000000" w:themeColor="text1"/>
                      <w:kern w:val="0"/>
                      <w:sz w:val="24"/>
                      <w14:textFill>
                        <w14:solidFill>
                          <w14:schemeClr w14:val="tx1"/>
                        </w14:solidFill>
                      </w14:textFill>
                    </w:rPr>
                    <w:drawing>
                      <wp:inline distT="0" distB="0" distL="0" distR="0">
                        <wp:extent cx="1310640" cy="1272540"/>
                        <wp:effectExtent l="0" t="0" r="3810" b="3810"/>
                        <wp:docPr id="2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0"/>
                                <pic:cNvPicPr>
                                  <a:picLocks noChangeAspect="1" noChangeArrowheads="1"/>
                                </pic:cNvPicPr>
                              </pic:nvPicPr>
                              <pic:blipFill>
                                <a:blip r:embed="rId43" r:link="rId44" cstate="print">
                                  <a:extLst>
                                    <a:ext uri="{28A0092B-C50C-407E-A947-70E740481C1C}">
                                      <a14:useLocalDpi xmlns:a14="http://schemas.microsoft.com/office/drawing/2010/main" val="0"/>
                                    </a:ext>
                                  </a:extLst>
                                </a:blip>
                                <a:srcRect/>
                                <a:stretch>
                                  <a:fillRect/>
                                </a:stretch>
                              </pic:blipFill>
                              <pic:spPr>
                                <a:xfrm>
                                  <a:off x="0" y="0"/>
                                  <a:ext cx="1310640" cy="1272540"/>
                                </a:xfrm>
                                <a:prstGeom prst="rect">
                                  <a:avLst/>
                                </a:prstGeom>
                                <a:noFill/>
                                <a:ln>
                                  <a:noFill/>
                                </a:ln>
                              </pic:spPr>
                            </pic:pic>
                          </a:graphicData>
                        </a:graphic>
                      </wp:inline>
                    </w:drawing>
                  </w:r>
                </w:p>
              </w:tc>
              <w:tc>
                <w:tcPr>
                  <w:tcW w:w="1697" w:type="pct"/>
                  <w:vAlign w:val="center"/>
                </w:tcPr>
                <w:p w14:paraId="6988589A">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符号：黑色</w:t>
                  </w:r>
                </w:p>
                <w:p w14:paraId="2EBBFFF0">
                  <w:pPr>
                    <w:keepNext/>
                    <w:autoSpaceDE w:val="0"/>
                    <w:autoSpaceDN w:val="0"/>
                    <w:adjustRightInd w:val="0"/>
                    <w:jc w:val="center"/>
                    <w:textAlignment w:val="baseline"/>
                    <w:rPr>
                      <w:rFonts w:eastAsia="等线"/>
                      <w:color w:val="000000" w:themeColor="text1"/>
                      <w14:textFill>
                        <w14:solidFill>
                          <w14:schemeClr w14:val="tx1"/>
                        </w14:solidFill>
                      </w14:textFill>
                    </w:rPr>
                  </w:pPr>
                  <w:r>
                    <w:rPr>
                      <w:rFonts w:hint="eastAsia"/>
                      <w:color w:val="000000" w:themeColor="text1"/>
                      <w:sz w:val="18"/>
                      <w:szCs w:val="18"/>
                      <w14:textFill>
                        <w14:solidFill>
                          <w14:schemeClr w14:val="tx1"/>
                        </w14:solidFill>
                      </w14:textFill>
                    </w:rPr>
                    <w:t>底色：上白下黑</w:t>
                  </w:r>
                </w:p>
              </w:tc>
            </w:tr>
            <w:tr w14:paraId="25AFCB0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67" w:hRule="atLeast"/>
              </w:trPr>
              <w:tc>
                <w:tcPr>
                  <w:tcW w:w="856" w:type="pct"/>
                  <w:vAlign w:val="center"/>
                </w:tcPr>
                <w:p w14:paraId="73F6B887">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w:t>
                  </w:r>
                </w:p>
              </w:tc>
              <w:tc>
                <w:tcPr>
                  <w:tcW w:w="753" w:type="pct"/>
                  <w:vAlign w:val="center"/>
                </w:tcPr>
                <w:p w14:paraId="5B121771">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毒性</w:t>
                  </w:r>
                </w:p>
              </w:tc>
              <w:tc>
                <w:tcPr>
                  <w:tcW w:w="1693" w:type="pct"/>
                  <w:vAlign w:val="center"/>
                </w:tcPr>
                <w:p w14:paraId="601A2264">
                  <w:pPr>
                    <w:widowControl/>
                    <w:jc w:val="left"/>
                    <w:rPr>
                      <w:rFonts w:hint="eastAsia" w:ascii="宋体" w:hAnsi="宋体" w:cs="宋体"/>
                      <w:color w:val="000000" w:themeColor="text1"/>
                      <w:kern w:val="0"/>
                      <w:sz w:val="24"/>
                      <w14:textFill>
                        <w14:solidFill>
                          <w14:schemeClr w14:val="tx1"/>
                        </w14:solidFill>
                      </w14:textFill>
                    </w:rPr>
                  </w:pPr>
                  <w:r>
                    <w:rPr>
                      <w:rFonts w:ascii="宋体" w:hAnsi="宋体" w:cs="宋体"/>
                      <w:color w:val="000000" w:themeColor="text1"/>
                      <w:kern w:val="0"/>
                      <w:sz w:val="24"/>
                      <w14:textFill>
                        <w14:solidFill>
                          <w14:schemeClr w14:val="tx1"/>
                        </w14:solidFill>
                      </w14:textFill>
                    </w:rPr>
                    <w:drawing>
                      <wp:inline distT="0" distB="0" distL="0" distR="0">
                        <wp:extent cx="1341120" cy="1310640"/>
                        <wp:effectExtent l="0" t="0" r="0" b="3810"/>
                        <wp:docPr id="2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1"/>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a:xfrm>
                                  <a:off x="0" y="0"/>
                                  <a:ext cx="1341120" cy="1310640"/>
                                </a:xfrm>
                                <a:prstGeom prst="rect">
                                  <a:avLst/>
                                </a:prstGeom>
                                <a:noFill/>
                                <a:ln>
                                  <a:noFill/>
                                </a:ln>
                              </pic:spPr>
                            </pic:pic>
                          </a:graphicData>
                        </a:graphic>
                      </wp:inline>
                    </w:drawing>
                  </w:r>
                </w:p>
              </w:tc>
              <w:tc>
                <w:tcPr>
                  <w:tcW w:w="1697" w:type="pct"/>
                  <w:vAlign w:val="center"/>
                </w:tcPr>
                <w:p w14:paraId="65A63616">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符号：黑色</w:t>
                  </w:r>
                </w:p>
                <w:p w14:paraId="3475C914">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底色：白色</w:t>
                  </w:r>
                </w:p>
              </w:tc>
            </w:tr>
            <w:tr w14:paraId="0CD1418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67" w:hRule="atLeast"/>
              </w:trPr>
              <w:tc>
                <w:tcPr>
                  <w:tcW w:w="856" w:type="pct"/>
                  <w:vAlign w:val="center"/>
                </w:tcPr>
                <w:p w14:paraId="640B8475">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w:t>
                  </w:r>
                </w:p>
              </w:tc>
              <w:tc>
                <w:tcPr>
                  <w:tcW w:w="753" w:type="pct"/>
                  <w:vAlign w:val="center"/>
                </w:tcPr>
                <w:p w14:paraId="28E564F5">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易燃性</w:t>
                  </w:r>
                </w:p>
              </w:tc>
              <w:tc>
                <w:tcPr>
                  <w:tcW w:w="1693" w:type="pct"/>
                  <w:vAlign w:val="center"/>
                </w:tcPr>
                <w:p w14:paraId="035EC66D">
                  <w:pPr>
                    <w:widowControl/>
                    <w:jc w:val="left"/>
                    <w:rPr>
                      <w:rFonts w:hint="eastAsia" w:ascii="宋体" w:hAnsi="宋体" w:cs="宋体"/>
                      <w:color w:val="000000" w:themeColor="text1"/>
                      <w:kern w:val="0"/>
                      <w:sz w:val="24"/>
                      <w14:textFill>
                        <w14:solidFill>
                          <w14:schemeClr w14:val="tx1"/>
                        </w14:solidFill>
                      </w14:textFill>
                    </w:rPr>
                  </w:pPr>
                  <w:r>
                    <w:rPr>
                      <w:rFonts w:ascii="宋体" w:hAnsi="宋体" w:cs="宋体"/>
                      <w:color w:val="000000" w:themeColor="text1"/>
                      <w:kern w:val="0"/>
                      <w:sz w:val="24"/>
                      <w14:textFill>
                        <w14:solidFill>
                          <w14:schemeClr w14:val="tx1"/>
                        </w14:solidFill>
                      </w14:textFill>
                    </w:rPr>
                    <w:drawing>
                      <wp:inline distT="0" distB="0" distL="0" distR="0">
                        <wp:extent cx="1264920" cy="1211580"/>
                        <wp:effectExtent l="0" t="0" r="0" b="7620"/>
                        <wp:docPr id="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2"/>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a:xfrm>
                                  <a:off x="0" y="0"/>
                                  <a:ext cx="1264920" cy="1211580"/>
                                </a:xfrm>
                                <a:prstGeom prst="rect">
                                  <a:avLst/>
                                </a:prstGeom>
                                <a:noFill/>
                                <a:ln>
                                  <a:noFill/>
                                </a:ln>
                              </pic:spPr>
                            </pic:pic>
                          </a:graphicData>
                        </a:graphic>
                      </wp:inline>
                    </w:drawing>
                  </w:r>
                </w:p>
              </w:tc>
              <w:tc>
                <w:tcPr>
                  <w:tcW w:w="1697" w:type="pct"/>
                  <w:vAlign w:val="center"/>
                </w:tcPr>
                <w:p w14:paraId="65EEF8A5">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符号：黑色</w:t>
                  </w:r>
                </w:p>
                <w:p w14:paraId="1BC5C2DC">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底色：红色（R</w:t>
                  </w:r>
                  <w:r>
                    <w:rPr>
                      <w:color w:val="000000" w:themeColor="text1"/>
                      <w:sz w:val="18"/>
                      <w:szCs w:val="18"/>
                      <w14:textFill>
                        <w14:solidFill>
                          <w14:schemeClr w14:val="tx1"/>
                        </w14:solidFill>
                      </w14:textFill>
                    </w:rPr>
                    <w:t>GB</w:t>
                  </w:r>
                  <w:r>
                    <w:rPr>
                      <w:rFonts w:hint="eastAsia"/>
                      <w:color w:val="000000" w:themeColor="text1"/>
                      <w:sz w:val="18"/>
                      <w:szCs w:val="18"/>
                      <w14:textFill>
                        <w14:solidFill>
                          <w14:schemeClr w14:val="tx1"/>
                        </w14:solidFill>
                      </w14:textFill>
                    </w:rPr>
                    <w:t>：255，0，0）</w:t>
                  </w:r>
                </w:p>
              </w:tc>
            </w:tr>
            <w:tr w14:paraId="5C0BC8D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67" w:hRule="atLeast"/>
              </w:trPr>
              <w:tc>
                <w:tcPr>
                  <w:tcW w:w="856" w:type="pct"/>
                  <w:vAlign w:val="center"/>
                </w:tcPr>
                <w:p w14:paraId="52CA7B3A">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4</w:t>
                  </w:r>
                </w:p>
              </w:tc>
              <w:tc>
                <w:tcPr>
                  <w:tcW w:w="753" w:type="pct"/>
                  <w:vAlign w:val="center"/>
                </w:tcPr>
                <w:p w14:paraId="3CE654F5">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反应性</w:t>
                  </w:r>
                </w:p>
              </w:tc>
              <w:tc>
                <w:tcPr>
                  <w:tcW w:w="1693" w:type="pct"/>
                  <w:vAlign w:val="center"/>
                </w:tcPr>
                <w:p w14:paraId="6B5622A1">
                  <w:pPr>
                    <w:widowControl/>
                    <w:jc w:val="left"/>
                    <w:rPr>
                      <w:rFonts w:hint="eastAsia" w:ascii="宋体" w:hAnsi="宋体" w:cs="宋体"/>
                      <w:color w:val="000000" w:themeColor="text1"/>
                      <w:kern w:val="0"/>
                      <w:sz w:val="24"/>
                      <w14:textFill>
                        <w14:solidFill>
                          <w14:schemeClr w14:val="tx1"/>
                        </w14:solidFill>
                      </w14:textFill>
                    </w:rPr>
                  </w:pPr>
                  <w:r>
                    <w:rPr>
                      <w:rFonts w:ascii="宋体" w:hAnsi="宋体" w:cs="宋体"/>
                      <w:color w:val="000000" w:themeColor="text1"/>
                      <w:kern w:val="0"/>
                      <w:sz w:val="24"/>
                      <w14:textFill>
                        <w14:solidFill>
                          <w14:schemeClr w14:val="tx1"/>
                        </w14:solidFill>
                      </w14:textFill>
                    </w:rPr>
                    <w:drawing>
                      <wp:inline distT="0" distB="0" distL="0" distR="0">
                        <wp:extent cx="1363980" cy="1310640"/>
                        <wp:effectExtent l="0" t="0" r="7620" b="3810"/>
                        <wp:docPr id="2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3"/>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a:xfrm>
                                  <a:off x="0" y="0"/>
                                  <a:ext cx="1363980" cy="1310640"/>
                                </a:xfrm>
                                <a:prstGeom prst="rect">
                                  <a:avLst/>
                                </a:prstGeom>
                                <a:noFill/>
                                <a:ln>
                                  <a:noFill/>
                                </a:ln>
                              </pic:spPr>
                            </pic:pic>
                          </a:graphicData>
                        </a:graphic>
                      </wp:inline>
                    </w:drawing>
                  </w:r>
                </w:p>
              </w:tc>
              <w:tc>
                <w:tcPr>
                  <w:tcW w:w="1697" w:type="pct"/>
                  <w:vAlign w:val="center"/>
                </w:tcPr>
                <w:p w14:paraId="627B5C58">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符号：黑色</w:t>
                  </w:r>
                </w:p>
                <w:p w14:paraId="31927E80">
                  <w:pPr>
                    <w:keepNext/>
                    <w:autoSpaceDE w:val="0"/>
                    <w:autoSpaceDN w:val="0"/>
                    <w:adjustRightInd w:val="0"/>
                    <w:jc w:val="center"/>
                    <w:textAlignment w:val="baseline"/>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底色：黄色（R</w:t>
                  </w:r>
                  <w:r>
                    <w:rPr>
                      <w:color w:val="000000" w:themeColor="text1"/>
                      <w:sz w:val="18"/>
                      <w:szCs w:val="18"/>
                      <w14:textFill>
                        <w14:solidFill>
                          <w14:schemeClr w14:val="tx1"/>
                        </w14:solidFill>
                      </w14:textFill>
                    </w:rPr>
                    <w:t>GB</w:t>
                  </w:r>
                  <w:r>
                    <w:rPr>
                      <w:rFonts w:hint="eastAsia"/>
                      <w:color w:val="000000" w:themeColor="text1"/>
                      <w:sz w:val="18"/>
                      <w:szCs w:val="18"/>
                      <w14:textFill>
                        <w14:solidFill>
                          <w14:schemeClr w14:val="tx1"/>
                        </w14:solidFill>
                      </w14:textFill>
                    </w:rPr>
                    <w:t>：255，255，0）</w:t>
                  </w:r>
                </w:p>
              </w:tc>
            </w:tr>
          </w:tbl>
          <w:p w14:paraId="4B25DAB8">
            <w:pPr>
              <w:rPr>
                <w:color w:val="000000" w:themeColor="text1"/>
                <w14:textFill>
                  <w14:solidFill>
                    <w14:schemeClr w14:val="tx1"/>
                  </w14:solidFill>
                </w14:textFill>
              </w:rPr>
            </w:pPr>
          </w:p>
          <w:p w14:paraId="0644982B">
            <w:pPr>
              <w:pStyle w:val="56"/>
              <w:rPr>
                <w:rFonts w:eastAsia="等线"/>
                <w:color w:val="000000" w:themeColor="text1"/>
                <w14:textFill>
                  <w14:solidFill>
                    <w14:schemeClr w14:val="tx1"/>
                  </w14:solidFill>
                </w14:textFill>
              </w:rPr>
            </w:pPr>
          </w:p>
          <w:p w14:paraId="108E5C80">
            <w:pPr>
              <w:pStyle w:val="56"/>
              <w:rPr>
                <w:rFonts w:eastAsia="新宋体"/>
                <w:color w:val="000000" w:themeColor="text1"/>
                <w:szCs w:val="21"/>
                <w14:textFill>
                  <w14:solidFill>
                    <w14:schemeClr w14:val="tx1"/>
                  </w14:solidFill>
                </w14:textFill>
              </w:rPr>
            </w:pPr>
          </w:p>
        </w:tc>
      </w:tr>
    </w:tbl>
    <w:p w14:paraId="70CACB60">
      <w:pPr>
        <w:pStyle w:val="40"/>
        <w:outlineLvl w:val="0"/>
        <w:rPr>
          <w:rFonts w:ascii="Times New Roman" w:hAnsi="Times New Roman"/>
          <w:snapToGrid w:val="0"/>
          <w:color w:val="000000" w:themeColor="text1"/>
          <w:sz w:val="30"/>
          <w:szCs w:val="30"/>
          <w14:textFill>
            <w14:solidFill>
              <w14:schemeClr w14:val="tx1"/>
            </w14:solidFill>
          </w14:textFill>
        </w:rPr>
      </w:pPr>
      <w:r>
        <w:rPr>
          <w:rFonts w:ascii="Times New Roman" w:hAnsi="Times New Roman"/>
          <w:snapToGrid w:val="0"/>
          <w:color w:val="000000" w:themeColor="text1"/>
          <w14:textFill>
            <w14:solidFill>
              <w14:schemeClr w14:val="tx1"/>
            </w14:solidFill>
          </w14:textFill>
        </w:rPr>
        <w:br w:type="page"/>
      </w:r>
      <w:bookmarkStart w:id="62" w:name="_Toc23188"/>
      <w:bookmarkStart w:id="63" w:name="_Toc71641914"/>
      <w:r>
        <w:rPr>
          <w:rFonts w:ascii="Times New Roman" w:hAnsi="Times New Roman"/>
          <w:b/>
          <w:bCs/>
          <w:snapToGrid w:val="0"/>
          <w:color w:val="000000" w:themeColor="text1"/>
          <w:sz w:val="30"/>
          <w:szCs w:val="30"/>
          <w14:textFill>
            <w14:solidFill>
              <w14:schemeClr w14:val="tx1"/>
            </w14:solidFill>
          </w14:textFill>
        </w:rPr>
        <w:t>六、结论</w:t>
      </w:r>
      <w:bookmarkEnd w:id="62"/>
      <w:bookmarkEnd w:id="63"/>
    </w:p>
    <w:tbl>
      <w:tblPr>
        <w:tblStyle w:val="45"/>
        <w:tblW w:w="9853"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853"/>
      </w:tblGrid>
      <w:tr w14:paraId="174F4F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9853" w:type="dxa"/>
            <w:vAlign w:val="center"/>
          </w:tcPr>
          <w:p w14:paraId="260EE4B0">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2467EADD">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41A9D93B">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2BFF8813">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0513FA00">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6A6A9535">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15EB0FD6">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75CB48B3">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12B0F191">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293008F1">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32D3C10C">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r>
              <w:rPr>
                <w:rFonts w:hint="eastAsia" w:ascii="Times New Roman" w:hAnsi="Times New Roman" w:eastAsia="宋体" w:cs="Times New Roman"/>
                <w:color w:val="000000"/>
                <w:kern w:val="2"/>
                <w:sz w:val="24"/>
                <w:szCs w:val="24"/>
                <w:lang w:val="en-US" w:eastAsia="zh-CN" w:bidi="ar-SA"/>
              </w:rPr>
              <w:t>综上，本项目符合国家产业政策，平面布置合理，选址符合相关要求，符合“三线一单”要求。在生产过程中会产生废气、废水、噪声及固废废物等，建设单位应严格执行环保“三同时”制度，落实各项环保措施，并确保环保设施正常运行，切实有效地治理好污染源，严格管理措施，将项目建设对环境的不利影响降到最低限度，在此前提下，项目营运期对环境的影响是可接受的。从环保角度分析，本项目的建设是可行的。</w:t>
            </w:r>
          </w:p>
          <w:p w14:paraId="00A1A562">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545240AC">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7287D66E">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603A3E5C">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357727C3">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373D4399">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445723AB">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5E001DDA">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45862004">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458721E7">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6C2C7CB2">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01B8BA72">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26D54B9B">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5FC248E2">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3B72F333">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4DB58415">
            <w:pPr>
              <w:widowControl w:val="0"/>
              <w:snapToGrid/>
              <w:spacing w:before="0" w:after="0" w:line="360" w:lineRule="auto"/>
              <w:ind w:right="0" w:firstLine="480" w:firstLineChars="200"/>
              <w:jc w:val="both"/>
              <w:rPr>
                <w:rFonts w:ascii="Times New Roman" w:hAnsi="Times New Roman" w:eastAsia="宋体" w:cs="Times New Roman"/>
                <w:color w:val="000000"/>
                <w:kern w:val="2"/>
                <w:sz w:val="24"/>
                <w:szCs w:val="24"/>
                <w:lang w:val="en-US" w:eastAsia="zh-CN" w:bidi="ar-SA"/>
              </w:rPr>
            </w:pPr>
          </w:p>
          <w:p w14:paraId="6D9F676A">
            <w:pPr>
              <w:widowControl w:val="0"/>
              <w:autoSpaceDE w:val="0"/>
              <w:autoSpaceDN w:val="0"/>
              <w:adjustRightInd w:val="0"/>
              <w:rPr>
                <w:rFonts w:ascii="宋体" w:hAnsi="Times New Roman" w:eastAsia="Times New Roman" w:cs="宋体"/>
                <w:color w:val="000000"/>
                <w:kern w:val="2"/>
                <w:sz w:val="24"/>
                <w:szCs w:val="24"/>
                <w:lang w:val="en-US" w:eastAsia="zh-CN" w:bidi="ar-SA"/>
              </w:rPr>
            </w:pPr>
          </w:p>
        </w:tc>
      </w:tr>
    </w:tbl>
    <w:p w14:paraId="7A8B2972">
      <w:pPr>
        <w:pStyle w:val="40"/>
        <w:outlineLvl w:val="0"/>
        <w:rPr>
          <w:rFonts w:ascii="Times New Roman" w:hAnsi="Times New Roman"/>
          <w:snapToGrid w:val="0"/>
          <w:color w:val="000000" w:themeColor="text1"/>
          <w:sz w:val="30"/>
          <w:szCs w:val="30"/>
          <w14:textFill>
            <w14:solidFill>
              <w14:schemeClr w14:val="tx1"/>
            </w14:solidFill>
          </w14:textFill>
        </w:rPr>
        <w:sectPr>
          <w:pgSz w:w="11906" w:h="16838"/>
          <w:pgMar w:top="1134" w:right="1134" w:bottom="1134" w:left="1134" w:header="851" w:footer="851" w:gutter="0"/>
          <w:cols w:space="720" w:num="1"/>
          <w:docGrid w:linePitch="312" w:charSpace="0"/>
        </w:sectPr>
      </w:pPr>
    </w:p>
    <w:p w14:paraId="595B2012">
      <w:pPr>
        <w:pStyle w:val="40"/>
        <w:spacing w:before="0" w:beforeAutospacing="0" w:after="0" w:afterAutospacing="0"/>
        <w:outlineLvl w:val="0"/>
        <w:rPr>
          <w:rFonts w:ascii="Times New Roman" w:hAnsi="Times New Roman"/>
          <w:b/>
          <w:bCs/>
          <w:snapToGrid w:val="0"/>
          <w:color w:val="000000" w:themeColor="text1"/>
          <w:sz w:val="30"/>
          <w:szCs w:val="30"/>
          <w14:textFill>
            <w14:solidFill>
              <w14:schemeClr w14:val="tx1"/>
            </w14:solidFill>
          </w14:textFill>
        </w:rPr>
      </w:pPr>
      <w:bookmarkStart w:id="64" w:name="_Toc71641915"/>
      <w:bookmarkStart w:id="65" w:name="_Toc68104781"/>
      <w:bookmarkStart w:id="66" w:name="_Toc9965"/>
      <w:r>
        <w:rPr>
          <w:rFonts w:hint="eastAsia" w:ascii="Times New Roman" w:hAnsi="Times New Roman"/>
          <w:b/>
          <w:bCs/>
          <w:snapToGrid w:val="0"/>
          <w:color w:val="000000" w:themeColor="text1"/>
          <w:sz w:val="30"/>
          <w:szCs w:val="30"/>
          <w:lang w:val="en-US" w:eastAsia="zh-CN"/>
          <w14:textFill>
            <w14:solidFill>
              <w14:schemeClr w14:val="tx1"/>
            </w14:solidFill>
          </w14:textFill>
        </w:rPr>
        <w:t>=</w:t>
      </w:r>
      <w:r>
        <w:rPr>
          <w:rFonts w:ascii="Times New Roman" w:hAnsi="Times New Roman"/>
          <w:b/>
          <w:bCs/>
          <w:snapToGrid w:val="0"/>
          <w:color w:val="000000" w:themeColor="text1"/>
          <w:sz w:val="30"/>
          <w:szCs w:val="30"/>
          <w14:textFill>
            <w14:solidFill>
              <w14:schemeClr w14:val="tx1"/>
            </w14:solidFill>
          </w14:textFill>
        </w:rPr>
        <w:t>附表一   建设项目污染物排放量汇总表</w:t>
      </w:r>
      <w:bookmarkEnd w:id="64"/>
      <w:bookmarkEnd w:id="65"/>
      <w:bookmarkEnd w:id="66"/>
    </w:p>
    <w:tbl>
      <w:tblPr>
        <w:tblStyle w:val="45"/>
        <w:tblW w:w="13788"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124"/>
        <w:gridCol w:w="3299"/>
        <w:gridCol w:w="1559"/>
        <w:gridCol w:w="1134"/>
        <w:gridCol w:w="1417"/>
        <w:gridCol w:w="1418"/>
        <w:gridCol w:w="992"/>
        <w:gridCol w:w="1418"/>
        <w:gridCol w:w="1427"/>
      </w:tblGrid>
      <w:tr w14:paraId="648CF1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39" w:hRule="atLeast"/>
        </w:trPr>
        <w:tc>
          <w:tcPr>
            <w:tcW w:w="1124" w:type="dxa"/>
            <w:tcBorders>
              <w:tl2br w:val="single" w:color="auto" w:sz="4" w:space="0"/>
            </w:tcBorders>
            <w:tcMar>
              <w:left w:w="28" w:type="dxa"/>
              <w:right w:w="28" w:type="dxa"/>
            </w:tcMar>
            <w:vAlign w:val="center"/>
          </w:tcPr>
          <w:p w14:paraId="17EA3AC4">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mc:AlternateContent>
                <mc:Choice Requires="wps">
                  <w:drawing>
                    <wp:anchor distT="0" distB="0" distL="114300" distR="114300" simplePos="0" relativeHeight="251659264" behindDoc="0" locked="0" layoutInCell="1" allowOverlap="1">
                      <wp:simplePos x="0" y="0"/>
                      <wp:positionH relativeFrom="column">
                        <wp:posOffset>191770</wp:posOffset>
                      </wp:positionH>
                      <wp:positionV relativeFrom="paragraph">
                        <wp:posOffset>24130</wp:posOffset>
                      </wp:positionV>
                      <wp:extent cx="649605" cy="292735"/>
                      <wp:effectExtent l="0" t="2540" r="0" b="0"/>
                      <wp:wrapNone/>
                      <wp:docPr id="184115101" name="文本框 81"/>
                      <wp:cNvGraphicFramePr/>
                      <a:graphic xmlns:a="http://schemas.openxmlformats.org/drawingml/2006/main">
                        <a:graphicData uri="http://schemas.microsoft.com/office/word/2010/wordprocessingShape">
                          <wps:wsp>
                            <wps:cNvSpPr txBox="1">
                              <a:spLocks noChangeArrowheads="1"/>
                            </wps:cNvSpPr>
                            <wps:spPr bwMode="auto">
                              <a:xfrm>
                                <a:off x="0" y="0"/>
                                <a:ext cx="649605" cy="292735"/>
                              </a:xfrm>
                              <a:prstGeom prst="rect">
                                <a:avLst/>
                              </a:prstGeom>
                              <a:noFill/>
                              <a:ln>
                                <a:noFill/>
                              </a:ln>
                            </wps:spPr>
                            <wps:txbx>
                              <w:txbxContent>
                                <w:p w14:paraId="1438FAEA">
                                  <w:pPr>
                                    <w:rPr>
                                      <w:rFonts w:eastAsia="新宋体"/>
                                      <w:b/>
                                      <w:bCs/>
                                      <w:szCs w:val="21"/>
                                    </w:rPr>
                                  </w:pPr>
                                  <w:r>
                                    <w:rPr>
                                      <w:rFonts w:eastAsia="新宋体"/>
                                      <w:b/>
                                      <w:bCs/>
                                      <w:szCs w:val="21"/>
                                    </w:rPr>
                                    <w:t>项目</w:t>
                                  </w:r>
                                </w:p>
                              </w:txbxContent>
                            </wps:txbx>
                            <wps:bodyPr rot="0" vert="horz" wrap="square" lIns="91440" tIns="45720" rIns="91440" bIns="45720" anchor="t" anchorCtr="0" upright="1">
                              <a:noAutofit/>
                            </wps:bodyPr>
                          </wps:wsp>
                        </a:graphicData>
                      </a:graphic>
                    </wp:anchor>
                  </w:drawing>
                </mc:Choice>
                <mc:Fallback>
                  <w:pict>
                    <v:shape id="文本框 81" o:spid="_x0000_s1026" o:spt="202" type="#_x0000_t202" style="position:absolute;left:0pt;margin-left:15.1pt;margin-top:1.9pt;height:23.05pt;width:51.15pt;z-index:251659264;mso-width-relative:page;mso-height-relative:page;" filled="f" stroked="f" coordsize="21600,21600" o:gfxdata="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HpJDZDVAAAABwEA&#10;AA8AAAAAAAAAAQAgAAAAIgAAAGRycy9kb3ducmV2LnhtbFBLAQIUABQAAAAIAIdO4kAozV+zHQIA&#10;AB0EAAAOAAAAAAAAAAEAIAAAACQBAABkcnMvZTJvRG9jLnhtbFBLBQYAAAAABgAGAFkBAACzBQAA&#10;AAA=&#10;">
                      <v:fill on="f" focussize="0,0"/>
                      <v:stroke on="f"/>
                      <v:imagedata o:title=""/>
                      <o:lock v:ext="edit" aspectratio="f"/>
                      <v:textbox>
                        <w:txbxContent>
                          <w:p w14:paraId="1438FAEA">
                            <w:pPr>
                              <w:rPr>
                                <w:rFonts w:eastAsia="新宋体"/>
                                <w:b/>
                                <w:bCs/>
                                <w:szCs w:val="21"/>
                              </w:rPr>
                            </w:pPr>
                            <w:r>
                              <w:rPr>
                                <w:rFonts w:eastAsia="新宋体"/>
                                <w:b/>
                                <w:bCs/>
                                <w:szCs w:val="21"/>
                              </w:rPr>
                              <w:t>项目</w:t>
                            </w:r>
                          </w:p>
                        </w:txbxContent>
                      </v:textbox>
                    </v:shape>
                  </w:pict>
                </mc:Fallback>
              </mc:AlternateContent>
            </w:r>
            <w:r>
              <w:rPr>
                <w:rFonts w:eastAsia="新宋体"/>
                <w:b/>
                <w:bCs/>
                <w:color w:val="000000" w:themeColor="text1"/>
                <w:sz w:val="18"/>
                <w:szCs w:val="18"/>
                <w14:textFill>
                  <w14:solidFill>
                    <w14:schemeClr w14:val="tx1"/>
                  </w14:solidFill>
                </w14:textFill>
              </w:rPr>
              <mc:AlternateContent>
                <mc:Choice Requires="wps">
                  <w:drawing>
                    <wp:anchor distT="0" distB="0" distL="114300" distR="114300" simplePos="0" relativeHeight="251660288" behindDoc="0" locked="0" layoutInCell="1" allowOverlap="1">
                      <wp:simplePos x="0" y="0"/>
                      <wp:positionH relativeFrom="column">
                        <wp:posOffset>-6350</wp:posOffset>
                      </wp:positionH>
                      <wp:positionV relativeFrom="paragraph">
                        <wp:posOffset>382270</wp:posOffset>
                      </wp:positionV>
                      <wp:extent cx="649605" cy="292735"/>
                      <wp:effectExtent l="0" t="4445" r="635" b="0"/>
                      <wp:wrapNone/>
                      <wp:docPr id="1607918968" name="文本框 82"/>
                      <wp:cNvGraphicFramePr/>
                      <a:graphic xmlns:a="http://schemas.openxmlformats.org/drawingml/2006/main">
                        <a:graphicData uri="http://schemas.microsoft.com/office/word/2010/wordprocessingShape">
                          <wps:wsp>
                            <wps:cNvSpPr txBox="1">
                              <a:spLocks noChangeArrowheads="1"/>
                            </wps:cNvSpPr>
                            <wps:spPr bwMode="auto">
                              <a:xfrm>
                                <a:off x="0" y="0"/>
                                <a:ext cx="649605" cy="292735"/>
                              </a:xfrm>
                              <a:prstGeom prst="rect">
                                <a:avLst/>
                              </a:prstGeom>
                              <a:noFill/>
                              <a:ln>
                                <a:noFill/>
                              </a:ln>
                            </wps:spPr>
                            <wps:txbx>
                              <w:txbxContent>
                                <w:p w14:paraId="09E2C498">
                                  <w:pPr>
                                    <w:rPr>
                                      <w:rFonts w:eastAsia="新宋体"/>
                                      <w:b/>
                                      <w:bCs/>
                                      <w:szCs w:val="21"/>
                                    </w:rPr>
                                  </w:pPr>
                                  <w:r>
                                    <w:rPr>
                                      <w:rFonts w:eastAsia="新宋体"/>
                                      <w:b/>
                                      <w:bCs/>
                                      <w:szCs w:val="21"/>
                                    </w:rPr>
                                    <w:t>分类</w:t>
                                  </w:r>
                                </w:p>
                              </w:txbxContent>
                            </wps:txbx>
                            <wps:bodyPr rot="0" vert="horz" wrap="square" lIns="91440" tIns="45720" rIns="91440" bIns="45720" anchor="t" anchorCtr="0" upright="1">
                              <a:noAutofit/>
                            </wps:bodyPr>
                          </wps:wsp>
                        </a:graphicData>
                      </a:graphic>
                    </wp:anchor>
                  </w:drawing>
                </mc:Choice>
                <mc:Fallback>
                  <w:pict>
                    <v:shape id="文本框 82" o:spid="_x0000_s1026" o:spt="202" type="#_x0000_t202" style="position:absolute;left:0pt;margin-left:-0.5pt;margin-top:30.1pt;height:23.05pt;width:51.15pt;z-index:251660288;mso-width-relative:page;mso-height-relative:page;" filled="f" stroked="f" coordsize="21600,21600" o:gfxdata="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NBtkw1gAA&#10;AAkBAAAPAAAAAAAAAAEAIAAAACIAAABkcnMvZG93bnJldi54bWxQSwECFAAUAAAACACHTuJAldWW&#10;USACAAAeBAAADgAAAAAAAAABACAAAAAlAQAAZHJzL2Uyb0RvYy54bWxQSwUGAAAAAAYABgBZAQAA&#10;twUAAAAA&#10;">
                      <v:fill on="f" focussize="0,0"/>
                      <v:stroke on="f"/>
                      <v:imagedata o:title=""/>
                      <o:lock v:ext="edit" aspectratio="f"/>
                      <v:textbox>
                        <w:txbxContent>
                          <w:p w14:paraId="09E2C498">
                            <w:pPr>
                              <w:rPr>
                                <w:rFonts w:eastAsia="新宋体"/>
                                <w:b/>
                                <w:bCs/>
                                <w:szCs w:val="21"/>
                              </w:rPr>
                            </w:pPr>
                            <w:r>
                              <w:rPr>
                                <w:rFonts w:eastAsia="新宋体"/>
                                <w:b/>
                                <w:bCs/>
                                <w:szCs w:val="21"/>
                              </w:rPr>
                              <w:t>分类</w:t>
                            </w:r>
                          </w:p>
                        </w:txbxContent>
                      </v:textbox>
                    </v:shape>
                  </w:pict>
                </mc:Fallback>
              </mc:AlternateContent>
            </w:r>
          </w:p>
        </w:tc>
        <w:tc>
          <w:tcPr>
            <w:tcW w:w="3299" w:type="dxa"/>
            <w:tcMar>
              <w:left w:w="28" w:type="dxa"/>
              <w:right w:w="28" w:type="dxa"/>
            </w:tcMar>
            <w:vAlign w:val="center"/>
          </w:tcPr>
          <w:p w14:paraId="0FDD3E15">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污染物名称</w:t>
            </w:r>
          </w:p>
        </w:tc>
        <w:tc>
          <w:tcPr>
            <w:tcW w:w="1559" w:type="dxa"/>
            <w:tcMar>
              <w:left w:w="28" w:type="dxa"/>
              <w:right w:w="28" w:type="dxa"/>
            </w:tcMar>
            <w:vAlign w:val="center"/>
          </w:tcPr>
          <w:p w14:paraId="35A36D0B">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现有工程</w:t>
            </w:r>
          </w:p>
          <w:p w14:paraId="599B086D">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排放量（固体废物产生量，</w:t>
            </w:r>
            <w:r>
              <w:rPr>
                <w:rFonts w:hint="eastAsia" w:eastAsia="新宋体"/>
                <w:b/>
                <w:bCs/>
                <w:color w:val="000000" w:themeColor="text1"/>
                <w:sz w:val="18"/>
                <w:szCs w:val="18"/>
                <w14:textFill>
                  <w14:solidFill>
                    <w14:schemeClr w14:val="tx1"/>
                  </w14:solidFill>
                </w14:textFill>
              </w:rPr>
              <w:t>t</w:t>
            </w:r>
            <w:r>
              <w:rPr>
                <w:rFonts w:eastAsia="新宋体"/>
                <w:b/>
                <w:bCs/>
                <w:color w:val="000000" w:themeColor="text1"/>
                <w:sz w:val="18"/>
                <w:szCs w:val="18"/>
                <w14:textFill>
                  <w14:solidFill>
                    <w14:schemeClr w14:val="tx1"/>
                  </w14:solidFill>
                </w14:textFill>
              </w:rPr>
              <w:t>/a）</w:t>
            </w:r>
            <w:r>
              <w:rPr>
                <w:rFonts w:eastAsia="新宋体"/>
                <w:b/>
                <w:bCs/>
                <w:color w:val="000000" w:themeColor="text1"/>
                <w:sz w:val="18"/>
                <w:szCs w:val="18"/>
                <w14:textFill>
                  <w14:solidFill>
                    <w14:schemeClr w14:val="tx1"/>
                  </w14:solidFill>
                </w14:textFill>
              </w:rPr>
              <w:fldChar w:fldCharType="begin"/>
            </w:r>
            <w:r>
              <w:rPr>
                <w:rFonts w:eastAsia="新宋体"/>
                <w:b/>
                <w:bCs/>
                <w:color w:val="000000" w:themeColor="text1"/>
                <w:sz w:val="18"/>
                <w:szCs w:val="18"/>
                <w14:textFill>
                  <w14:solidFill>
                    <w14:schemeClr w14:val="tx1"/>
                  </w14:solidFill>
                </w14:textFill>
              </w:rPr>
              <w:instrText xml:space="preserve"> = 1 \* GB3 \* MERGEFORMAT </w:instrText>
            </w:r>
            <w:r>
              <w:rPr>
                <w:rFonts w:eastAsia="新宋体"/>
                <w:b/>
                <w:bCs/>
                <w:color w:val="000000" w:themeColor="text1"/>
                <w:sz w:val="18"/>
                <w:szCs w:val="18"/>
                <w14:textFill>
                  <w14:solidFill>
                    <w14:schemeClr w14:val="tx1"/>
                  </w14:solidFill>
                </w14:textFill>
              </w:rPr>
              <w:fldChar w:fldCharType="separate"/>
            </w:r>
            <w:r>
              <w:rPr>
                <w:rFonts w:hint="eastAsia" w:ascii="宋体" w:hAnsi="宋体" w:cs="宋体"/>
                <w:b/>
                <w:bCs/>
                <w:color w:val="000000" w:themeColor="text1"/>
                <w:sz w:val="18"/>
                <w:szCs w:val="18"/>
                <w14:textFill>
                  <w14:solidFill>
                    <w14:schemeClr w14:val="tx1"/>
                  </w14:solidFill>
                </w14:textFill>
              </w:rPr>
              <w:t>①</w:t>
            </w:r>
            <w:r>
              <w:rPr>
                <w:rFonts w:eastAsia="新宋体"/>
                <w:b/>
                <w:bCs/>
                <w:color w:val="000000" w:themeColor="text1"/>
                <w:sz w:val="18"/>
                <w:szCs w:val="18"/>
                <w14:textFill>
                  <w14:solidFill>
                    <w14:schemeClr w14:val="tx1"/>
                  </w14:solidFill>
                </w14:textFill>
              </w:rPr>
              <w:fldChar w:fldCharType="end"/>
            </w:r>
          </w:p>
        </w:tc>
        <w:tc>
          <w:tcPr>
            <w:tcW w:w="1134" w:type="dxa"/>
            <w:tcMar>
              <w:left w:w="28" w:type="dxa"/>
              <w:right w:w="28" w:type="dxa"/>
            </w:tcMar>
            <w:vAlign w:val="center"/>
          </w:tcPr>
          <w:p w14:paraId="2B9F17BD">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现有工程</w:t>
            </w:r>
          </w:p>
          <w:p w14:paraId="115E74D8">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许可排放量</w:t>
            </w:r>
          </w:p>
          <w:p w14:paraId="6FB54B5F">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fldChar w:fldCharType="begin"/>
            </w:r>
            <w:r>
              <w:rPr>
                <w:rFonts w:eastAsia="新宋体"/>
                <w:b/>
                <w:bCs/>
                <w:color w:val="000000" w:themeColor="text1"/>
                <w:sz w:val="18"/>
                <w:szCs w:val="18"/>
                <w14:textFill>
                  <w14:solidFill>
                    <w14:schemeClr w14:val="tx1"/>
                  </w14:solidFill>
                </w14:textFill>
              </w:rPr>
              <w:instrText xml:space="preserve"> = 2 \* GB3 \* MERGEFORMAT </w:instrText>
            </w:r>
            <w:r>
              <w:rPr>
                <w:rFonts w:eastAsia="新宋体"/>
                <w:b/>
                <w:bCs/>
                <w:color w:val="000000" w:themeColor="text1"/>
                <w:sz w:val="18"/>
                <w:szCs w:val="18"/>
                <w14:textFill>
                  <w14:solidFill>
                    <w14:schemeClr w14:val="tx1"/>
                  </w14:solidFill>
                </w14:textFill>
              </w:rPr>
              <w:fldChar w:fldCharType="separate"/>
            </w:r>
            <w:r>
              <w:rPr>
                <w:rFonts w:hint="eastAsia" w:ascii="宋体" w:hAnsi="宋体" w:cs="宋体"/>
                <w:b/>
                <w:bCs/>
                <w:color w:val="000000" w:themeColor="text1"/>
                <w:sz w:val="18"/>
                <w:szCs w:val="18"/>
                <w14:textFill>
                  <w14:solidFill>
                    <w14:schemeClr w14:val="tx1"/>
                  </w14:solidFill>
                </w14:textFill>
              </w:rPr>
              <w:t>②</w:t>
            </w:r>
            <w:r>
              <w:rPr>
                <w:rFonts w:eastAsia="新宋体"/>
                <w:b/>
                <w:bCs/>
                <w:color w:val="000000" w:themeColor="text1"/>
                <w:sz w:val="18"/>
                <w:szCs w:val="18"/>
                <w14:textFill>
                  <w14:solidFill>
                    <w14:schemeClr w14:val="tx1"/>
                  </w14:solidFill>
                </w14:textFill>
              </w:rPr>
              <w:fldChar w:fldCharType="end"/>
            </w:r>
          </w:p>
        </w:tc>
        <w:tc>
          <w:tcPr>
            <w:tcW w:w="1417" w:type="dxa"/>
            <w:tcMar>
              <w:left w:w="28" w:type="dxa"/>
              <w:right w:w="28" w:type="dxa"/>
            </w:tcMar>
            <w:vAlign w:val="center"/>
          </w:tcPr>
          <w:p w14:paraId="1919719A">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在建工程</w:t>
            </w:r>
          </w:p>
          <w:p w14:paraId="0027DE9E">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排放量（固体废物产生量，</w:t>
            </w:r>
            <w:r>
              <w:rPr>
                <w:rFonts w:hint="eastAsia" w:eastAsia="新宋体"/>
                <w:b/>
                <w:bCs/>
                <w:color w:val="000000" w:themeColor="text1"/>
                <w:sz w:val="18"/>
                <w:szCs w:val="18"/>
                <w14:textFill>
                  <w14:solidFill>
                    <w14:schemeClr w14:val="tx1"/>
                  </w14:solidFill>
                </w14:textFill>
              </w:rPr>
              <w:t>t</w:t>
            </w:r>
            <w:r>
              <w:rPr>
                <w:rFonts w:eastAsia="新宋体"/>
                <w:b/>
                <w:bCs/>
                <w:color w:val="000000" w:themeColor="text1"/>
                <w:sz w:val="18"/>
                <w:szCs w:val="18"/>
                <w14:textFill>
                  <w14:solidFill>
                    <w14:schemeClr w14:val="tx1"/>
                  </w14:solidFill>
                </w14:textFill>
              </w:rPr>
              <w:t>/a）</w:t>
            </w:r>
            <w:r>
              <w:rPr>
                <w:rFonts w:eastAsia="新宋体"/>
                <w:b/>
                <w:bCs/>
                <w:color w:val="000000" w:themeColor="text1"/>
                <w:sz w:val="18"/>
                <w:szCs w:val="18"/>
                <w14:textFill>
                  <w14:solidFill>
                    <w14:schemeClr w14:val="tx1"/>
                  </w14:solidFill>
                </w14:textFill>
              </w:rPr>
              <w:fldChar w:fldCharType="begin"/>
            </w:r>
            <w:r>
              <w:rPr>
                <w:rFonts w:eastAsia="新宋体"/>
                <w:b/>
                <w:bCs/>
                <w:color w:val="000000" w:themeColor="text1"/>
                <w:sz w:val="18"/>
                <w:szCs w:val="18"/>
                <w14:textFill>
                  <w14:solidFill>
                    <w14:schemeClr w14:val="tx1"/>
                  </w14:solidFill>
                </w14:textFill>
              </w:rPr>
              <w:instrText xml:space="preserve"> = 3 \* GB3 \* MERGEFORMAT </w:instrText>
            </w:r>
            <w:r>
              <w:rPr>
                <w:rFonts w:eastAsia="新宋体"/>
                <w:b/>
                <w:bCs/>
                <w:color w:val="000000" w:themeColor="text1"/>
                <w:sz w:val="18"/>
                <w:szCs w:val="18"/>
                <w14:textFill>
                  <w14:solidFill>
                    <w14:schemeClr w14:val="tx1"/>
                  </w14:solidFill>
                </w14:textFill>
              </w:rPr>
              <w:fldChar w:fldCharType="separate"/>
            </w:r>
            <w:r>
              <w:rPr>
                <w:rFonts w:hint="eastAsia" w:ascii="宋体" w:hAnsi="宋体" w:cs="宋体"/>
                <w:b/>
                <w:bCs/>
                <w:color w:val="000000" w:themeColor="text1"/>
                <w:sz w:val="18"/>
                <w:szCs w:val="18"/>
                <w14:textFill>
                  <w14:solidFill>
                    <w14:schemeClr w14:val="tx1"/>
                  </w14:solidFill>
                </w14:textFill>
              </w:rPr>
              <w:t>③</w:t>
            </w:r>
            <w:r>
              <w:rPr>
                <w:rFonts w:eastAsia="新宋体"/>
                <w:b/>
                <w:bCs/>
                <w:color w:val="000000" w:themeColor="text1"/>
                <w:sz w:val="18"/>
                <w:szCs w:val="18"/>
                <w14:textFill>
                  <w14:solidFill>
                    <w14:schemeClr w14:val="tx1"/>
                  </w14:solidFill>
                </w14:textFill>
              </w:rPr>
              <w:fldChar w:fldCharType="end"/>
            </w:r>
          </w:p>
        </w:tc>
        <w:tc>
          <w:tcPr>
            <w:tcW w:w="1418" w:type="dxa"/>
            <w:tcMar>
              <w:left w:w="28" w:type="dxa"/>
              <w:right w:w="28" w:type="dxa"/>
            </w:tcMar>
            <w:vAlign w:val="center"/>
          </w:tcPr>
          <w:p w14:paraId="1493F352">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本项目</w:t>
            </w:r>
          </w:p>
          <w:p w14:paraId="0AEA52CE">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排放量（固体废物产生量，</w:t>
            </w:r>
            <w:r>
              <w:rPr>
                <w:rFonts w:hint="eastAsia" w:eastAsia="新宋体"/>
                <w:b/>
                <w:bCs/>
                <w:color w:val="000000" w:themeColor="text1"/>
                <w:sz w:val="18"/>
                <w:szCs w:val="18"/>
                <w14:textFill>
                  <w14:solidFill>
                    <w14:schemeClr w14:val="tx1"/>
                  </w14:solidFill>
                </w14:textFill>
              </w:rPr>
              <w:t>t</w:t>
            </w:r>
            <w:r>
              <w:rPr>
                <w:rFonts w:eastAsia="新宋体"/>
                <w:b/>
                <w:bCs/>
                <w:color w:val="000000" w:themeColor="text1"/>
                <w:sz w:val="18"/>
                <w:szCs w:val="18"/>
                <w14:textFill>
                  <w14:solidFill>
                    <w14:schemeClr w14:val="tx1"/>
                  </w14:solidFill>
                </w14:textFill>
              </w:rPr>
              <w:t>/a）</w:t>
            </w:r>
            <w:r>
              <w:rPr>
                <w:rFonts w:eastAsia="新宋体"/>
                <w:b/>
                <w:bCs/>
                <w:color w:val="000000" w:themeColor="text1"/>
                <w:sz w:val="18"/>
                <w:szCs w:val="18"/>
                <w14:textFill>
                  <w14:solidFill>
                    <w14:schemeClr w14:val="tx1"/>
                  </w14:solidFill>
                </w14:textFill>
              </w:rPr>
              <w:fldChar w:fldCharType="begin"/>
            </w:r>
            <w:r>
              <w:rPr>
                <w:rFonts w:eastAsia="新宋体"/>
                <w:b/>
                <w:bCs/>
                <w:color w:val="000000" w:themeColor="text1"/>
                <w:sz w:val="18"/>
                <w:szCs w:val="18"/>
                <w14:textFill>
                  <w14:solidFill>
                    <w14:schemeClr w14:val="tx1"/>
                  </w14:solidFill>
                </w14:textFill>
              </w:rPr>
              <w:instrText xml:space="preserve"> = 4 \* GB3 \* MERGEFORMAT </w:instrText>
            </w:r>
            <w:r>
              <w:rPr>
                <w:rFonts w:eastAsia="新宋体"/>
                <w:b/>
                <w:bCs/>
                <w:color w:val="000000" w:themeColor="text1"/>
                <w:sz w:val="18"/>
                <w:szCs w:val="18"/>
                <w14:textFill>
                  <w14:solidFill>
                    <w14:schemeClr w14:val="tx1"/>
                  </w14:solidFill>
                </w14:textFill>
              </w:rPr>
              <w:fldChar w:fldCharType="separate"/>
            </w:r>
            <w:r>
              <w:rPr>
                <w:rFonts w:hint="eastAsia" w:ascii="宋体" w:hAnsi="宋体" w:cs="宋体"/>
                <w:b/>
                <w:bCs/>
                <w:color w:val="000000" w:themeColor="text1"/>
                <w:sz w:val="18"/>
                <w:szCs w:val="18"/>
                <w14:textFill>
                  <w14:solidFill>
                    <w14:schemeClr w14:val="tx1"/>
                  </w14:solidFill>
                </w14:textFill>
              </w:rPr>
              <w:t>④</w:t>
            </w:r>
            <w:r>
              <w:rPr>
                <w:rFonts w:eastAsia="新宋体"/>
                <w:b/>
                <w:bCs/>
                <w:color w:val="000000" w:themeColor="text1"/>
                <w:sz w:val="18"/>
                <w:szCs w:val="18"/>
                <w14:textFill>
                  <w14:solidFill>
                    <w14:schemeClr w14:val="tx1"/>
                  </w14:solidFill>
                </w14:textFill>
              </w:rPr>
              <w:fldChar w:fldCharType="end"/>
            </w:r>
          </w:p>
        </w:tc>
        <w:tc>
          <w:tcPr>
            <w:tcW w:w="992" w:type="dxa"/>
            <w:tcMar>
              <w:left w:w="28" w:type="dxa"/>
              <w:right w:w="28" w:type="dxa"/>
            </w:tcMar>
            <w:vAlign w:val="center"/>
          </w:tcPr>
          <w:p w14:paraId="5A776BA7">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以新带老削减量</w:t>
            </w:r>
          </w:p>
          <w:p w14:paraId="3269C842">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w:t>
            </w:r>
            <w:r>
              <w:rPr>
                <w:rFonts w:hint="eastAsia" w:eastAsia="新宋体"/>
                <w:b/>
                <w:bCs/>
                <w:color w:val="000000" w:themeColor="text1"/>
                <w:sz w:val="18"/>
                <w:szCs w:val="18"/>
                <w14:textFill>
                  <w14:solidFill>
                    <w14:schemeClr w14:val="tx1"/>
                  </w14:solidFill>
                </w14:textFill>
              </w:rPr>
              <w:t>t</w:t>
            </w:r>
            <w:r>
              <w:rPr>
                <w:rFonts w:eastAsia="新宋体"/>
                <w:b/>
                <w:bCs/>
                <w:color w:val="000000" w:themeColor="text1"/>
                <w:sz w:val="18"/>
                <w:szCs w:val="18"/>
                <w14:textFill>
                  <w14:solidFill>
                    <w14:schemeClr w14:val="tx1"/>
                  </w14:solidFill>
                </w14:textFill>
              </w:rPr>
              <w:t>/a）</w:t>
            </w:r>
            <w:r>
              <w:rPr>
                <w:rFonts w:eastAsia="新宋体"/>
                <w:b/>
                <w:bCs/>
                <w:color w:val="000000" w:themeColor="text1"/>
                <w:sz w:val="18"/>
                <w:szCs w:val="18"/>
                <w14:textFill>
                  <w14:solidFill>
                    <w14:schemeClr w14:val="tx1"/>
                  </w14:solidFill>
                </w14:textFill>
              </w:rPr>
              <w:fldChar w:fldCharType="begin"/>
            </w:r>
            <w:r>
              <w:rPr>
                <w:rFonts w:eastAsia="新宋体"/>
                <w:b/>
                <w:bCs/>
                <w:color w:val="000000" w:themeColor="text1"/>
                <w:sz w:val="18"/>
                <w:szCs w:val="18"/>
                <w14:textFill>
                  <w14:solidFill>
                    <w14:schemeClr w14:val="tx1"/>
                  </w14:solidFill>
                </w14:textFill>
              </w:rPr>
              <w:instrText xml:space="preserve"> = 5 \* GB3 \* MERGEFORMAT </w:instrText>
            </w:r>
            <w:r>
              <w:rPr>
                <w:rFonts w:eastAsia="新宋体"/>
                <w:b/>
                <w:bCs/>
                <w:color w:val="000000" w:themeColor="text1"/>
                <w:sz w:val="18"/>
                <w:szCs w:val="18"/>
                <w14:textFill>
                  <w14:solidFill>
                    <w14:schemeClr w14:val="tx1"/>
                  </w14:solidFill>
                </w14:textFill>
              </w:rPr>
              <w:fldChar w:fldCharType="separate"/>
            </w:r>
            <w:r>
              <w:rPr>
                <w:rFonts w:hint="eastAsia" w:ascii="宋体" w:hAnsi="宋体" w:cs="宋体"/>
                <w:b/>
                <w:bCs/>
                <w:color w:val="000000" w:themeColor="text1"/>
                <w:sz w:val="18"/>
                <w:szCs w:val="18"/>
                <w14:textFill>
                  <w14:solidFill>
                    <w14:schemeClr w14:val="tx1"/>
                  </w14:solidFill>
                </w14:textFill>
              </w:rPr>
              <w:t>⑤</w:t>
            </w:r>
            <w:r>
              <w:rPr>
                <w:rFonts w:eastAsia="新宋体"/>
                <w:b/>
                <w:bCs/>
                <w:color w:val="000000" w:themeColor="text1"/>
                <w:sz w:val="18"/>
                <w:szCs w:val="18"/>
                <w14:textFill>
                  <w14:solidFill>
                    <w14:schemeClr w14:val="tx1"/>
                  </w14:solidFill>
                </w14:textFill>
              </w:rPr>
              <w:fldChar w:fldCharType="end"/>
            </w:r>
          </w:p>
        </w:tc>
        <w:tc>
          <w:tcPr>
            <w:tcW w:w="1418" w:type="dxa"/>
            <w:tcMar>
              <w:left w:w="28" w:type="dxa"/>
              <w:right w:w="28" w:type="dxa"/>
            </w:tcMar>
            <w:vAlign w:val="center"/>
          </w:tcPr>
          <w:p w14:paraId="1F3448D2">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本项目建成后</w:t>
            </w:r>
          </w:p>
          <w:p w14:paraId="33DA66A6">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全厂排放量（固体废物产生量，</w:t>
            </w:r>
            <w:r>
              <w:rPr>
                <w:rFonts w:hint="eastAsia" w:eastAsia="新宋体"/>
                <w:b/>
                <w:bCs/>
                <w:color w:val="000000" w:themeColor="text1"/>
                <w:sz w:val="18"/>
                <w:szCs w:val="18"/>
                <w14:textFill>
                  <w14:solidFill>
                    <w14:schemeClr w14:val="tx1"/>
                  </w14:solidFill>
                </w14:textFill>
              </w:rPr>
              <w:t>t</w:t>
            </w:r>
            <w:r>
              <w:rPr>
                <w:rFonts w:eastAsia="新宋体"/>
                <w:b/>
                <w:bCs/>
                <w:color w:val="000000" w:themeColor="text1"/>
                <w:sz w:val="18"/>
                <w:szCs w:val="18"/>
                <w14:textFill>
                  <w14:solidFill>
                    <w14:schemeClr w14:val="tx1"/>
                  </w14:solidFill>
                </w14:textFill>
              </w:rPr>
              <w:t>g/a）</w:t>
            </w:r>
            <w:r>
              <w:rPr>
                <w:rFonts w:eastAsia="新宋体"/>
                <w:b/>
                <w:bCs/>
                <w:color w:val="000000" w:themeColor="text1"/>
                <w:sz w:val="18"/>
                <w:szCs w:val="18"/>
                <w14:textFill>
                  <w14:solidFill>
                    <w14:schemeClr w14:val="tx1"/>
                  </w14:solidFill>
                </w14:textFill>
              </w:rPr>
              <w:fldChar w:fldCharType="begin"/>
            </w:r>
            <w:r>
              <w:rPr>
                <w:rFonts w:eastAsia="新宋体"/>
                <w:b/>
                <w:bCs/>
                <w:color w:val="000000" w:themeColor="text1"/>
                <w:sz w:val="18"/>
                <w:szCs w:val="18"/>
                <w14:textFill>
                  <w14:solidFill>
                    <w14:schemeClr w14:val="tx1"/>
                  </w14:solidFill>
                </w14:textFill>
              </w:rPr>
              <w:instrText xml:space="preserve"> = 6 \* GB3 \* MERGEFORMAT </w:instrText>
            </w:r>
            <w:r>
              <w:rPr>
                <w:rFonts w:eastAsia="新宋体"/>
                <w:b/>
                <w:bCs/>
                <w:color w:val="000000" w:themeColor="text1"/>
                <w:sz w:val="18"/>
                <w:szCs w:val="18"/>
                <w14:textFill>
                  <w14:solidFill>
                    <w14:schemeClr w14:val="tx1"/>
                  </w14:solidFill>
                </w14:textFill>
              </w:rPr>
              <w:fldChar w:fldCharType="separate"/>
            </w:r>
            <w:r>
              <w:rPr>
                <w:rFonts w:hint="eastAsia" w:ascii="宋体" w:hAnsi="宋体" w:cs="宋体"/>
                <w:b/>
                <w:bCs/>
                <w:color w:val="000000" w:themeColor="text1"/>
                <w:sz w:val="18"/>
                <w:szCs w:val="18"/>
                <w14:textFill>
                  <w14:solidFill>
                    <w14:schemeClr w14:val="tx1"/>
                  </w14:solidFill>
                </w14:textFill>
              </w:rPr>
              <w:t>⑥</w:t>
            </w:r>
            <w:r>
              <w:rPr>
                <w:rFonts w:eastAsia="新宋体"/>
                <w:b/>
                <w:bCs/>
                <w:color w:val="000000" w:themeColor="text1"/>
                <w:sz w:val="18"/>
                <w:szCs w:val="18"/>
                <w14:textFill>
                  <w14:solidFill>
                    <w14:schemeClr w14:val="tx1"/>
                  </w14:solidFill>
                </w14:textFill>
              </w:rPr>
              <w:fldChar w:fldCharType="end"/>
            </w:r>
          </w:p>
        </w:tc>
        <w:tc>
          <w:tcPr>
            <w:tcW w:w="1427" w:type="dxa"/>
            <w:tcMar>
              <w:left w:w="28" w:type="dxa"/>
              <w:right w:w="28" w:type="dxa"/>
            </w:tcMar>
            <w:vAlign w:val="center"/>
          </w:tcPr>
          <w:p w14:paraId="5CA0B749">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变化量，</w:t>
            </w:r>
            <w:r>
              <w:rPr>
                <w:rFonts w:hint="eastAsia" w:eastAsia="新宋体"/>
                <w:b/>
                <w:bCs/>
                <w:color w:val="000000" w:themeColor="text1"/>
                <w:sz w:val="18"/>
                <w:szCs w:val="18"/>
                <w14:textFill>
                  <w14:solidFill>
                    <w14:schemeClr w14:val="tx1"/>
                  </w14:solidFill>
                </w14:textFill>
              </w:rPr>
              <w:t>t</w:t>
            </w:r>
            <w:r>
              <w:rPr>
                <w:rFonts w:eastAsia="新宋体"/>
                <w:b/>
                <w:bCs/>
                <w:color w:val="000000" w:themeColor="text1"/>
                <w:sz w:val="18"/>
                <w:szCs w:val="18"/>
                <w14:textFill>
                  <w14:solidFill>
                    <w14:schemeClr w14:val="tx1"/>
                  </w14:solidFill>
                </w14:textFill>
              </w:rPr>
              <w:t>/a</w:t>
            </w:r>
          </w:p>
          <w:p w14:paraId="1CA44237">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fldChar w:fldCharType="begin"/>
            </w:r>
            <w:r>
              <w:rPr>
                <w:rFonts w:eastAsia="新宋体"/>
                <w:b/>
                <w:bCs/>
                <w:color w:val="000000" w:themeColor="text1"/>
                <w:sz w:val="18"/>
                <w:szCs w:val="18"/>
                <w14:textFill>
                  <w14:solidFill>
                    <w14:schemeClr w14:val="tx1"/>
                  </w14:solidFill>
                </w14:textFill>
              </w:rPr>
              <w:instrText xml:space="preserve"> = 7 \* GB3 \* MERGEFORMAT </w:instrText>
            </w:r>
            <w:r>
              <w:rPr>
                <w:rFonts w:eastAsia="新宋体"/>
                <w:b/>
                <w:bCs/>
                <w:color w:val="000000" w:themeColor="text1"/>
                <w:sz w:val="18"/>
                <w:szCs w:val="18"/>
                <w14:textFill>
                  <w14:solidFill>
                    <w14:schemeClr w14:val="tx1"/>
                  </w14:solidFill>
                </w14:textFill>
              </w:rPr>
              <w:fldChar w:fldCharType="separate"/>
            </w:r>
            <w:r>
              <w:rPr>
                <w:rFonts w:hint="eastAsia" w:ascii="宋体" w:hAnsi="宋体" w:cs="宋体"/>
                <w:b/>
                <w:bCs/>
                <w:color w:val="000000" w:themeColor="text1"/>
                <w:sz w:val="18"/>
                <w:szCs w:val="18"/>
                <w14:textFill>
                  <w14:solidFill>
                    <w14:schemeClr w14:val="tx1"/>
                  </w14:solidFill>
                </w14:textFill>
              </w:rPr>
              <w:t>⑦</w:t>
            </w:r>
            <w:r>
              <w:rPr>
                <w:rFonts w:eastAsia="新宋体"/>
                <w:b/>
                <w:bCs/>
                <w:color w:val="000000" w:themeColor="text1"/>
                <w:sz w:val="18"/>
                <w:szCs w:val="18"/>
                <w14:textFill>
                  <w14:solidFill>
                    <w14:schemeClr w14:val="tx1"/>
                  </w14:solidFill>
                </w14:textFill>
              </w:rPr>
              <w:fldChar w:fldCharType="end"/>
            </w:r>
          </w:p>
        </w:tc>
      </w:tr>
      <w:tr w14:paraId="23ED803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124" w:type="dxa"/>
            <w:vMerge w:val="restart"/>
            <w:vAlign w:val="center"/>
          </w:tcPr>
          <w:p w14:paraId="0E1A8EB4">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废水（576m</w:t>
            </w:r>
            <w:r>
              <w:rPr>
                <w:rFonts w:eastAsia="新宋体"/>
                <w:b/>
                <w:bCs/>
                <w:color w:val="000000" w:themeColor="text1"/>
                <w:sz w:val="18"/>
                <w:szCs w:val="18"/>
                <w:vertAlign w:val="superscript"/>
                <w14:textFill>
                  <w14:solidFill>
                    <w14:schemeClr w14:val="tx1"/>
                  </w14:solidFill>
                </w14:textFill>
              </w:rPr>
              <w:t>3</w:t>
            </w:r>
            <w:r>
              <w:rPr>
                <w:rFonts w:eastAsia="新宋体"/>
                <w:b/>
                <w:bCs/>
                <w:color w:val="000000" w:themeColor="text1"/>
                <w:sz w:val="18"/>
                <w:szCs w:val="18"/>
                <w14:textFill>
                  <w14:solidFill>
                    <w14:schemeClr w14:val="tx1"/>
                  </w14:solidFill>
                </w14:textFill>
              </w:rPr>
              <w:t>/a）</w:t>
            </w:r>
          </w:p>
        </w:tc>
        <w:tc>
          <w:tcPr>
            <w:tcW w:w="3299" w:type="dxa"/>
            <w:tcBorders>
              <w:top w:val="single" w:color="auto" w:sz="4" w:space="0"/>
            </w:tcBorders>
            <w:vAlign w:val="center"/>
          </w:tcPr>
          <w:p w14:paraId="2BE14DE2">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CODcr</w:t>
            </w:r>
          </w:p>
        </w:tc>
        <w:tc>
          <w:tcPr>
            <w:tcW w:w="1559" w:type="dxa"/>
            <w:vAlign w:val="center"/>
          </w:tcPr>
          <w:p w14:paraId="7D759D4E">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0.864</w:t>
            </w:r>
          </w:p>
        </w:tc>
        <w:tc>
          <w:tcPr>
            <w:tcW w:w="1134" w:type="dxa"/>
            <w:vAlign w:val="center"/>
          </w:tcPr>
          <w:p w14:paraId="2420C11C">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0</w:t>
            </w:r>
          </w:p>
        </w:tc>
        <w:tc>
          <w:tcPr>
            <w:tcW w:w="1417" w:type="dxa"/>
            <w:vAlign w:val="center"/>
          </w:tcPr>
          <w:p w14:paraId="179D07BF">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0</w:t>
            </w:r>
          </w:p>
        </w:tc>
        <w:tc>
          <w:tcPr>
            <w:tcW w:w="1418" w:type="dxa"/>
            <w:vAlign w:val="center"/>
          </w:tcPr>
          <w:p w14:paraId="7E3EE32E">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w:t>
            </w:r>
            <w:r>
              <w:rPr>
                <w:rFonts w:hint="eastAsia" w:eastAsia="新宋体"/>
                <w:color w:val="000000" w:themeColor="text1"/>
                <w:kern w:val="0"/>
                <w:sz w:val="18"/>
                <w:szCs w:val="18"/>
                <w14:textFill>
                  <w14:solidFill>
                    <w14:schemeClr w14:val="tx1"/>
                  </w14:solidFill>
                </w14:textFill>
              </w:rPr>
              <w:t>115</w:t>
            </w:r>
          </w:p>
        </w:tc>
        <w:tc>
          <w:tcPr>
            <w:tcW w:w="992" w:type="dxa"/>
          </w:tcPr>
          <w:p w14:paraId="4D9E4FC6">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4D6746B4">
            <w:pPr>
              <w:widowControl/>
              <w:jc w:val="center"/>
              <w:rPr>
                <w:rFonts w:eastAsia="新宋体"/>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0.97</w:t>
            </w:r>
            <w:r>
              <w:rPr>
                <w:rFonts w:hint="eastAsia"/>
                <w:color w:val="000000" w:themeColor="text1"/>
                <w:sz w:val="18"/>
                <w:szCs w:val="18"/>
                <w14:textFill>
                  <w14:solidFill>
                    <w14:schemeClr w14:val="tx1"/>
                  </w14:solidFill>
                </w14:textFill>
              </w:rPr>
              <w:t>9</w:t>
            </w:r>
          </w:p>
        </w:tc>
        <w:tc>
          <w:tcPr>
            <w:tcW w:w="1427" w:type="dxa"/>
            <w:vAlign w:val="center"/>
          </w:tcPr>
          <w:p w14:paraId="0E105730">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w:t>
            </w:r>
            <w:r>
              <w:rPr>
                <w:rFonts w:hint="eastAsia" w:eastAsia="新宋体"/>
                <w:color w:val="000000" w:themeColor="text1"/>
                <w:kern w:val="0"/>
                <w:sz w:val="18"/>
                <w:szCs w:val="18"/>
                <w14:textFill>
                  <w14:solidFill>
                    <w14:schemeClr w14:val="tx1"/>
                  </w14:solidFill>
                </w14:textFill>
              </w:rPr>
              <w:t>115</w:t>
            </w:r>
          </w:p>
        </w:tc>
      </w:tr>
      <w:tr w14:paraId="509A8FE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1124" w:type="dxa"/>
            <w:vMerge w:val="continue"/>
            <w:vAlign w:val="center"/>
          </w:tcPr>
          <w:p w14:paraId="695C8529">
            <w:pPr>
              <w:spacing w:line="276" w:lineRule="auto"/>
              <w:jc w:val="center"/>
              <w:rPr>
                <w:rFonts w:eastAsia="新宋体"/>
                <w:b/>
                <w:bCs/>
                <w:color w:val="000000" w:themeColor="text1"/>
                <w:sz w:val="18"/>
                <w:szCs w:val="18"/>
                <w14:textFill>
                  <w14:solidFill>
                    <w14:schemeClr w14:val="tx1"/>
                  </w14:solidFill>
                </w14:textFill>
              </w:rPr>
            </w:pPr>
          </w:p>
        </w:tc>
        <w:tc>
          <w:tcPr>
            <w:tcW w:w="3299" w:type="dxa"/>
            <w:vAlign w:val="center"/>
          </w:tcPr>
          <w:p w14:paraId="1D6D652A">
            <w:pPr>
              <w:widowControl/>
              <w:spacing w:line="276" w:lineRule="auto"/>
              <w:jc w:val="center"/>
              <w:rPr>
                <w:rFonts w:eastAsia="新宋体"/>
                <w:color w:val="000000" w:themeColor="text1"/>
                <w:kern w:val="0"/>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BOD</w:t>
            </w:r>
            <w:r>
              <w:rPr>
                <w:rFonts w:eastAsia="新宋体"/>
                <w:color w:val="000000" w:themeColor="text1"/>
                <w:sz w:val="18"/>
                <w:szCs w:val="18"/>
                <w:vertAlign w:val="subscript"/>
                <w14:textFill>
                  <w14:solidFill>
                    <w14:schemeClr w14:val="tx1"/>
                  </w14:solidFill>
                </w14:textFill>
              </w:rPr>
              <w:t>5</w:t>
            </w:r>
          </w:p>
        </w:tc>
        <w:tc>
          <w:tcPr>
            <w:tcW w:w="1559" w:type="dxa"/>
            <w:vAlign w:val="center"/>
          </w:tcPr>
          <w:p w14:paraId="08CECBFC">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0</w:t>
            </w:r>
            <w:r>
              <w:rPr>
                <w:rFonts w:hint="eastAsia" w:eastAsia="新宋体"/>
                <w:color w:val="000000" w:themeColor="text1"/>
                <w:sz w:val="18"/>
                <w:szCs w:val="18"/>
                <w14:textFill>
                  <w14:solidFill>
                    <w14:schemeClr w14:val="tx1"/>
                  </w14:solidFill>
                </w14:textFill>
              </w:rPr>
              <w:t>.173</w:t>
            </w:r>
          </w:p>
        </w:tc>
        <w:tc>
          <w:tcPr>
            <w:tcW w:w="1134" w:type="dxa"/>
            <w:vAlign w:val="center"/>
          </w:tcPr>
          <w:p w14:paraId="00744038">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0</w:t>
            </w:r>
          </w:p>
        </w:tc>
        <w:tc>
          <w:tcPr>
            <w:tcW w:w="1417" w:type="dxa"/>
            <w:vAlign w:val="center"/>
          </w:tcPr>
          <w:p w14:paraId="06D04444">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0</w:t>
            </w:r>
          </w:p>
        </w:tc>
        <w:tc>
          <w:tcPr>
            <w:tcW w:w="1418" w:type="dxa"/>
            <w:vAlign w:val="center"/>
          </w:tcPr>
          <w:p w14:paraId="7ED7A6B6">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w:t>
            </w:r>
            <w:r>
              <w:rPr>
                <w:rFonts w:hint="eastAsia" w:eastAsia="新宋体"/>
                <w:color w:val="000000" w:themeColor="text1"/>
                <w:kern w:val="0"/>
                <w:sz w:val="18"/>
                <w:szCs w:val="18"/>
                <w14:textFill>
                  <w14:solidFill>
                    <w14:schemeClr w14:val="tx1"/>
                  </w14:solidFill>
                </w14:textFill>
              </w:rPr>
              <w:t>046</w:t>
            </w:r>
          </w:p>
        </w:tc>
        <w:tc>
          <w:tcPr>
            <w:tcW w:w="992" w:type="dxa"/>
          </w:tcPr>
          <w:p w14:paraId="3223A0CC">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1BDC79F8">
            <w:pPr>
              <w:widowControl/>
              <w:jc w:val="center"/>
              <w:rPr>
                <w:rFonts w:eastAsia="新宋体"/>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0.21</w:t>
            </w:r>
            <w:r>
              <w:rPr>
                <w:rFonts w:hint="eastAsia"/>
                <w:color w:val="000000" w:themeColor="text1"/>
                <w:sz w:val="18"/>
                <w:szCs w:val="18"/>
                <w14:textFill>
                  <w14:solidFill>
                    <w14:schemeClr w14:val="tx1"/>
                  </w14:solidFill>
                </w14:textFill>
              </w:rPr>
              <w:t>9</w:t>
            </w:r>
          </w:p>
        </w:tc>
        <w:tc>
          <w:tcPr>
            <w:tcW w:w="1427" w:type="dxa"/>
            <w:vAlign w:val="center"/>
          </w:tcPr>
          <w:p w14:paraId="743FD9FC">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w:t>
            </w:r>
            <w:r>
              <w:rPr>
                <w:rFonts w:hint="eastAsia" w:eastAsia="新宋体"/>
                <w:color w:val="000000" w:themeColor="text1"/>
                <w:kern w:val="0"/>
                <w:sz w:val="18"/>
                <w:szCs w:val="18"/>
                <w14:textFill>
                  <w14:solidFill>
                    <w14:schemeClr w14:val="tx1"/>
                  </w14:solidFill>
                </w14:textFill>
              </w:rPr>
              <w:t>046</w:t>
            </w:r>
          </w:p>
        </w:tc>
      </w:tr>
      <w:tr w14:paraId="40077D2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1124" w:type="dxa"/>
            <w:vMerge w:val="continue"/>
            <w:vAlign w:val="center"/>
          </w:tcPr>
          <w:p w14:paraId="548F9EC2">
            <w:pPr>
              <w:spacing w:line="276" w:lineRule="auto"/>
              <w:jc w:val="center"/>
              <w:rPr>
                <w:rFonts w:eastAsia="新宋体"/>
                <w:b/>
                <w:bCs/>
                <w:color w:val="000000" w:themeColor="text1"/>
                <w:sz w:val="18"/>
                <w:szCs w:val="18"/>
                <w14:textFill>
                  <w14:solidFill>
                    <w14:schemeClr w14:val="tx1"/>
                  </w14:solidFill>
                </w14:textFill>
              </w:rPr>
            </w:pPr>
          </w:p>
        </w:tc>
        <w:tc>
          <w:tcPr>
            <w:tcW w:w="3299" w:type="dxa"/>
            <w:vAlign w:val="center"/>
          </w:tcPr>
          <w:p w14:paraId="24CA4C66">
            <w:pPr>
              <w:widowControl/>
              <w:spacing w:line="276" w:lineRule="auto"/>
              <w:jc w:val="center"/>
              <w:rPr>
                <w:rFonts w:eastAsia="新宋体"/>
                <w:color w:val="000000" w:themeColor="text1"/>
                <w:kern w:val="0"/>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NH</w:t>
            </w:r>
            <w:r>
              <w:rPr>
                <w:rFonts w:eastAsia="新宋体"/>
                <w:color w:val="000000" w:themeColor="text1"/>
                <w:sz w:val="18"/>
                <w:szCs w:val="18"/>
                <w:vertAlign w:val="subscript"/>
                <w14:textFill>
                  <w14:solidFill>
                    <w14:schemeClr w14:val="tx1"/>
                  </w14:solidFill>
                </w14:textFill>
              </w:rPr>
              <w:t>3</w:t>
            </w:r>
            <w:r>
              <w:rPr>
                <w:rFonts w:eastAsia="新宋体"/>
                <w:color w:val="000000" w:themeColor="text1"/>
                <w:sz w:val="18"/>
                <w:szCs w:val="18"/>
                <w14:textFill>
                  <w14:solidFill>
                    <w14:schemeClr w14:val="tx1"/>
                  </w14:solidFill>
                </w14:textFill>
              </w:rPr>
              <w:t>-N</w:t>
            </w:r>
          </w:p>
        </w:tc>
        <w:tc>
          <w:tcPr>
            <w:tcW w:w="1559" w:type="dxa"/>
            <w:vAlign w:val="center"/>
          </w:tcPr>
          <w:p w14:paraId="7FE1A950">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0</w:t>
            </w:r>
            <w:r>
              <w:rPr>
                <w:rFonts w:hint="eastAsia" w:eastAsia="新宋体"/>
                <w:color w:val="000000" w:themeColor="text1"/>
                <w:sz w:val="18"/>
                <w:szCs w:val="18"/>
                <w14:textFill>
                  <w14:solidFill>
                    <w14:schemeClr w14:val="tx1"/>
                  </w14:solidFill>
                </w14:textFill>
              </w:rPr>
              <w:t>.13</w:t>
            </w:r>
          </w:p>
        </w:tc>
        <w:tc>
          <w:tcPr>
            <w:tcW w:w="1134" w:type="dxa"/>
            <w:vAlign w:val="center"/>
          </w:tcPr>
          <w:p w14:paraId="0F294E1D">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0</w:t>
            </w:r>
          </w:p>
        </w:tc>
        <w:tc>
          <w:tcPr>
            <w:tcW w:w="1417" w:type="dxa"/>
            <w:vAlign w:val="center"/>
          </w:tcPr>
          <w:p w14:paraId="3EA65F50">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0</w:t>
            </w:r>
          </w:p>
        </w:tc>
        <w:tc>
          <w:tcPr>
            <w:tcW w:w="1418" w:type="dxa"/>
            <w:vAlign w:val="center"/>
          </w:tcPr>
          <w:p w14:paraId="0FA3636C">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w:t>
            </w:r>
            <w:r>
              <w:rPr>
                <w:rFonts w:hint="eastAsia" w:eastAsia="新宋体"/>
                <w:color w:val="000000" w:themeColor="text1"/>
                <w:kern w:val="0"/>
                <w:sz w:val="18"/>
                <w:szCs w:val="18"/>
                <w14:textFill>
                  <w14:solidFill>
                    <w14:schemeClr w14:val="tx1"/>
                  </w14:solidFill>
                </w14:textFill>
              </w:rPr>
              <w:t>060</w:t>
            </w:r>
          </w:p>
        </w:tc>
        <w:tc>
          <w:tcPr>
            <w:tcW w:w="992" w:type="dxa"/>
          </w:tcPr>
          <w:p w14:paraId="0A29D42B">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01BD365D">
            <w:pPr>
              <w:widowControl/>
              <w:jc w:val="center"/>
              <w:rPr>
                <w:rFonts w:eastAsia="新宋体"/>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0.1</w:t>
            </w:r>
            <w:r>
              <w:rPr>
                <w:rFonts w:hint="eastAsia"/>
                <w:color w:val="000000" w:themeColor="text1"/>
                <w:sz w:val="18"/>
                <w:szCs w:val="18"/>
                <w14:textFill>
                  <w14:solidFill>
                    <w14:schemeClr w14:val="tx1"/>
                  </w14:solidFill>
                </w14:textFill>
              </w:rPr>
              <w:t>90</w:t>
            </w:r>
          </w:p>
        </w:tc>
        <w:tc>
          <w:tcPr>
            <w:tcW w:w="1427" w:type="dxa"/>
            <w:vAlign w:val="center"/>
          </w:tcPr>
          <w:p w14:paraId="52DB3EDD">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w:t>
            </w:r>
            <w:r>
              <w:rPr>
                <w:rFonts w:hint="eastAsia" w:eastAsia="新宋体"/>
                <w:color w:val="000000" w:themeColor="text1"/>
                <w:kern w:val="0"/>
                <w:sz w:val="18"/>
                <w:szCs w:val="18"/>
                <w14:textFill>
                  <w14:solidFill>
                    <w14:schemeClr w14:val="tx1"/>
                  </w14:solidFill>
                </w14:textFill>
              </w:rPr>
              <w:t>060</w:t>
            </w:r>
          </w:p>
        </w:tc>
      </w:tr>
      <w:tr w14:paraId="5E45499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124" w:type="dxa"/>
            <w:vMerge w:val="continue"/>
            <w:vAlign w:val="center"/>
          </w:tcPr>
          <w:p w14:paraId="7A591BFA">
            <w:pPr>
              <w:spacing w:line="276" w:lineRule="auto"/>
              <w:jc w:val="center"/>
              <w:rPr>
                <w:rFonts w:eastAsia="新宋体"/>
                <w:b/>
                <w:bCs/>
                <w:color w:val="000000" w:themeColor="text1"/>
                <w:sz w:val="18"/>
                <w:szCs w:val="18"/>
                <w14:textFill>
                  <w14:solidFill>
                    <w14:schemeClr w14:val="tx1"/>
                  </w14:solidFill>
                </w14:textFill>
              </w:rPr>
            </w:pPr>
          </w:p>
        </w:tc>
        <w:tc>
          <w:tcPr>
            <w:tcW w:w="3299" w:type="dxa"/>
            <w:vAlign w:val="center"/>
          </w:tcPr>
          <w:p w14:paraId="47934BB8">
            <w:pPr>
              <w:widowControl/>
              <w:spacing w:line="276" w:lineRule="auto"/>
              <w:jc w:val="center"/>
              <w:rPr>
                <w:rFonts w:eastAsia="新宋体"/>
                <w:color w:val="000000" w:themeColor="text1"/>
                <w:kern w:val="0"/>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SS</w:t>
            </w:r>
          </w:p>
        </w:tc>
        <w:tc>
          <w:tcPr>
            <w:tcW w:w="1559" w:type="dxa"/>
            <w:vAlign w:val="center"/>
          </w:tcPr>
          <w:p w14:paraId="78CC9C18">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0</w:t>
            </w:r>
            <w:r>
              <w:rPr>
                <w:rFonts w:hint="eastAsia" w:eastAsia="新宋体"/>
                <w:color w:val="000000" w:themeColor="text1"/>
                <w:sz w:val="18"/>
                <w:szCs w:val="18"/>
                <w14:textFill>
                  <w14:solidFill>
                    <w14:schemeClr w14:val="tx1"/>
                  </w14:solidFill>
                </w14:textFill>
              </w:rPr>
              <w:t>.605</w:t>
            </w:r>
          </w:p>
        </w:tc>
        <w:tc>
          <w:tcPr>
            <w:tcW w:w="1134" w:type="dxa"/>
            <w:vAlign w:val="center"/>
          </w:tcPr>
          <w:p w14:paraId="5C8D4525">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0</w:t>
            </w:r>
          </w:p>
        </w:tc>
        <w:tc>
          <w:tcPr>
            <w:tcW w:w="1417" w:type="dxa"/>
            <w:vAlign w:val="center"/>
          </w:tcPr>
          <w:p w14:paraId="32A2832B">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0</w:t>
            </w:r>
          </w:p>
        </w:tc>
        <w:tc>
          <w:tcPr>
            <w:tcW w:w="1418" w:type="dxa"/>
            <w:vAlign w:val="center"/>
          </w:tcPr>
          <w:p w14:paraId="1F8EE396">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.0</w:t>
            </w:r>
            <w:r>
              <w:rPr>
                <w:rFonts w:hint="eastAsia" w:eastAsia="新宋体"/>
                <w:color w:val="000000" w:themeColor="text1"/>
                <w:kern w:val="0"/>
                <w:sz w:val="18"/>
                <w:szCs w:val="18"/>
                <w14:textFill>
                  <w14:solidFill>
                    <w14:schemeClr w14:val="tx1"/>
                  </w14:solidFill>
                </w14:textFill>
              </w:rPr>
              <w:t>12</w:t>
            </w:r>
          </w:p>
        </w:tc>
        <w:tc>
          <w:tcPr>
            <w:tcW w:w="992" w:type="dxa"/>
          </w:tcPr>
          <w:p w14:paraId="47BDB899">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545FADE2">
            <w:pPr>
              <w:widowControl/>
              <w:jc w:val="center"/>
              <w:rPr>
                <w:rFonts w:eastAsia="新宋体"/>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0.61</w:t>
            </w:r>
            <w:r>
              <w:rPr>
                <w:rFonts w:hint="eastAsia"/>
                <w:color w:val="000000" w:themeColor="text1"/>
                <w:sz w:val="18"/>
                <w:szCs w:val="18"/>
                <w14:textFill>
                  <w14:solidFill>
                    <w14:schemeClr w14:val="tx1"/>
                  </w14:solidFill>
                </w14:textFill>
              </w:rPr>
              <w:t>7</w:t>
            </w:r>
          </w:p>
        </w:tc>
        <w:tc>
          <w:tcPr>
            <w:tcW w:w="1427" w:type="dxa"/>
            <w:vAlign w:val="center"/>
          </w:tcPr>
          <w:p w14:paraId="759E8AF2">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.0</w:t>
            </w:r>
            <w:r>
              <w:rPr>
                <w:rFonts w:hint="eastAsia" w:eastAsia="新宋体"/>
                <w:color w:val="000000" w:themeColor="text1"/>
                <w:kern w:val="0"/>
                <w:sz w:val="18"/>
                <w:szCs w:val="18"/>
                <w14:textFill>
                  <w14:solidFill>
                    <w14:schemeClr w14:val="tx1"/>
                  </w14:solidFill>
                </w14:textFill>
              </w:rPr>
              <w:t>12</w:t>
            </w:r>
          </w:p>
        </w:tc>
      </w:tr>
      <w:tr w14:paraId="71BD69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124" w:type="dxa"/>
            <w:vMerge w:val="continue"/>
            <w:vAlign w:val="center"/>
          </w:tcPr>
          <w:p w14:paraId="23242FFF">
            <w:pPr>
              <w:spacing w:line="276" w:lineRule="auto"/>
              <w:jc w:val="center"/>
              <w:rPr>
                <w:rFonts w:eastAsia="新宋体"/>
                <w:b/>
                <w:bCs/>
                <w:color w:val="000000" w:themeColor="text1"/>
                <w:sz w:val="18"/>
                <w:szCs w:val="18"/>
                <w14:textFill>
                  <w14:solidFill>
                    <w14:schemeClr w14:val="tx1"/>
                  </w14:solidFill>
                </w14:textFill>
              </w:rPr>
            </w:pPr>
          </w:p>
        </w:tc>
        <w:tc>
          <w:tcPr>
            <w:tcW w:w="3299" w:type="dxa"/>
            <w:vAlign w:val="center"/>
          </w:tcPr>
          <w:p w14:paraId="3E5207D4">
            <w:pPr>
              <w:widowControl/>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TP</w:t>
            </w:r>
          </w:p>
        </w:tc>
        <w:tc>
          <w:tcPr>
            <w:tcW w:w="1559" w:type="dxa"/>
            <w:vAlign w:val="center"/>
          </w:tcPr>
          <w:p w14:paraId="6C0320B6">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134" w:type="dxa"/>
            <w:vAlign w:val="center"/>
          </w:tcPr>
          <w:p w14:paraId="4F0AD802">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7" w:type="dxa"/>
            <w:vAlign w:val="center"/>
          </w:tcPr>
          <w:p w14:paraId="6E0DA229">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1C12EC24">
            <w:pPr>
              <w:widowControl/>
              <w:jc w:val="center"/>
              <w:rPr>
                <w:rFonts w:eastAsia="等线"/>
                <w:color w:val="000000" w:themeColor="text1"/>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.0</w:t>
            </w:r>
            <w:r>
              <w:rPr>
                <w:rFonts w:hint="eastAsia" w:eastAsia="新宋体"/>
                <w:color w:val="000000" w:themeColor="text1"/>
                <w:kern w:val="0"/>
                <w:sz w:val="18"/>
                <w:szCs w:val="18"/>
                <w14:textFill>
                  <w14:solidFill>
                    <w14:schemeClr w14:val="tx1"/>
                  </w14:solidFill>
                </w14:textFill>
              </w:rPr>
              <w:t>02</w:t>
            </w:r>
          </w:p>
        </w:tc>
        <w:tc>
          <w:tcPr>
            <w:tcW w:w="992" w:type="dxa"/>
          </w:tcPr>
          <w:p w14:paraId="1CF9F4A0">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3C2A65E8">
            <w:pPr>
              <w:widowControl/>
              <w:jc w:val="center"/>
              <w:rPr>
                <w:rFonts w:eastAsia="等线"/>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0.002</w:t>
            </w:r>
          </w:p>
        </w:tc>
        <w:tc>
          <w:tcPr>
            <w:tcW w:w="1427" w:type="dxa"/>
            <w:vAlign w:val="center"/>
          </w:tcPr>
          <w:p w14:paraId="41944F92">
            <w:pPr>
              <w:widowControl/>
              <w:jc w:val="center"/>
              <w:rPr>
                <w:rFonts w:eastAsia="等线"/>
                <w:color w:val="000000" w:themeColor="text1"/>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.0</w:t>
            </w:r>
            <w:r>
              <w:rPr>
                <w:rFonts w:hint="eastAsia" w:eastAsia="新宋体"/>
                <w:color w:val="000000" w:themeColor="text1"/>
                <w:kern w:val="0"/>
                <w:sz w:val="18"/>
                <w:szCs w:val="18"/>
                <w14:textFill>
                  <w14:solidFill>
                    <w14:schemeClr w14:val="tx1"/>
                  </w14:solidFill>
                </w14:textFill>
              </w:rPr>
              <w:t>02</w:t>
            </w:r>
          </w:p>
        </w:tc>
      </w:tr>
      <w:tr w14:paraId="59F6CD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124" w:type="dxa"/>
            <w:vMerge w:val="continue"/>
            <w:vAlign w:val="center"/>
          </w:tcPr>
          <w:p w14:paraId="0A780A90">
            <w:pPr>
              <w:spacing w:line="276" w:lineRule="auto"/>
              <w:jc w:val="center"/>
              <w:rPr>
                <w:rFonts w:eastAsia="新宋体"/>
                <w:b/>
                <w:bCs/>
                <w:color w:val="000000" w:themeColor="text1"/>
                <w:sz w:val="18"/>
                <w:szCs w:val="18"/>
                <w14:textFill>
                  <w14:solidFill>
                    <w14:schemeClr w14:val="tx1"/>
                  </w14:solidFill>
                </w14:textFill>
              </w:rPr>
            </w:pPr>
          </w:p>
        </w:tc>
        <w:tc>
          <w:tcPr>
            <w:tcW w:w="3299" w:type="dxa"/>
            <w:vAlign w:val="center"/>
          </w:tcPr>
          <w:p w14:paraId="3A39E07F">
            <w:pPr>
              <w:widowControl/>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T</w:t>
            </w:r>
            <w:r>
              <w:rPr>
                <w:rFonts w:eastAsia="新宋体"/>
                <w:color w:val="000000" w:themeColor="text1"/>
                <w:sz w:val="18"/>
                <w:szCs w:val="18"/>
                <w14:textFill>
                  <w14:solidFill>
                    <w14:schemeClr w14:val="tx1"/>
                  </w14:solidFill>
                </w14:textFill>
              </w:rPr>
              <w:t>N</w:t>
            </w:r>
          </w:p>
        </w:tc>
        <w:tc>
          <w:tcPr>
            <w:tcW w:w="1559" w:type="dxa"/>
            <w:vAlign w:val="center"/>
          </w:tcPr>
          <w:p w14:paraId="59664C17">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134" w:type="dxa"/>
            <w:vAlign w:val="center"/>
          </w:tcPr>
          <w:p w14:paraId="4481F409">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7" w:type="dxa"/>
            <w:vAlign w:val="center"/>
          </w:tcPr>
          <w:p w14:paraId="487BC367">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4F0420DB">
            <w:pPr>
              <w:widowControl/>
              <w:jc w:val="center"/>
              <w:rPr>
                <w:rFonts w:eastAsia="等线"/>
                <w:color w:val="000000" w:themeColor="text1"/>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.0</w:t>
            </w:r>
            <w:r>
              <w:rPr>
                <w:rFonts w:hint="eastAsia" w:eastAsia="新宋体"/>
                <w:color w:val="000000" w:themeColor="text1"/>
                <w:kern w:val="0"/>
                <w:sz w:val="18"/>
                <w:szCs w:val="18"/>
                <w14:textFill>
                  <w14:solidFill>
                    <w14:schemeClr w14:val="tx1"/>
                  </w14:solidFill>
                </w14:textFill>
              </w:rPr>
              <w:t>18</w:t>
            </w:r>
          </w:p>
        </w:tc>
        <w:tc>
          <w:tcPr>
            <w:tcW w:w="992" w:type="dxa"/>
          </w:tcPr>
          <w:p w14:paraId="6C6D549D">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3953E9D2">
            <w:pPr>
              <w:widowControl/>
              <w:jc w:val="center"/>
              <w:rPr>
                <w:rFonts w:eastAsia="等线"/>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0.01</w:t>
            </w:r>
            <w:r>
              <w:rPr>
                <w:rFonts w:hint="eastAsia"/>
                <w:color w:val="000000" w:themeColor="text1"/>
                <w:sz w:val="18"/>
                <w:szCs w:val="18"/>
                <w14:textFill>
                  <w14:solidFill>
                    <w14:schemeClr w14:val="tx1"/>
                  </w14:solidFill>
                </w14:textFill>
              </w:rPr>
              <w:t>8</w:t>
            </w:r>
          </w:p>
        </w:tc>
        <w:tc>
          <w:tcPr>
            <w:tcW w:w="1427" w:type="dxa"/>
            <w:vAlign w:val="center"/>
          </w:tcPr>
          <w:p w14:paraId="633DEE96">
            <w:pPr>
              <w:widowControl/>
              <w:jc w:val="center"/>
              <w:rPr>
                <w:rFonts w:eastAsia="等线"/>
                <w:color w:val="000000" w:themeColor="text1"/>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w:t>
            </w:r>
            <w:r>
              <w:rPr>
                <w:rFonts w:eastAsia="新宋体"/>
                <w:color w:val="000000" w:themeColor="text1"/>
                <w:kern w:val="0"/>
                <w:sz w:val="18"/>
                <w:szCs w:val="18"/>
                <w14:textFill>
                  <w14:solidFill>
                    <w14:schemeClr w14:val="tx1"/>
                  </w14:solidFill>
                </w14:textFill>
              </w:rPr>
              <w:t>.0</w:t>
            </w:r>
            <w:r>
              <w:rPr>
                <w:rFonts w:hint="eastAsia" w:eastAsia="新宋体"/>
                <w:color w:val="000000" w:themeColor="text1"/>
                <w:kern w:val="0"/>
                <w:sz w:val="18"/>
                <w:szCs w:val="18"/>
                <w14:textFill>
                  <w14:solidFill>
                    <w14:schemeClr w14:val="tx1"/>
                  </w14:solidFill>
                </w14:textFill>
              </w:rPr>
              <w:t>18</w:t>
            </w:r>
          </w:p>
        </w:tc>
      </w:tr>
      <w:tr w14:paraId="34630C0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124" w:type="dxa"/>
            <w:vMerge w:val="continue"/>
            <w:vAlign w:val="center"/>
          </w:tcPr>
          <w:p w14:paraId="6C32CB3F">
            <w:pPr>
              <w:spacing w:line="276" w:lineRule="auto"/>
              <w:jc w:val="center"/>
              <w:rPr>
                <w:rFonts w:eastAsia="新宋体"/>
                <w:b/>
                <w:bCs/>
                <w:color w:val="000000" w:themeColor="text1"/>
                <w:sz w:val="18"/>
                <w:szCs w:val="18"/>
                <w14:textFill>
                  <w14:solidFill>
                    <w14:schemeClr w14:val="tx1"/>
                  </w14:solidFill>
                </w14:textFill>
              </w:rPr>
            </w:pPr>
          </w:p>
        </w:tc>
        <w:tc>
          <w:tcPr>
            <w:tcW w:w="3299" w:type="dxa"/>
            <w:vAlign w:val="center"/>
          </w:tcPr>
          <w:p w14:paraId="73AC2020">
            <w:pPr>
              <w:widowControl/>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动植物油</w:t>
            </w:r>
          </w:p>
        </w:tc>
        <w:tc>
          <w:tcPr>
            <w:tcW w:w="1559" w:type="dxa"/>
            <w:vAlign w:val="center"/>
          </w:tcPr>
          <w:p w14:paraId="2D596FBA">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0.086</w:t>
            </w:r>
          </w:p>
        </w:tc>
        <w:tc>
          <w:tcPr>
            <w:tcW w:w="1134" w:type="dxa"/>
            <w:vAlign w:val="center"/>
          </w:tcPr>
          <w:p w14:paraId="5B1FEF09">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7" w:type="dxa"/>
            <w:vAlign w:val="center"/>
          </w:tcPr>
          <w:p w14:paraId="73221C82">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7EACAB2C">
            <w:pPr>
              <w:widowControl/>
              <w:jc w:val="center"/>
              <w:rPr>
                <w:color w:val="000000" w:themeColor="text1"/>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0.003</w:t>
            </w:r>
          </w:p>
        </w:tc>
        <w:tc>
          <w:tcPr>
            <w:tcW w:w="992" w:type="dxa"/>
          </w:tcPr>
          <w:p w14:paraId="412FB23E">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5DD5C6B8">
            <w:pPr>
              <w:widowControl/>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0.089</w:t>
            </w:r>
          </w:p>
        </w:tc>
        <w:tc>
          <w:tcPr>
            <w:tcW w:w="1427" w:type="dxa"/>
            <w:vAlign w:val="center"/>
          </w:tcPr>
          <w:p w14:paraId="6D3564A5">
            <w:pPr>
              <w:widowControl/>
              <w:jc w:val="center"/>
              <w:rPr>
                <w:rFonts w:eastAsia="等线"/>
                <w:color w:val="000000" w:themeColor="text1"/>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+0.003</w:t>
            </w:r>
          </w:p>
        </w:tc>
      </w:tr>
      <w:tr w14:paraId="013091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124" w:type="dxa"/>
            <w:vAlign w:val="center"/>
          </w:tcPr>
          <w:p w14:paraId="56D1F6CF">
            <w:pPr>
              <w:spacing w:line="276" w:lineRule="auto"/>
              <w:jc w:val="center"/>
              <w:rPr>
                <w:rFonts w:eastAsia="新宋体"/>
                <w:b/>
                <w:bCs/>
                <w:color w:val="000000" w:themeColor="text1"/>
                <w:sz w:val="18"/>
                <w:szCs w:val="18"/>
                <w14:textFill>
                  <w14:solidFill>
                    <w14:schemeClr w14:val="tx1"/>
                  </w14:solidFill>
                </w14:textFill>
              </w:rPr>
            </w:pPr>
            <w:bookmarkStart w:id="67" w:name="_Hlk200988648"/>
            <w:r>
              <w:rPr>
                <w:rFonts w:hint="eastAsia" w:eastAsia="新宋体"/>
                <w:b/>
                <w:bCs/>
                <w:color w:val="000000" w:themeColor="text1"/>
                <w:sz w:val="18"/>
                <w:szCs w:val="18"/>
                <w14:textFill>
                  <w14:solidFill>
                    <w14:schemeClr w14:val="tx1"/>
                  </w14:solidFill>
                </w14:textFill>
              </w:rPr>
              <w:t>废气</w:t>
            </w:r>
          </w:p>
        </w:tc>
        <w:tc>
          <w:tcPr>
            <w:tcW w:w="3299" w:type="dxa"/>
            <w:vAlign w:val="center"/>
          </w:tcPr>
          <w:p w14:paraId="4FF643DB">
            <w:pPr>
              <w:widowControl/>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颗粒物</w:t>
            </w:r>
          </w:p>
        </w:tc>
        <w:tc>
          <w:tcPr>
            <w:tcW w:w="1559" w:type="dxa"/>
            <w:vAlign w:val="center"/>
          </w:tcPr>
          <w:p w14:paraId="35960E89">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7.09</w:t>
            </w:r>
          </w:p>
        </w:tc>
        <w:tc>
          <w:tcPr>
            <w:tcW w:w="1134" w:type="dxa"/>
            <w:vAlign w:val="center"/>
          </w:tcPr>
          <w:p w14:paraId="58B87FC6">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7" w:type="dxa"/>
            <w:vAlign w:val="center"/>
          </w:tcPr>
          <w:p w14:paraId="390ABF3F">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6C57B870">
            <w:pPr>
              <w:widowControl/>
              <w:jc w:val="center"/>
              <w:rPr>
                <w:rFonts w:eastAsia="等线"/>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3.737</w:t>
            </w:r>
          </w:p>
        </w:tc>
        <w:tc>
          <w:tcPr>
            <w:tcW w:w="992" w:type="dxa"/>
          </w:tcPr>
          <w:p w14:paraId="7C4B97BF">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7B096C59">
            <w:pPr>
              <w:widowControl/>
              <w:jc w:val="center"/>
              <w:rPr>
                <w:rFonts w:eastAsia="等线"/>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10.827</w:t>
            </w:r>
          </w:p>
        </w:tc>
        <w:tc>
          <w:tcPr>
            <w:tcW w:w="1427" w:type="dxa"/>
            <w:vAlign w:val="center"/>
          </w:tcPr>
          <w:p w14:paraId="338E9D2D">
            <w:pPr>
              <w:widowControl/>
              <w:jc w:val="center"/>
              <w:rPr>
                <w:rFonts w:eastAsia="等线"/>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w:t>
            </w:r>
            <w:r>
              <w:rPr>
                <w:color w:val="000000" w:themeColor="text1"/>
                <w:sz w:val="18"/>
                <w:szCs w:val="18"/>
                <w14:textFill>
                  <w14:solidFill>
                    <w14:schemeClr w14:val="tx1"/>
                  </w14:solidFill>
                </w14:textFill>
              </w:rPr>
              <w:t>3.737</w:t>
            </w:r>
          </w:p>
        </w:tc>
      </w:tr>
      <w:bookmarkEnd w:id="67"/>
      <w:tr w14:paraId="1E8DA9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124" w:type="dxa"/>
            <w:vAlign w:val="center"/>
          </w:tcPr>
          <w:p w14:paraId="3F3D5BC9">
            <w:pPr>
              <w:spacing w:line="276" w:lineRule="auto"/>
              <w:jc w:val="center"/>
              <w:rPr>
                <w:rFonts w:eastAsia="新宋体"/>
                <w:b/>
                <w:bCs/>
                <w:color w:val="000000" w:themeColor="text1"/>
                <w:sz w:val="18"/>
                <w:szCs w:val="18"/>
                <w14:textFill>
                  <w14:solidFill>
                    <w14:schemeClr w14:val="tx1"/>
                  </w14:solidFill>
                </w14:textFill>
              </w:rPr>
            </w:pPr>
            <w:r>
              <w:rPr>
                <w:rFonts w:hint="eastAsia" w:eastAsia="新宋体"/>
                <w:b/>
                <w:bCs/>
                <w:color w:val="000000" w:themeColor="text1"/>
                <w:sz w:val="18"/>
                <w:szCs w:val="18"/>
                <w14:textFill>
                  <w14:solidFill>
                    <w14:schemeClr w14:val="tx1"/>
                  </w14:solidFill>
                </w14:textFill>
              </w:rPr>
              <w:t>生活垃圾</w:t>
            </w:r>
          </w:p>
        </w:tc>
        <w:tc>
          <w:tcPr>
            <w:tcW w:w="3299" w:type="dxa"/>
            <w:vAlign w:val="center"/>
          </w:tcPr>
          <w:p w14:paraId="2FF706F6">
            <w:pPr>
              <w:widowControl/>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生活垃圾</w:t>
            </w:r>
          </w:p>
        </w:tc>
        <w:tc>
          <w:tcPr>
            <w:tcW w:w="1559" w:type="dxa"/>
            <w:vAlign w:val="center"/>
          </w:tcPr>
          <w:p w14:paraId="32D2E19C">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72</w:t>
            </w:r>
          </w:p>
        </w:tc>
        <w:tc>
          <w:tcPr>
            <w:tcW w:w="1134" w:type="dxa"/>
            <w:vAlign w:val="center"/>
          </w:tcPr>
          <w:p w14:paraId="5F25FA22">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7" w:type="dxa"/>
            <w:vAlign w:val="center"/>
          </w:tcPr>
          <w:p w14:paraId="4EF9C9BC">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5FBD13E7">
            <w:pPr>
              <w:widowControl/>
              <w:jc w:val="center"/>
              <w:rPr>
                <w:rFonts w:eastAsia="等线"/>
                <w:color w:val="000000" w:themeColor="text1"/>
                <w:sz w:val="18"/>
                <w:szCs w:val="18"/>
                <w14:textFill>
                  <w14:solidFill>
                    <w14:schemeClr w14:val="tx1"/>
                  </w14:solidFill>
                </w14:textFill>
              </w:rPr>
            </w:pPr>
            <w:r>
              <w:rPr>
                <w:rFonts w:hint="eastAsia" w:eastAsia="等线"/>
                <w:color w:val="000000" w:themeColor="text1"/>
                <w:sz w:val="18"/>
                <w:szCs w:val="18"/>
                <w14:textFill>
                  <w14:solidFill>
                    <w14:schemeClr w14:val="tx1"/>
                  </w14:solidFill>
                </w14:textFill>
              </w:rPr>
              <w:t>3</w:t>
            </w:r>
          </w:p>
        </w:tc>
        <w:tc>
          <w:tcPr>
            <w:tcW w:w="992" w:type="dxa"/>
          </w:tcPr>
          <w:p w14:paraId="73B16041">
            <w:pPr>
              <w:widowControl/>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76C6878F">
            <w:pPr>
              <w:widowControl/>
              <w:jc w:val="center"/>
              <w:rPr>
                <w:rFonts w:eastAsia="等线"/>
                <w:color w:val="000000" w:themeColor="text1"/>
                <w:sz w:val="18"/>
                <w:szCs w:val="18"/>
                <w14:textFill>
                  <w14:solidFill>
                    <w14:schemeClr w14:val="tx1"/>
                  </w14:solidFill>
                </w14:textFill>
              </w:rPr>
            </w:pPr>
            <w:r>
              <w:rPr>
                <w:rFonts w:hint="eastAsia" w:eastAsia="等线"/>
                <w:color w:val="000000" w:themeColor="text1"/>
                <w:sz w:val="18"/>
                <w:szCs w:val="18"/>
                <w14:textFill>
                  <w14:solidFill>
                    <w14:schemeClr w14:val="tx1"/>
                  </w14:solidFill>
                </w14:textFill>
              </w:rPr>
              <w:t>75</w:t>
            </w:r>
          </w:p>
        </w:tc>
        <w:tc>
          <w:tcPr>
            <w:tcW w:w="1427" w:type="dxa"/>
            <w:vAlign w:val="center"/>
          </w:tcPr>
          <w:p w14:paraId="394B7328">
            <w:pPr>
              <w:widowControl/>
              <w:jc w:val="center"/>
              <w:rPr>
                <w:rFonts w:eastAsia="等线"/>
                <w:color w:val="000000" w:themeColor="text1"/>
                <w:sz w:val="18"/>
                <w:szCs w:val="18"/>
                <w14:textFill>
                  <w14:solidFill>
                    <w14:schemeClr w14:val="tx1"/>
                  </w14:solidFill>
                </w14:textFill>
              </w:rPr>
            </w:pPr>
            <w:r>
              <w:rPr>
                <w:rFonts w:hint="eastAsia" w:eastAsia="等线"/>
                <w:color w:val="000000" w:themeColor="text1"/>
                <w:sz w:val="18"/>
                <w:szCs w:val="18"/>
                <w14:textFill>
                  <w14:solidFill>
                    <w14:schemeClr w14:val="tx1"/>
                  </w14:solidFill>
                </w14:textFill>
              </w:rPr>
              <w:t>+3</w:t>
            </w:r>
          </w:p>
        </w:tc>
      </w:tr>
      <w:tr w14:paraId="02D094A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1124" w:type="dxa"/>
            <w:vMerge w:val="restart"/>
            <w:vAlign w:val="center"/>
          </w:tcPr>
          <w:p w14:paraId="3BA3401D">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一般工业固体废物</w:t>
            </w:r>
          </w:p>
        </w:tc>
        <w:tc>
          <w:tcPr>
            <w:tcW w:w="3299" w:type="dxa"/>
            <w:vAlign w:val="center"/>
          </w:tcPr>
          <w:p w14:paraId="00DF6B09">
            <w:pPr>
              <w:widowControl/>
              <w:spacing w:line="276" w:lineRule="auto"/>
              <w:jc w:val="center"/>
              <w:rPr>
                <w:rFonts w:eastAsia="新宋体"/>
                <w:color w:val="000000" w:themeColor="text1"/>
                <w:sz w:val="18"/>
                <w:szCs w:val="18"/>
                <w14:textFill>
                  <w14:solidFill>
                    <w14:schemeClr w14:val="tx1"/>
                  </w14:solidFill>
                </w14:textFill>
              </w:rPr>
            </w:pPr>
            <w:r>
              <w:rPr>
                <w:rFonts w:hint="eastAsia"/>
                <w:bCs/>
                <w:color w:val="000000" w:themeColor="text1"/>
                <w:sz w:val="18"/>
                <w:szCs w:val="18"/>
                <w14:textFill>
                  <w14:solidFill>
                    <w14:schemeClr w14:val="tx1"/>
                  </w14:solidFill>
                </w14:textFill>
              </w:rPr>
              <w:t>压滤泥渣</w:t>
            </w:r>
          </w:p>
        </w:tc>
        <w:tc>
          <w:tcPr>
            <w:tcW w:w="1559" w:type="dxa"/>
            <w:vAlign w:val="center"/>
          </w:tcPr>
          <w:p w14:paraId="1619EB39">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0</w:t>
            </w:r>
            <w:r>
              <w:rPr>
                <w:rFonts w:hint="eastAsia" w:eastAsia="新宋体"/>
                <w:color w:val="000000" w:themeColor="text1"/>
                <w:sz w:val="18"/>
                <w:szCs w:val="18"/>
                <w14:textFill>
                  <w14:solidFill>
                    <w14:schemeClr w14:val="tx1"/>
                  </w14:solidFill>
                </w14:textFill>
              </w:rPr>
              <w:t>.3</w:t>
            </w:r>
          </w:p>
        </w:tc>
        <w:tc>
          <w:tcPr>
            <w:tcW w:w="1134" w:type="dxa"/>
            <w:vAlign w:val="center"/>
          </w:tcPr>
          <w:p w14:paraId="7B61B0F6">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0</w:t>
            </w:r>
          </w:p>
        </w:tc>
        <w:tc>
          <w:tcPr>
            <w:tcW w:w="1417" w:type="dxa"/>
            <w:vAlign w:val="center"/>
          </w:tcPr>
          <w:p w14:paraId="6DCECF1A">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0</w:t>
            </w:r>
          </w:p>
        </w:tc>
        <w:tc>
          <w:tcPr>
            <w:tcW w:w="1418" w:type="dxa"/>
            <w:vAlign w:val="center"/>
          </w:tcPr>
          <w:p w14:paraId="31EC1919">
            <w:pPr>
              <w:widowControl/>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17988.263</w:t>
            </w:r>
          </w:p>
        </w:tc>
        <w:tc>
          <w:tcPr>
            <w:tcW w:w="992" w:type="dxa"/>
          </w:tcPr>
          <w:p w14:paraId="498BA946">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0DE9D06E">
            <w:pPr>
              <w:widowControl/>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kern w:val="0"/>
                <w:sz w:val="18"/>
                <w:szCs w:val="18"/>
                <w14:textFill>
                  <w14:solidFill>
                    <w14:schemeClr w14:val="tx1"/>
                  </w14:solidFill>
                </w14:textFill>
              </w:rPr>
              <w:t>17988.263</w:t>
            </w:r>
          </w:p>
        </w:tc>
        <w:tc>
          <w:tcPr>
            <w:tcW w:w="1427" w:type="dxa"/>
            <w:vAlign w:val="center"/>
          </w:tcPr>
          <w:p w14:paraId="5DEDB1F3">
            <w:pPr>
              <w:widowControl/>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w:t>
            </w:r>
            <w:r>
              <w:rPr>
                <w:rFonts w:eastAsia="新宋体"/>
                <w:color w:val="000000" w:themeColor="text1"/>
                <w:kern w:val="0"/>
                <w:sz w:val="18"/>
                <w:szCs w:val="18"/>
                <w14:textFill>
                  <w14:solidFill>
                    <w14:schemeClr w14:val="tx1"/>
                  </w14:solidFill>
                </w14:textFill>
              </w:rPr>
              <w:t>17988.263</w:t>
            </w:r>
          </w:p>
        </w:tc>
      </w:tr>
      <w:tr w14:paraId="1864037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1124" w:type="dxa"/>
            <w:vMerge w:val="continue"/>
            <w:vAlign w:val="center"/>
          </w:tcPr>
          <w:p w14:paraId="16E3177F">
            <w:pPr>
              <w:spacing w:line="276" w:lineRule="auto"/>
              <w:jc w:val="center"/>
              <w:rPr>
                <w:rFonts w:eastAsia="新宋体"/>
                <w:b/>
                <w:bCs/>
                <w:color w:val="000000" w:themeColor="text1"/>
                <w:sz w:val="18"/>
                <w:szCs w:val="18"/>
                <w14:textFill>
                  <w14:solidFill>
                    <w14:schemeClr w14:val="tx1"/>
                  </w14:solidFill>
                </w14:textFill>
              </w:rPr>
            </w:pPr>
          </w:p>
        </w:tc>
        <w:tc>
          <w:tcPr>
            <w:tcW w:w="3299" w:type="dxa"/>
            <w:vAlign w:val="center"/>
          </w:tcPr>
          <w:p w14:paraId="2109144B">
            <w:pPr>
              <w:widowControl/>
              <w:spacing w:line="276" w:lineRule="auto"/>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废布袋</w:t>
            </w:r>
          </w:p>
        </w:tc>
        <w:tc>
          <w:tcPr>
            <w:tcW w:w="1559" w:type="dxa"/>
            <w:vAlign w:val="center"/>
          </w:tcPr>
          <w:p w14:paraId="745C51B7">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134" w:type="dxa"/>
            <w:vAlign w:val="center"/>
          </w:tcPr>
          <w:p w14:paraId="14B7DCD5">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7" w:type="dxa"/>
            <w:vAlign w:val="center"/>
          </w:tcPr>
          <w:p w14:paraId="6C9F9AE3">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4205E98E">
            <w:pPr>
              <w:widowControl/>
              <w:spacing w:line="276" w:lineRule="auto"/>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0.016</w:t>
            </w:r>
          </w:p>
        </w:tc>
        <w:tc>
          <w:tcPr>
            <w:tcW w:w="992" w:type="dxa"/>
          </w:tcPr>
          <w:p w14:paraId="77DDC66C">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12121546">
            <w:pPr>
              <w:widowControl/>
              <w:spacing w:line="276" w:lineRule="auto"/>
              <w:jc w:val="center"/>
              <w:rPr>
                <w:rFonts w:eastAsia="新宋体"/>
                <w:color w:val="000000" w:themeColor="text1"/>
                <w:kern w:val="0"/>
                <w:sz w:val="18"/>
                <w:szCs w:val="18"/>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0.016</w:t>
            </w:r>
          </w:p>
        </w:tc>
        <w:tc>
          <w:tcPr>
            <w:tcW w:w="1427" w:type="dxa"/>
            <w:vAlign w:val="center"/>
          </w:tcPr>
          <w:p w14:paraId="5AC6D19B">
            <w:pPr>
              <w:widowControl/>
              <w:spacing w:line="276" w:lineRule="auto"/>
              <w:jc w:val="center"/>
              <w:rPr>
                <w:rFonts w:hint="default" w:eastAsia="新宋体"/>
                <w:color w:val="000000" w:themeColor="text1"/>
                <w:kern w:val="0"/>
                <w:sz w:val="18"/>
                <w:szCs w:val="18"/>
                <w:lang w:val="en-US" w:eastAsia="zh-CN"/>
                <w14:textFill>
                  <w14:solidFill>
                    <w14:schemeClr w14:val="tx1"/>
                  </w14:solidFill>
                </w14:textFill>
              </w:rPr>
            </w:pPr>
            <w:r>
              <w:rPr>
                <w:rFonts w:hint="eastAsia" w:eastAsia="新宋体"/>
                <w:color w:val="000000" w:themeColor="text1"/>
                <w:kern w:val="0"/>
                <w:sz w:val="18"/>
                <w:szCs w:val="18"/>
                <w14:textFill>
                  <w14:solidFill>
                    <w14:schemeClr w14:val="tx1"/>
                  </w14:solidFill>
                </w14:textFill>
              </w:rPr>
              <w:t>+</w:t>
            </w:r>
            <w:r>
              <w:rPr>
                <w:rFonts w:hint="eastAsia" w:eastAsia="新宋体"/>
                <w:color w:val="000000" w:themeColor="text1"/>
                <w:kern w:val="0"/>
                <w:sz w:val="18"/>
                <w:szCs w:val="18"/>
                <w:lang w:val="en-US" w:eastAsia="zh-CN"/>
                <w14:textFill>
                  <w14:solidFill>
                    <w14:schemeClr w14:val="tx1"/>
                  </w14:solidFill>
                </w14:textFill>
              </w:rPr>
              <w:t>0.016</w:t>
            </w:r>
          </w:p>
        </w:tc>
      </w:tr>
      <w:tr w14:paraId="628C5C5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1124" w:type="dxa"/>
            <w:vMerge w:val="restart"/>
            <w:vAlign w:val="center"/>
          </w:tcPr>
          <w:p w14:paraId="4FE5FC77">
            <w:pPr>
              <w:spacing w:line="276" w:lineRule="auto"/>
              <w:jc w:val="center"/>
              <w:rPr>
                <w:rFonts w:eastAsia="新宋体"/>
                <w:b/>
                <w:bCs/>
                <w:color w:val="000000" w:themeColor="text1"/>
                <w:sz w:val="18"/>
                <w:szCs w:val="18"/>
                <w14:textFill>
                  <w14:solidFill>
                    <w14:schemeClr w14:val="tx1"/>
                  </w14:solidFill>
                </w14:textFill>
              </w:rPr>
            </w:pPr>
            <w:r>
              <w:rPr>
                <w:rFonts w:eastAsia="新宋体"/>
                <w:b/>
                <w:bCs/>
                <w:color w:val="000000" w:themeColor="text1"/>
                <w:sz w:val="18"/>
                <w:szCs w:val="18"/>
                <w14:textFill>
                  <w14:solidFill>
                    <w14:schemeClr w14:val="tx1"/>
                  </w14:solidFill>
                </w14:textFill>
              </w:rPr>
              <w:t>危险废物</w:t>
            </w:r>
          </w:p>
        </w:tc>
        <w:tc>
          <w:tcPr>
            <w:tcW w:w="3299" w:type="dxa"/>
            <w:vAlign w:val="center"/>
          </w:tcPr>
          <w:p w14:paraId="45135452">
            <w:pPr>
              <w:widowControl/>
              <w:spacing w:line="276" w:lineRule="auto"/>
              <w:jc w:val="center"/>
              <w:rPr>
                <w:rFonts w:eastAsia="新宋体"/>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废机油</w:t>
            </w:r>
          </w:p>
        </w:tc>
        <w:tc>
          <w:tcPr>
            <w:tcW w:w="1559" w:type="dxa"/>
            <w:vAlign w:val="center"/>
          </w:tcPr>
          <w:p w14:paraId="1196A7A2">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134" w:type="dxa"/>
            <w:vAlign w:val="center"/>
          </w:tcPr>
          <w:p w14:paraId="5BA99D29">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0</w:t>
            </w:r>
          </w:p>
        </w:tc>
        <w:tc>
          <w:tcPr>
            <w:tcW w:w="1417" w:type="dxa"/>
            <w:vAlign w:val="center"/>
          </w:tcPr>
          <w:p w14:paraId="14FF0749">
            <w:pPr>
              <w:spacing w:line="276" w:lineRule="auto"/>
              <w:jc w:val="center"/>
              <w:rPr>
                <w:rFonts w:eastAsia="新宋体"/>
                <w:color w:val="000000" w:themeColor="text1"/>
                <w:sz w:val="18"/>
                <w:szCs w:val="18"/>
                <w14:textFill>
                  <w14:solidFill>
                    <w14:schemeClr w14:val="tx1"/>
                  </w14:solidFill>
                </w14:textFill>
              </w:rPr>
            </w:pPr>
            <w:r>
              <w:rPr>
                <w:rFonts w:eastAsia="新宋体"/>
                <w:color w:val="000000" w:themeColor="text1"/>
                <w:sz w:val="18"/>
                <w:szCs w:val="18"/>
                <w14:textFill>
                  <w14:solidFill>
                    <w14:schemeClr w14:val="tx1"/>
                  </w14:solidFill>
                </w14:textFill>
              </w:rPr>
              <w:t>0</w:t>
            </w:r>
          </w:p>
        </w:tc>
        <w:tc>
          <w:tcPr>
            <w:tcW w:w="1418" w:type="dxa"/>
            <w:vAlign w:val="center"/>
          </w:tcPr>
          <w:p w14:paraId="16C749BF">
            <w:pPr>
              <w:widowControl/>
              <w:spacing w:line="276" w:lineRule="auto"/>
              <w:jc w:val="center"/>
              <w:rPr>
                <w:rFonts w:eastAsia="新宋体"/>
                <w:color w:val="000000" w:themeColor="text1"/>
                <w:kern w:val="0"/>
                <w:sz w:val="18"/>
                <w:szCs w:val="18"/>
                <w14:textFill>
                  <w14:solidFill>
                    <w14:schemeClr w14:val="tx1"/>
                  </w14:solidFill>
                </w14:textFill>
              </w:rPr>
            </w:pPr>
            <w:r>
              <w:rPr>
                <w:rFonts w:eastAsia="等线"/>
                <w:color w:val="000000" w:themeColor="text1"/>
                <w:sz w:val="18"/>
                <w:szCs w:val="18"/>
                <w14:textFill>
                  <w14:solidFill>
                    <w14:schemeClr w14:val="tx1"/>
                  </w14:solidFill>
                </w14:textFill>
              </w:rPr>
              <w:t>0.</w:t>
            </w:r>
            <w:r>
              <w:rPr>
                <w:rFonts w:hint="eastAsia" w:eastAsia="等线"/>
                <w:color w:val="000000" w:themeColor="text1"/>
                <w:sz w:val="18"/>
                <w:szCs w:val="18"/>
                <w14:textFill>
                  <w14:solidFill>
                    <w14:schemeClr w14:val="tx1"/>
                  </w14:solidFill>
                </w14:textFill>
              </w:rPr>
              <w:t>4</w:t>
            </w:r>
          </w:p>
        </w:tc>
        <w:tc>
          <w:tcPr>
            <w:tcW w:w="992" w:type="dxa"/>
          </w:tcPr>
          <w:p w14:paraId="7664F023">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195D610F">
            <w:pPr>
              <w:widowControl/>
              <w:spacing w:line="276" w:lineRule="auto"/>
              <w:jc w:val="center"/>
              <w:rPr>
                <w:rFonts w:eastAsia="新宋体"/>
                <w:color w:val="000000" w:themeColor="text1"/>
                <w:sz w:val="18"/>
                <w:szCs w:val="18"/>
                <w14:textFill>
                  <w14:solidFill>
                    <w14:schemeClr w14:val="tx1"/>
                  </w14:solidFill>
                </w14:textFill>
              </w:rPr>
            </w:pPr>
            <w:r>
              <w:rPr>
                <w:rFonts w:eastAsia="等线"/>
                <w:color w:val="000000" w:themeColor="text1"/>
                <w:sz w:val="18"/>
                <w:szCs w:val="18"/>
                <w14:textFill>
                  <w14:solidFill>
                    <w14:schemeClr w14:val="tx1"/>
                  </w14:solidFill>
                </w14:textFill>
              </w:rPr>
              <w:t>0.</w:t>
            </w:r>
            <w:r>
              <w:rPr>
                <w:rFonts w:hint="eastAsia" w:eastAsia="等线"/>
                <w:color w:val="000000" w:themeColor="text1"/>
                <w:sz w:val="18"/>
                <w:szCs w:val="18"/>
                <w14:textFill>
                  <w14:solidFill>
                    <w14:schemeClr w14:val="tx1"/>
                  </w14:solidFill>
                </w14:textFill>
              </w:rPr>
              <w:t>4</w:t>
            </w:r>
          </w:p>
        </w:tc>
        <w:tc>
          <w:tcPr>
            <w:tcW w:w="1427" w:type="dxa"/>
            <w:vAlign w:val="center"/>
          </w:tcPr>
          <w:p w14:paraId="2E61371F">
            <w:pPr>
              <w:widowControl/>
              <w:spacing w:line="276" w:lineRule="auto"/>
              <w:jc w:val="center"/>
              <w:rPr>
                <w:rFonts w:eastAsia="新宋体"/>
                <w:color w:val="000000" w:themeColor="text1"/>
                <w:sz w:val="18"/>
                <w:szCs w:val="18"/>
                <w14:textFill>
                  <w14:solidFill>
                    <w14:schemeClr w14:val="tx1"/>
                  </w14:solidFill>
                </w14:textFill>
              </w:rPr>
            </w:pPr>
            <w:r>
              <w:rPr>
                <w:rFonts w:hint="eastAsia" w:eastAsia="等线"/>
                <w:color w:val="000000" w:themeColor="text1"/>
                <w:sz w:val="18"/>
                <w:szCs w:val="18"/>
                <w14:textFill>
                  <w14:solidFill>
                    <w14:schemeClr w14:val="tx1"/>
                  </w14:solidFill>
                </w14:textFill>
              </w:rPr>
              <w:t>+</w:t>
            </w:r>
            <w:r>
              <w:rPr>
                <w:rFonts w:eastAsia="等线"/>
                <w:color w:val="000000" w:themeColor="text1"/>
                <w:sz w:val="18"/>
                <w:szCs w:val="18"/>
                <w14:textFill>
                  <w14:solidFill>
                    <w14:schemeClr w14:val="tx1"/>
                  </w14:solidFill>
                </w14:textFill>
              </w:rPr>
              <w:t>0.</w:t>
            </w:r>
            <w:r>
              <w:rPr>
                <w:rFonts w:hint="eastAsia" w:eastAsia="等线"/>
                <w:color w:val="000000" w:themeColor="text1"/>
                <w:sz w:val="18"/>
                <w:szCs w:val="18"/>
                <w14:textFill>
                  <w14:solidFill>
                    <w14:schemeClr w14:val="tx1"/>
                  </w14:solidFill>
                </w14:textFill>
              </w:rPr>
              <w:t>4</w:t>
            </w:r>
          </w:p>
        </w:tc>
      </w:tr>
      <w:tr w14:paraId="6AF7060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1124" w:type="dxa"/>
            <w:vMerge w:val="continue"/>
            <w:vAlign w:val="center"/>
          </w:tcPr>
          <w:p w14:paraId="3DBFDC76">
            <w:pPr>
              <w:spacing w:line="276" w:lineRule="auto"/>
              <w:jc w:val="center"/>
              <w:rPr>
                <w:rFonts w:eastAsia="新宋体"/>
                <w:b/>
                <w:bCs/>
                <w:color w:val="000000" w:themeColor="text1"/>
                <w:sz w:val="18"/>
                <w:szCs w:val="18"/>
                <w14:textFill>
                  <w14:solidFill>
                    <w14:schemeClr w14:val="tx1"/>
                  </w14:solidFill>
                </w14:textFill>
              </w:rPr>
            </w:pPr>
          </w:p>
        </w:tc>
        <w:tc>
          <w:tcPr>
            <w:tcW w:w="3299" w:type="dxa"/>
            <w:vAlign w:val="center"/>
          </w:tcPr>
          <w:p w14:paraId="047966B3">
            <w:pPr>
              <w:widowControl/>
              <w:spacing w:line="276" w:lineRule="auto"/>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废机油桶</w:t>
            </w:r>
          </w:p>
        </w:tc>
        <w:tc>
          <w:tcPr>
            <w:tcW w:w="1559" w:type="dxa"/>
            <w:vAlign w:val="center"/>
          </w:tcPr>
          <w:p w14:paraId="40658D9C">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134" w:type="dxa"/>
            <w:vAlign w:val="center"/>
          </w:tcPr>
          <w:p w14:paraId="12F67670">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7" w:type="dxa"/>
            <w:vAlign w:val="center"/>
          </w:tcPr>
          <w:p w14:paraId="142A5539">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37141777">
            <w:pPr>
              <w:widowControl/>
              <w:spacing w:line="276" w:lineRule="auto"/>
              <w:jc w:val="center"/>
              <w:rPr>
                <w:rFonts w:eastAsia="等线"/>
                <w:color w:val="000000" w:themeColor="text1"/>
                <w:sz w:val="18"/>
                <w:szCs w:val="18"/>
                <w14:textFill>
                  <w14:solidFill>
                    <w14:schemeClr w14:val="tx1"/>
                  </w14:solidFill>
                </w14:textFill>
              </w:rPr>
            </w:pPr>
            <w:r>
              <w:rPr>
                <w:rFonts w:hint="eastAsia" w:eastAsia="等线"/>
                <w:color w:val="000000" w:themeColor="text1"/>
                <w:sz w:val="18"/>
                <w:szCs w:val="18"/>
                <w14:textFill>
                  <w14:solidFill>
                    <w14:schemeClr w14:val="tx1"/>
                  </w14:solidFill>
                </w14:textFill>
              </w:rPr>
              <w:t>0.0125</w:t>
            </w:r>
          </w:p>
        </w:tc>
        <w:tc>
          <w:tcPr>
            <w:tcW w:w="992" w:type="dxa"/>
          </w:tcPr>
          <w:p w14:paraId="18D50D12">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4063210A">
            <w:pPr>
              <w:widowControl/>
              <w:spacing w:line="276" w:lineRule="auto"/>
              <w:jc w:val="center"/>
              <w:rPr>
                <w:rFonts w:eastAsia="等线"/>
                <w:color w:val="000000" w:themeColor="text1"/>
                <w:sz w:val="18"/>
                <w:szCs w:val="18"/>
                <w14:textFill>
                  <w14:solidFill>
                    <w14:schemeClr w14:val="tx1"/>
                  </w14:solidFill>
                </w14:textFill>
              </w:rPr>
            </w:pPr>
            <w:r>
              <w:rPr>
                <w:rFonts w:hint="eastAsia" w:eastAsia="等线"/>
                <w:color w:val="000000" w:themeColor="text1"/>
                <w:sz w:val="18"/>
                <w:szCs w:val="18"/>
                <w14:textFill>
                  <w14:solidFill>
                    <w14:schemeClr w14:val="tx1"/>
                  </w14:solidFill>
                </w14:textFill>
              </w:rPr>
              <w:t>0.0125</w:t>
            </w:r>
          </w:p>
        </w:tc>
        <w:tc>
          <w:tcPr>
            <w:tcW w:w="1427" w:type="dxa"/>
            <w:vAlign w:val="center"/>
          </w:tcPr>
          <w:p w14:paraId="35F74AA2">
            <w:pPr>
              <w:widowControl/>
              <w:spacing w:line="276" w:lineRule="auto"/>
              <w:jc w:val="center"/>
              <w:rPr>
                <w:rFonts w:eastAsia="等线"/>
                <w:color w:val="000000" w:themeColor="text1"/>
                <w:sz w:val="18"/>
                <w:szCs w:val="18"/>
                <w14:textFill>
                  <w14:solidFill>
                    <w14:schemeClr w14:val="tx1"/>
                  </w14:solidFill>
                </w14:textFill>
              </w:rPr>
            </w:pPr>
            <w:r>
              <w:rPr>
                <w:rFonts w:hint="eastAsia" w:eastAsia="等线"/>
                <w:color w:val="000000" w:themeColor="text1"/>
                <w:sz w:val="18"/>
                <w:szCs w:val="18"/>
                <w14:textFill>
                  <w14:solidFill>
                    <w14:schemeClr w14:val="tx1"/>
                  </w14:solidFill>
                </w14:textFill>
              </w:rPr>
              <w:t>+0.0125</w:t>
            </w:r>
          </w:p>
        </w:tc>
      </w:tr>
      <w:tr w14:paraId="06AC80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1124" w:type="dxa"/>
            <w:vMerge w:val="continue"/>
            <w:vAlign w:val="center"/>
          </w:tcPr>
          <w:p w14:paraId="21B06C28">
            <w:pPr>
              <w:spacing w:line="276" w:lineRule="auto"/>
              <w:jc w:val="center"/>
              <w:rPr>
                <w:rFonts w:eastAsia="新宋体"/>
                <w:b/>
                <w:bCs/>
                <w:color w:val="000000" w:themeColor="text1"/>
                <w:sz w:val="18"/>
                <w:szCs w:val="18"/>
                <w14:textFill>
                  <w14:solidFill>
                    <w14:schemeClr w14:val="tx1"/>
                  </w14:solidFill>
                </w14:textFill>
              </w:rPr>
            </w:pPr>
          </w:p>
        </w:tc>
        <w:tc>
          <w:tcPr>
            <w:tcW w:w="3299" w:type="dxa"/>
            <w:vAlign w:val="center"/>
          </w:tcPr>
          <w:p w14:paraId="0831F401">
            <w:pPr>
              <w:widowControl/>
              <w:spacing w:line="276" w:lineRule="auto"/>
              <w:jc w:val="center"/>
              <w:rPr>
                <w:rFonts w:eastAsia="新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废含油抹布及劳保用品</w:t>
            </w:r>
          </w:p>
        </w:tc>
        <w:tc>
          <w:tcPr>
            <w:tcW w:w="1559" w:type="dxa"/>
            <w:vAlign w:val="center"/>
          </w:tcPr>
          <w:p w14:paraId="7F6A8A0C">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134" w:type="dxa"/>
            <w:vAlign w:val="center"/>
          </w:tcPr>
          <w:p w14:paraId="353EFDB3">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7" w:type="dxa"/>
            <w:vAlign w:val="center"/>
          </w:tcPr>
          <w:p w14:paraId="4C9781EF">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6B6099B8">
            <w:pPr>
              <w:widowControl/>
              <w:spacing w:line="276" w:lineRule="auto"/>
              <w:jc w:val="center"/>
              <w:rPr>
                <w:rFonts w:eastAsia="新宋体"/>
                <w:color w:val="000000" w:themeColor="text1"/>
                <w:kern w:val="0"/>
                <w:sz w:val="18"/>
                <w:szCs w:val="18"/>
                <w14:textFill>
                  <w14:solidFill>
                    <w14:schemeClr w14:val="tx1"/>
                  </w14:solidFill>
                </w14:textFill>
              </w:rPr>
            </w:pPr>
            <w:r>
              <w:rPr>
                <w:rFonts w:hint="eastAsia" w:eastAsia="等线"/>
                <w:color w:val="000000" w:themeColor="text1"/>
                <w:sz w:val="18"/>
                <w:szCs w:val="18"/>
                <w14:textFill>
                  <w14:solidFill>
                    <w14:schemeClr w14:val="tx1"/>
                  </w14:solidFill>
                </w14:textFill>
              </w:rPr>
              <w:t>0.2</w:t>
            </w:r>
          </w:p>
        </w:tc>
        <w:tc>
          <w:tcPr>
            <w:tcW w:w="992" w:type="dxa"/>
          </w:tcPr>
          <w:p w14:paraId="73F61742">
            <w:pPr>
              <w:spacing w:line="276" w:lineRule="auto"/>
              <w:jc w:val="center"/>
              <w:rPr>
                <w:rFonts w:eastAsia="新宋体"/>
                <w:color w:val="000000" w:themeColor="text1"/>
                <w:sz w:val="18"/>
                <w:szCs w:val="18"/>
                <w14:textFill>
                  <w14:solidFill>
                    <w14:schemeClr w14:val="tx1"/>
                  </w14:solidFill>
                </w14:textFill>
              </w:rPr>
            </w:pPr>
            <w:r>
              <w:rPr>
                <w:rFonts w:hint="eastAsia" w:eastAsia="新宋体"/>
                <w:color w:val="000000" w:themeColor="text1"/>
                <w:sz w:val="18"/>
                <w:szCs w:val="18"/>
                <w14:textFill>
                  <w14:solidFill>
                    <w14:schemeClr w14:val="tx1"/>
                  </w14:solidFill>
                </w14:textFill>
              </w:rPr>
              <w:t>0</w:t>
            </w:r>
          </w:p>
        </w:tc>
        <w:tc>
          <w:tcPr>
            <w:tcW w:w="1418" w:type="dxa"/>
            <w:vAlign w:val="center"/>
          </w:tcPr>
          <w:p w14:paraId="42E74313">
            <w:pPr>
              <w:widowControl/>
              <w:spacing w:line="276" w:lineRule="auto"/>
              <w:jc w:val="center"/>
              <w:rPr>
                <w:rFonts w:eastAsia="新宋体"/>
                <w:color w:val="000000" w:themeColor="text1"/>
                <w:kern w:val="0"/>
                <w:sz w:val="18"/>
                <w:szCs w:val="18"/>
                <w14:textFill>
                  <w14:solidFill>
                    <w14:schemeClr w14:val="tx1"/>
                  </w14:solidFill>
                </w14:textFill>
              </w:rPr>
            </w:pPr>
            <w:r>
              <w:rPr>
                <w:rFonts w:hint="eastAsia" w:eastAsia="等线"/>
                <w:color w:val="000000" w:themeColor="text1"/>
                <w:sz w:val="18"/>
                <w:szCs w:val="18"/>
                <w14:textFill>
                  <w14:solidFill>
                    <w14:schemeClr w14:val="tx1"/>
                  </w14:solidFill>
                </w14:textFill>
              </w:rPr>
              <w:t>0.2</w:t>
            </w:r>
          </w:p>
        </w:tc>
        <w:tc>
          <w:tcPr>
            <w:tcW w:w="1427" w:type="dxa"/>
            <w:vAlign w:val="center"/>
          </w:tcPr>
          <w:p w14:paraId="3D0512BC">
            <w:pPr>
              <w:widowControl/>
              <w:spacing w:line="276" w:lineRule="auto"/>
              <w:jc w:val="center"/>
              <w:rPr>
                <w:rFonts w:eastAsia="新宋体"/>
                <w:color w:val="000000" w:themeColor="text1"/>
                <w:kern w:val="0"/>
                <w:sz w:val="18"/>
                <w:szCs w:val="18"/>
                <w14:textFill>
                  <w14:solidFill>
                    <w14:schemeClr w14:val="tx1"/>
                  </w14:solidFill>
                </w14:textFill>
              </w:rPr>
            </w:pPr>
            <w:r>
              <w:rPr>
                <w:rFonts w:hint="eastAsia" w:eastAsia="等线"/>
                <w:color w:val="000000" w:themeColor="text1"/>
                <w:sz w:val="18"/>
                <w:szCs w:val="18"/>
                <w14:textFill>
                  <w14:solidFill>
                    <w14:schemeClr w14:val="tx1"/>
                  </w14:solidFill>
                </w14:textFill>
              </w:rPr>
              <w:t>+0.2</w:t>
            </w:r>
          </w:p>
        </w:tc>
      </w:tr>
    </w:tbl>
    <w:p w14:paraId="22BE1BEF">
      <w:pPr>
        <w:rPr>
          <w:color w:val="000000" w:themeColor="text1"/>
          <w14:textFill>
            <w14:solidFill>
              <w14:schemeClr w14:val="tx1"/>
            </w14:solidFill>
          </w14:textFill>
        </w:rPr>
      </w:pPr>
      <w:r>
        <w:rPr>
          <w:color w:val="000000" w:themeColor="text1"/>
          <w14:textFill>
            <w14:solidFill>
              <w14:schemeClr w14:val="tx1"/>
            </w14:solidFill>
          </w14:textFill>
        </w:rPr>
        <w:t>注：</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 6 \* GB3 \* MERGEFORMAT </w:instrText>
      </w:r>
      <w:r>
        <w:rPr>
          <w:color w:val="000000" w:themeColor="text1"/>
          <w14:textFill>
            <w14:solidFill>
              <w14:schemeClr w14:val="tx1"/>
            </w14:solidFill>
          </w14:textFill>
        </w:rPr>
        <w:fldChar w:fldCharType="separate"/>
      </w:r>
      <w:r>
        <w:rPr>
          <w:rFonts w:hint="eastAsia" w:ascii="宋体" w:hAnsi="宋体" w:cs="宋体"/>
          <w:color w:val="000000" w:themeColor="text1"/>
          <w14:textFill>
            <w14:solidFill>
              <w14:schemeClr w14:val="tx1"/>
            </w14:solidFill>
          </w14:textFill>
        </w:rPr>
        <w:t>⑥</w:t>
      </w:r>
      <w:r>
        <w:rPr>
          <w:color w:val="000000" w:themeColor="text1"/>
          <w14:textFill>
            <w14:solidFill>
              <w14:schemeClr w14:val="tx1"/>
            </w14:solidFill>
          </w14:textFill>
        </w:rPr>
        <w:fldChar w:fldCharType="end"/>
      </w:r>
      <w:r>
        <w:rPr>
          <w:color w:val="000000" w:themeColor="text1"/>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 1 \* GB3 \* MERGEFORMAT </w:instrText>
      </w:r>
      <w:r>
        <w:rPr>
          <w:color w:val="000000" w:themeColor="text1"/>
          <w14:textFill>
            <w14:solidFill>
              <w14:schemeClr w14:val="tx1"/>
            </w14:solidFill>
          </w14:textFill>
        </w:rPr>
        <w:fldChar w:fldCharType="separate"/>
      </w: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fldChar w:fldCharType="end"/>
      </w:r>
      <w:r>
        <w:rPr>
          <w:color w:val="000000" w:themeColor="text1"/>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 3 \* GB3 \* MERGEFORMAT </w:instrText>
      </w:r>
      <w:r>
        <w:rPr>
          <w:color w:val="000000" w:themeColor="text1"/>
          <w14:textFill>
            <w14:solidFill>
              <w14:schemeClr w14:val="tx1"/>
            </w14:solidFill>
          </w14:textFill>
        </w:rPr>
        <w:fldChar w:fldCharType="separate"/>
      </w:r>
      <w:r>
        <w:rPr>
          <w:rFonts w:hint="eastAsia" w:ascii="宋体" w:hAnsi="宋体" w:cs="宋体"/>
          <w:color w:val="000000" w:themeColor="text1"/>
          <w14:textFill>
            <w14:solidFill>
              <w14:schemeClr w14:val="tx1"/>
            </w14:solidFill>
          </w14:textFill>
        </w:rPr>
        <w:t>③</w:t>
      </w:r>
      <w:r>
        <w:rPr>
          <w:color w:val="000000" w:themeColor="text1"/>
          <w14:textFill>
            <w14:solidFill>
              <w14:schemeClr w14:val="tx1"/>
            </w14:solidFill>
          </w14:textFill>
        </w:rPr>
        <w:fldChar w:fldCharType="end"/>
      </w:r>
      <w:r>
        <w:rPr>
          <w:color w:val="000000" w:themeColor="text1"/>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 4 \* GB3 \* MERGEFORMAT </w:instrText>
      </w:r>
      <w:r>
        <w:rPr>
          <w:color w:val="000000" w:themeColor="text1"/>
          <w14:textFill>
            <w14:solidFill>
              <w14:schemeClr w14:val="tx1"/>
            </w14:solidFill>
          </w14:textFill>
        </w:rPr>
        <w:fldChar w:fldCharType="separate"/>
      </w:r>
      <w:r>
        <w:rPr>
          <w:rFonts w:hint="eastAsia" w:ascii="宋体" w:hAnsi="宋体" w:cs="宋体"/>
          <w:color w:val="000000" w:themeColor="text1"/>
          <w14:textFill>
            <w14:solidFill>
              <w14:schemeClr w14:val="tx1"/>
            </w14:solidFill>
          </w14:textFill>
        </w:rPr>
        <w:t>④</w:t>
      </w:r>
      <w:r>
        <w:rPr>
          <w:color w:val="000000" w:themeColor="text1"/>
          <w14:textFill>
            <w14:solidFill>
              <w14:schemeClr w14:val="tx1"/>
            </w14:solidFill>
          </w14:textFill>
        </w:rPr>
        <w:fldChar w:fldCharType="end"/>
      </w:r>
      <w:r>
        <w:rPr>
          <w:color w:val="000000" w:themeColor="text1"/>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 5 \* GB3 \* MERGEFORMAT </w:instrText>
      </w:r>
      <w:r>
        <w:rPr>
          <w:color w:val="000000" w:themeColor="text1"/>
          <w14:textFill>
            <w14:solidFill>
              <w14:schemeClr w14:val="tx1"/>
            </w14:solidFill>
          </w14:textFill>
        </w:rPr>
        <w:fldChar w:fldCharType="separate"/>
      </w:r>
      <w:r>
        <w:rPr>
          <w:rFonts w:hint="eastAsia" w:ascii="宋体" w:hAnsi="宋体" w:cs="宋体"/>
          <w:color w:val="000000" w:themeColor="text1"/>
          <w14:textFill>
            <w14:solidFill>
              <w14:schemeClr w14:val="tx1"/>
            </w14:solidFill>
          </w14:textFill>
        </w:rPr>
        <w:t>⑤</w:t>
      </w:r>
      <w:r>
        <w:rPr>
          <w:color w:val="000000" w:themeColor="text1"/>
          <w14:textFill>
            <w14:solidFill>
              <w14:schemeClr w14:val="tx1"/>
            </w14:solidFill>
          </w14:textFill>
        </w:rPr>
        <w:fldChar w:fldCharType="end"/>
      </w:r>
      <w:r>
        <w:rPr>
          <w:color w:val="000000" w:themeColor="text1"/>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 7 \* GB3 \* MERGEFORMAT </w:instrText>
      </w:r>
      <w:r>
        <w:rPr>
          <w:color w:val="000000" w:themeColor="text1"/>
          <w14:textFill>
            <w14:solidFill>
              <w14:schemeClr w14:val="tx1"/>
            </w14:solidFill>
          </w14:textFill>
        </w:rPr>
        <w:fldChar w:fldCharType="separate"/>
      </w:r>
      <w:r>
        <w:rPr>
          <w:rFonts w:hint="eastAsia" w:ascii="宋体" w:hAnsi="宋体" w:cs="宋体"/>
          <w:color w:val="000000" w:themeColor="text1"/>
          <w14:textFill>
            <w14:solidFill>
              <w14:schemeClr w14:val="tx1"/>
            </w14:solidFill>
          </w14:textFill>
        </w:rPr>
        <w:t>⑦</w:t>
      </w:r>
      <w:r>
        <w:rPr>
          <w:color w:val="000000" w:themeColor="text1"/>
          <w14:textFill>
            <w14:solidFill>
              <w14:schemeClr w14:val="tx1"/>
            </w14:solidFill>
          </w14:textFill>
        </w:rPr>
        <w:fldChar w:fldCharType="end"/>
      </w:r>
      <w:r>
        <w:rPr>
          <w:color w:val="000000" w:themeColor="text1"/>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 6 \* GB3 \* MERGEFORMAT </w:instrText>
      </w:r>
      <w:r>
        <w:rPr>
          <w:color w:val="000000" w:themeColor="text1"/>
          <w14:textFill>
            <w14:solidFill>
              <w14:schemeClr w14:val="tx1"/>
            </w14:solidFill>
          </w14:textFill>
        </w:rPr>
        <w:fldChar w:fldCharType="separate"/>
      </w:r>
      <w:r>
        <w:rPr>
          <w:rFonts w:hint="eastAsia" w:ascii="宋体" w:hAnsi="宋体" w:cs="宋体"/>
          <w:color w:val="000000" w:themeColor="text1"/>
          <w14:textFill>
            <w14:solidFill>
              <w14:schemeClr w14:val="tx1"/>
            </w14:solidFill>
          </w14:textFill>
        </w:rPr>
        <w:t>⑥</w:t>
      </w:r>
      <w:r>
        <w:rPr>
          <w:color w:val="000000" w:themeColor="text1"/>
          <w14:textFill>
            <w14:solidFill>
              <w14:schemeClr w14:val="tx1"/>
            </w14:solidFill>
          </w14:textFill>
        </w:rPr>
        <w:fldChar w:fldCharType="end"/>
      </w:r>
      <w:r>
        <w:rPr>
          <w:color w:val="000000" w:themeColor="text1"/>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 1 \* GB3 \* MERGEFORMAT </w:instrText>
      </w:r>
      <w:r>
        <w:rPr>
          <w:color w:val="000000" w:themeColor="text1"/>
          <w14:textFill>
            <w14:solidFill>
              <w14:schemeClr w14:val="tx1"/>
            </w14:solidFill>
          </w14:textFill>
        </w:rPr>
        <w:fldChar w:fldCharType="separate"/>
      </w: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fldChar w:fldCharType="end"/>
      </w:r>
    </w:p>
    <w:p w14:paraId="48B27D13">
      <w:pPr>
        <w:rPr>
          <w:color w:val="000000" w:themeColor="text1"/>
          <w14:textFill>
            <w14:solidFill>
              <w14:schemeClr w14:val="tx1"/>
            </w14:solidFill>
          </w14:textFill>
        </w:rPr>
      </w:pPr>
    </w:p>
    <w:sectPr>
      <w:footerReference r:id="rId6" w:type="default"/>
      <w:pgSz w:w="16838" w:h="11906" w:orient="landscape"/>
      <w:pgMar w:top="1531" w:right="1701" w:bottom="1531" w:left="1701" w:header="851" w:footer="851"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华文中宋">
    <w:panose1 w:val="02010600040101010101"/>
    <w:charset w:val="86"/>
    <w:family w:val="auto"/>
    <w:pitch w:val="default"/>
    <w:sig w:usb0="00000287" w:usb1="080F0000" w:usb2="00000000" w:usb3="00000000" w:csb0="0004009F" w:csb1="DFD70000"/>
  </w:font>
  <w:font w:name="仿宋_GB2312">
    <w:altName w:val="仿宋"/>
    <w:panose1 w:val="02010609030101010101"/>
    <w:charset w:val="86"/>
    <w:family w:val="modern"/>
    <w:pitch w:val="default"/>
    <w:sig w:usb0="00000000" w:usb1="00000000" w:usb2="00000010" w:usb3="00000000" w:csb0="00040001"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TimesNewRomanPSMT">
    <w:altName w:val="等线"/>
    <w:panose1 w:val="00000000000000000000"/>
    <w:charset w:val="00"/>
    <w:family w:val="roman"/>
    <w:pitch w:val="default"/>
    <w:sig w:usb0="00000000" w:usb1="00000000" w:usb2="00000010" w:usb3="00000000" w:csb0="00060001" w:csb1="00000000"/>
  </w:font>
  <w:font w:name="等线">
    <w:panose1 w:val="02010600030101010101"/>
    <w:charset w:val="86"/>
    <w:family w:val="auto"/>
    <w:pitch w:val="default"/>
    <w:sig w:usb0="A00002BF" w:usb1="38CF7CFA" w:usb2="00000016" w:usb3="00000000" w:csb0="0004000F" w:csb1="00000000"/>
  </w:font>
  <w:font w:name="ˎ̥">
    <w:altName w:val="Times New Roman"/>
    <w:panose1 w:val="00000000000000000000"/>
    <w:charset w:val="00"/>
    <w:family w:val="roman"/>
    <w:pitch w:val="default"/>
    <w:sig w:usb0="00000000" w:usb1="00000000" w:usb2="00000000" w:usb3="00000000" w:csb0="00040001" w:csb1="00000000"/>
  </w:font>
  <w:font w:name="TimesNewRoman">
    <w:altName w:val="Times New Roman"/>
    <w:panose1 w:val="00000000000000000000"/>
    <w:charset w:val="00"/>
    <w:family w:val="roman"/>
    <w:pitch w:val="default"/>
    <w:sig w:usb0="00000000" w:usb1="00000000" w:usb2="00000000" w:usb3="00000000" w:csb0="00000001" w:csb1="00000000"/>
  </w:font>
  <w:font w:name="Arial Black">
    <w:panose1 w:val="020B0A04020102020204"/>
    <w:charset w:val="00"/>
    <w:family w:val="swiss"/>
    <w:pitch w:val="default"/>
    <w:sig w:usb0="A00002AF" w:usb1="400078FB" w:usb2="00000000" w:usb3="00000000" w:csb0="6000009F" w:csb1="DFD70000"/>
  </w:font>
  <w:font w:name="Microsoft YaHei UI">
    <w:panose1 w:val="020B0503020204020204"/>
    <w:charset w:val="86"/>
    <w:family w:val="swiss"/>
    <w:pitch w:val="default"/>
    <w:sig w:usb0="80000287" w:usb1="2ACF3C50" w:usb2="00000016" w:usb3="00000000" w:csb0="0004001F" w:csb1="00000000"/>
  </w:font>
  <w:font w:name="HYKaiTiJ">
    <w:altName w:val="宋体"/>
    <w:panose1 w:val="00000000000000000000"/>
    <w:charset w:val="86"/>
    <w:family w:val="roman"/>
    <w:pitch w:val="default"/>
    <w:sig w:usb0="00000000" w:usb1="00000000" w:usb2="00000010" w:usb3="00000000" w:csb0="00040000" w:csb1="00000000"/>
  </w:font>
  <w:font w:name="Arial Unicode MS">
    <w:panose1 w:val="020B0604020202020204"/>
    <w:charset w:val="86"/>
    <w:family w:val="swiss"/>
    <w:pitch w:val="default"/>
    <w:sig w:usb0="FFFFFFFF" w:usb1="E9FFFFFF" w:usb2="0000003F" w:usb3="00000000" w:csb0="603F01FF" w:csb1="FFFF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等线 Light">
    <w:panose1 w:val="02010600030101010101"/>
    <w:charset w:val="86"/>
    <w:family w:val="auto"/>
    <w:pitch w:val="default"/>
    <w:sig w:usb0="A00002BF" w:usb1="38CF7CFA" w:usb2="00000016" w:usb3="00000000" w:csb0="0004000F" w:csb1="00000000"/>
  </w:font>
  <w:font w:name="DFKai-SB">
    <w:altName w:val="Microsoft JhengHei"/>
    <w:panose1 w:val="00000000000000000000"/>
    <w:charset w:val="88"/>
    <w:family w:val="roman"/>
    <w:pitch w:val="default"/>
    <w:sig w:usb0="00000000" w:usb1="00000000" w:usb2="00000016" w:usb3="00000000" w:csb0="00100001" w:csb1="00000000"/>
  </w:font>
  <w:font w:name="Microsoft JhengHei">
    <w:panose1 w:val="020B0604030504040204"/>
    <w:charset w:val="88"/>
    <w:family w:val="auto"/>
    <w:pitch w:val="default"/>
    <w:sig w:usb0="000002A7" w:usb1="28CF4400" w:usb2="00000016" w:usb3="00000000" w:csb0="00100009" w:csb1="00000000"/>
  </w:font>
  <w:font w:name="Times">
    <w:altName w:val="Times New Roman"/>
    <w:panose1 w:val="02020603050405020304"/>
    <w:charset w:val="00"/>
    <w:family w:val="roman"/>
    <w:pitch w:val="default"/>
    <w:sig w:usb0="00000000" w:usb1="00000000" w:usb2="00000009" w:usb3="00000000" w:csb0="000001FF"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HYShuSongErJ">
    <w:altName w:val="宋体"/>
    <w:panose1 w:val="00000000000000000000"/>
    <w:charset w:val="86"/>
    <w:family w:val="roman"/>
    <w:pitch w:val="default"/>
    <w:sig w:usb0="00000000" w:usb1="00000000" w:usb2="00000010" w:usb3="00000000" w:csb0="00040000" w:csb1="00000000"/>
  </w:font>
  <w:font w:name="Arial Narrow">
    <w:panose1 w:val="020B0606020202030204"/>
    <w:charset w:val="00"/>
    <w:family w:val="swiss"/>
    <w:pitch w:val="default"/>
    <w:sig w:usb0="00000287" w:usb1="00000800" w:usb2="00000000" w:usb3="00000000" w:csb0="2000009F" w:csb1="DFD70000"/>
  </w:font>
  <w:font w:name="新宋体">
    <w:panose1 w:val="02010609030101010101"/>
    <w:charset w:val="86"/>
    <w:family w:val="modern"/>
    <w:pitch w:val="default"/>
    <w:sig w:usb0="00000203" w:usb1="288F0000" w:usb2="00000006" w:usb3="00000000" w:csb0="00040001" w:csb1="00000000"/>
  </w:font>
  <w:font w:name="Wingdings 2">
    <w:panose1 w:val="05020102010507070707"/>
    <w:charset w:val="02"/>
    <w:family w:val="roman"/>
    <w:pitch w:val="default"/>
    <w:sig w:usb0="00000000" w:usb1="00000000" w:usb2="00000000" w:usb3="00000000" w:csb0="80000000" w:csb1="00000000"/>
  </w:font>
  <w:font w:name="Cambria Math">
    <w:panose1 w:val="02040503050406030204"/>
    <w:charset w:val="00"/>
    <w:family w:val="roman"/>
    <w:pitch w:val="default"/>
    <w:sig w:usb0="E00006FF" w:usb1="420024FF" w:usb2="02000000" w:usb3="00000000" w:csb0="2000019F" w:csb1="00000000"/>
  </w:font>
  <w:font w:name="KSOFE4500885">
    <w:panose1 w:val="02010609060101010101"/>
    <w:charset w:val="86"/>
    <w:family w:val="auto"/>
    <w:pitch w:val="default"/>
    <w:sig w:usb0="00000001"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BD7B38">
    <w:pPr>
      <w:pStyle w:val="28"/>
      <w:ind w:right="360"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35AA88">
    <w:pPr>
      <w:pStyle w:val="28"/>
      <w:framePr w:wrap="around" w:vAnchor="text" w:hAnchor="margin" w:xAlign="center" w:y="1"/>
      <w:rPr>
        <w:rStyle w:val="49"/>
      </w:rPr>
    </w:pPr>
    <w:r>
      <w:fldChar w:fldCharType="begin"/>
    </w:r>
    <w:r>
      <w:rPr>
        <w:rStyle w:val="49"/>
      </w:rPr>
      <w:instrText xml:space="preserve">PAGE  </w:instrText>
    </w:r>
    <w:r>
      <w:fldChar w:fldCharType="end"/>
    </w:r>
  </w:p>
  <w:p w14:paraId="41DC0FD4">
    <w:pPr>
      <w:pStyle w:val="28"/>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6A4734">
    <w:pPr>
      <w:pStyle w:val="28"/>
      <w:framePr w:wrap="around" w:vAnchor="text" w:hAnchor="margin" w:xAlign="outside" w:y="1"/>
      <w:rPr>
        <w:rStyle w:val="49"/>
        <w:b/>
        <w:bCs/>
        <w:sz w:val="21"/>
        <w:szCs w:val="21"/>
      </w:rPr>
    </w:pPr>
    <w:r>
      <w:rPr>
        <w:rStyle w:val="49"/>
        <w:b/>
        <w:bCs/>
        <w:sz w:val="21"/>
        <w:szCs w:val="21"/>
      </w:rPr>
      <w:t xml:space="preserve">—  </w:t>
    </w:r>
    <w:r>
      <w:rPr>
        <w:b/>
        <w:bCs/>
        <w:sz w:val="21"/>
        <w:szCs w:val="21"/>
      </w:rPr>
      <w:fldChar w:fldCharType="begin"/>
    </w:r>
    <w:r>
      <w:rPr>
        <w:rStyle w:val="49"/>
        <w:b/>
        <w:bCs/>
        <w:sz w:val="21"/>
        <w:szCs w:val="21"/>
      </w:rPr>
      <w:instrText xml:space="preserve">PAGE  </w:instrText>
    </w:r>
    <w:r>
      <w:rPr>
        <w:b/>
        <w:bCs/>
        <w:sz w:val="21"/>
        <w:szCs w:val="21"/>
      </w:rPr>
      <w:fldChar w:fldCharType="separate"/>
    </w:r>
    <w:r>
      <w:rPr>
        <w:rStyle w:val="49"/>
        <w:b/>
        <w:bCs/>
        <w:sz w:val="21"/>
        <w:szCs w:val="21"/>
      </w:rPr>
      <w:t>6</w:t>
    </w:r>
    <w:r>
      <w:rPr>
        <w:b/>
        <w:bCs/>
        <w:sz w:val="21"/>
        <w:szCs w:val="21"/>
      </w:rPr>
      <w:fldChar w:fldCharType="end"/>
    </w:r>
    <w:r>
      <w:rPr>
        <w:rStyle w:val="49"/>
        <w:b/>
        <w:bCs/>
        <w:sz w:val="21"/>
        <w:szCs w:val="21"/>
      </w:rPr>
      <w:t xml:space="preserve">  —</w:t>
    </w:r>
  </w:p>
  <w:p w14:paraId="483A76C6">
    <w:pPr>
      <w:pStyle w:val="28"/>
      <w:ind w:right="360" w:firstLine="36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93376C">
    <w:pPr>
      <w:pStyle w:val="28"/>
      <w:framePr w:wrap="around" w:vAnchor="text" w:hAnchor="margin" w:xAlign="outside" w:y="1"/>
      <w:rPr>
        <w:rStyle w:val="49"/>
        <w:rFonts w:hint="eastAsia" w:ascii="宋体" w:hAnsi="宋体"/>
        <w:sz w:val="28"/>
        <w:szCs w:val="28"/>
      </w:rPr>
    </w:pPr>
    <w:r>
      <w:rPr>
        <w:rStyle w:val="49"/>
        <w:rFonts w:hint="eastAsia" w:ascii="宋体" w:hAnsi="宋体"/>
        <w:sz w:val="28"/>
        <w:szCs w:val="28"/>
      </w:rPr>
      <w:t>—</w:t>
    </w:r>
    <w:r>
      <w:rPr>
        <w:rStyle w:val="49"/>
        <w:rFonts w:hint="eastAsia" w:ascii="宋体" w:hAnsi="宋体"/>
        <w:sz w:val="20"/>
      </w:rPr>
      <w:t xml:space="preserve"> </w:t>
    </w:r>
    <w:r>
      <w:rPr>
        <w:rStyle w:val="49"/>
        <w:b/>
        <w:bCs/>
        <w:sz w:val="24"/>
        <w:szCs w:val="24"/>
      </w:rPr>
      <w:t xml:space="preserve"> </w:t>
    </w:r>
    <w:r>
      <w:rPr>
        <w:b/>
        <w:bCs/>
        <w:sz w:val="24"/>
        <w:szCs w:val="24"/>
      </w:rPr>
      <w:fldChar w:fldCharType="begin"/>
    </w:r>
    <w:r>
      <w:rPr>
        <w:rStyle w:val="49"/>
        <w:b/>
        <w:bCs/>
        <w:sz w:val="24"/>
        <w:szCs w:val="24"/>
      </w:rPr>
      <w:instrText xml:space="preserve">PAGE  </w:instrText>
    </w:r>
    <w:r>
      <w:rPr>
        <w:b/>
        <w:bCs/>
        <w:sz w:val="24"/>
        <w:szCs w:val="24"/>
      </w:rPr>
      <w:fldChar w:fldCharType="separate"/>
    </w:r>
    <w:r>
      <w:rPr>
        <w:rStyle w:val="49"/>
        <w:b/>
        <w:bCs/>
        <w:sz w:val="24"/>
        <w:szCs w:val="24"/>
      </w:rPr>
      <w:t>11</w:t>
    </w:r>
    <w:r>
      <w:rPr>
        <w:b/>
        <w:bCs/>
        <w:sz w:val="24"/>
        <w:szCs w:val="24"/>
      </w:rPr>
      <w:fldChar w:fldCharType="end"/>
    </w:r>
    <w:r>
      <w:rPr>
        <w:rStyle w:val="49"/>
        <w:b/>
        <w:bCs/>
        <w:sz w:val="24"/>
        <w:szCs w:val="24"/>
      </w:rPr>
      <w:t xml:space="preserve"> </w:t>
    </w:r>
    <w:r>
      <w:rPr>
        <w:rStyle w:val="49"/>
        <w:rFonts w:hint="eastAsia" w:ascii="宋体" w:hAnsi="宋体"/>
        <w:sz w:val="20"/>
      </w:rPr>
      <w:t xml:space="preserve"> </w:t>
    </w:r>
    <w:r>
      <w:rPr>
        <w:rStyle w:val="49"/>
        <w:rFonts w:hint="eastAsia" w:ascii="宋体" w:hAnsi="宋体"/>
        <w:sz w:val="28"/>
        <w:szCs w:val="28"/>
      </w:rPr>
      <w:t>—</w:t>
    </w:r>
  </w:p>
  <w:p w14:paraId="77C1F54F">
    <w:pPr>
      <w:pStyle w:val="28"/>
      <w:ind w:right="360" w:firstLine="360"/>
      <w:jc w:val="cente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74AD3D"/>
    <w:multiLevelType w:val="singleLevel"/>
    <w:tmpl w:val="8974AD3D"/>
    <w:lvl w:ilvl="0" w:tentative="0">
      <w:start w:val="1"/>
      <w:numFmt w:val="bullet"/>
      <w:pStyle w:val="23"/>
      <w:lvlText w:val=""/>
      <w:lvlJc w:val="left"/>
      <w:pPr>
        <w:tabs>
          <w:tab w:val="left" w:pos="2040"/>
        </w:tabs>
        <w:ind w:left="2040" w:hanging="360"/>
      </w:pPr>
      <w:rPr>
        <w:rFonts w:hint="default" w:ascii="Wingdings" w:hAnsi="Wingdings"/>
      </w:rPr>
    </w:lvl>
  </w:abstractNum>
  <w:abstractNum w:abstractNumId="1">
    <w:nsid w:val="AADCB3A1"/>
    <w:multiLevelType w:val="singleLevel"/>
    <w:tmpl w:val="AADCB3A1"/>
    <w:lvl w:ilvl="0" w:tentative="0">
      <w:start w:val="6"/>
      <w:numFmt w:val="chineseCounting"/>
      <w:suff w:val="nothing"/>
      <w:lvlText w:val="%1、"/>
      <w:lvlJc w:val="left"/>
      <w:rPr>
        <w:rFonts w:hint="eastAsia"/>
      </w:rPr>
    </w:lvl>
  </w:abstractNum>
  <w:abstractNum w:abstractNumId="2">
    <w:nsid w:val="07A8BB30"/>
    <w:multiLevelType w:val="singleLevel"/>
    <w:tmpl w:val="07A8BB30"/>
    <w:lvl w:ilvl="0" w:tentative="0">
      <w:start w:val="1"/>
      <w:numFmt w:val="decimal"/>
      <w:suff w:val="space"/>
      <w:lvlText w:val="%1."/>
      <w:lvlJc w:val="left"/>
    </w:lvl>
  </w:abstractNum>
  <w:abstractNum w:abstractNumId="3">
    <w:nsid w:val="0FFFFF7C"/>
    <w:multiLevelType w:val="multilevel"/>
    <w:tmpl w:val="0FFFFF7C"/>
    <w:lvl w:ilvl="0" w:tentative="0">
      <w:start w:val="1"/>
      <w:numFmt w:val="decimal"/>
      <w:pStyle w:val="19"/>
      <w:lvlText w:val="%1."/>
      <w:lvlJc w:val="left"/>
      <w:pPr>
        <w:tabs>
          <w:tab w:val="left" w:pos="2040"/>
        </w:tabs>
        <w:ind w:left="204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132B5C58"/>
    <w:multiLevelType w:val="singleLevel"/>
    <w:tmpl w:val="132B5C58"/>
    <w:lvl w:ilvl="0" w:tentative="0">
      <w:start w:val="10"/>
      <w:numFmt w:val="decimal"/>
      <w:suff w:val="nothing"/>
      <w:lvlText w:val="（%1）"/>
      <w:lvlJc w:val="left"/>
    </w:lvl>
  </w:abstractNum>
  <w:abstractNum w:abstractNumId="5">
    <w:nsid w:val="17A54E23"/>
    <w:multiLevelType w:val="multilevel"/>
    <w:tmpl w:val="17A54E23"/>
    <w:lvl w:ilvl="0" w:tentative="0">
      <w:start w:val="4"/>
      <w:numFmt w:val="chineseCountingThousand"/>
      <w:suff w:val="nothing"/>
      <w:lvlText w:val="%1、"/>
      <w:lvlJc w:val="center"/>
      <w:pPr>
        <w:ind w:left="0" w:firstLine="0"/>
      </w:pPr>
      <w:rPr>
        <w:rFonts w:hint="default" w:ascii="Times New Roman" w:hAnsi="Times New Roman" w:eastAsia="黑体"/>
        <w:b w:val="0"/>
        <w:i w:val="0"/>
        <w:sz w:val="30"/>
      </w:rPr>
    </w:lvl>
    <w:lvl w:ilvl="1" w:tentative="0">
      <w:start w:val="2"/>
      <w:numFmt w:val="decimal"/>
      <w:isLgl/>
      <w:suff w:val="space"/>
      <w:lvlText w:val="%1.%2"/>
      <w:lvlJc w:val="left"/>
      <w:pPr>
        <w:ind w:left="0" w:firstLine="0"/>
      </w:pPr>
      <w:rPr>
        <w:rFonts w:hint="default" w:ascii="Times New Roman" w:hAnsi="Times New Roman" w:eastAsia="黑体"/>
        <w:b/>
        <w:i w:val="0"/>
        <w:sz w:val="28"/>
      </w:rPr>
    </w:lvl>
    <w:lvl w:ilvl="2" w:tentative="0">
      <w:start w:val="1"/>
      <w:numFmt w:val="decimal"/>
      <w:isLgl/>
      <w:suff w:val="space"/>
      <w:lvlText w:val="%1.%2.%3"/>
      <w:lvlJc w:val="left"/>
      <w:pPr>
        <w:ind w:left="0" w:firstLine="0"/>
      </w:pPr>
      <w:rPr>
        <w:rFonts w:hint="eastAsia" w:ascii="Times New Roman" w:hAnsi="Times New Roman" w:cs="Times New Roman"/>
        <w:i w:val="0"/>
        <w:iCs w:val="0"/>
        <w:caps w:val="0"/>
        <w:smallCaps w:val="0"/>
        <w:strike w:val="0"/>
        <w:dstrike w:val="0"/>
        <w:outline w:val="0"/>
        <w:shadow w:val="0"/>
        <w:emboss w:val="0"/>
        <w:imprint w:val="0"/>
        <w:vanish w:val="0"/>
        <w:spacing w:val="0"/>
        <w:position w:val="0"/>
        <w:u w:val="none"/>
        <w:vertAlign w:val="baseline"/>
      </w:rPr>
    </w:lvl>
    <w:lvl w:ilvl="3" w:tentative="0">
      <w:start w:val="1"/>
      <w:numFmt w:val="decimal"/>
      <w:isLgl/>
      <w:suff w:val="space"/>
      <w:lvlText w:val="%1.%2.%3.%4"/>
      <w:lvlJc w:val="left"/>
      <w:pPr>
        <w:ind w:left="0" w:firstLine="0"/>
      </w:pPr>
      <w:rPr>
        <w:rFonts w:hint="default" w:ascii="Times New Roman" w:hAnsi="Times New Roman" w:eastAsia="黑体"/>
        <w:b/>
        <w:i w:val="0"/>
        <w:sz w:val="24"/>
      </w:rPr>
    </w:lvl>
    <w:lvl w:ilvl="4" w:tentative="0">
      <w:start w:val="1"/>
      <w:numFmt w:val="decimal"/>
      <w:lvlRestart w:val="0"/>
      <w:isLgl/>
      <w:suff w:val="space"/>
      <w:lvlText w:val="表%1-%5"/>
      <w:lvlJc w:val="left"/>
      <w:pPr>
        <w:ind w:left="0" w:firstLine="0"/>
      </w:pPr>
      <w:rPr>
        <w:rFonts w:hint="default" w:ascii="Times New Roman" w:hAnsi="Times New Roman" w:eastAsia="宋体"/>
        <w:b/>
        <w:i w:val="0"/>
        <w:sz w:val="24"/>
      </w:rPr>
    </w:lvl>
    <w:lvl w:ilvl="5" w:tentative="0">
      <w:start w:val="1"/>
      <w:numFmt w:val="decimal"/>
      <w:lvlRestart w:val="0"/>
      <w:isLgl/>
      <w:suff w:val="space"/>
      <w:lvlText w:val="图%1-%6"/>
      <w:lvlJc w:val="left"/>
      <w:pPr>
        <w:ind w:left="0" w:firstLine="0"/>
      </w:pPr>
      <w:rPr>
        <w:rFonts w:hint="default" w:ascii="Times New Roman" w:hAnsi="Times New Roman" w:eastAsia="宋体"/>
        <w:b/>
        <w:i w:val="0"/>
        <w:sz w:val="24"/>
      </w:rPr>
    </w:lvl>
    <w:lvl w:ilvl="6" w:tentative="0">
      <w:start w:val="8"/>
      <w:numFmt w:val="decimal"/>
      <w:lvlText w:val="附图%7"/>
      <w:lvlJc w:val="center"/>
      <w:pPr>
        <w:ind w:left="0" w:firstLine="288"/>
      </w:pPr>
      <w:rPr>
        <w:rFonts w:hint="default" w:ascii="Times New Roman" w:hAnsi="Times New Roman" w:eastAsia="宋体"/>
        <w:b/>
        <w:i w:val="0"/>
        <w:sz w:val="24"/>
      </w:rPr>
    </w:lvl>
    <w:lvl w:ilvl="7" w:tentative="0">
      <w:start w:val="1"/>
      <w:numFmt w:val="none"/>
      <w:lvlRestart w:val="1"/>
      <w:isLgl/>
      <w:suff w:val="space"/>
      <w:lvlText w:val="附件%1%8"/>
      <w:lvlJc w:val="center"/>
      <w:pPr>
        <w:ind w:left="0" w:firstLine="0"/>
      </w:pPr>
      <w:rPr>
        <w:rFonts w:hint="eastAsia" w:ascii="Times New Roman" w:hAnsi="Times New Roman" w:cs="Times New Roman"/>
        <w:bCs w:val="0"/>
        <w:i w:val="0"/>
        <w:iCs w:val="0"/>
        <w:caps w:val="0"/>
        <w:smallCaps w:val="0"/>
        <w:strike w:val="0"/>
        <w:dstrike w:val="0"/>
        <w:outline w:val="0"/>
        <w:shadow w:val="0"/>
        <w:emboss w:val="0"/>
        <w:imprint w:val="0"/>
        <w:vanish w:val="0"/>
        <w:color w:val="000000"/>
        <w:spacing w:val="0"/>
        <w:kern w:val="0"/>
        <w:position w:val="0"/>
        <w:u w:val="none"/>
        <w:vertAlign w:val="baseline"/>
      </w:rPr>
    </w:lvl>
    <w:lvl w:ilvl="8" w:tentative="0">
      <w:start w:val="1"/>
      <w:numFmt w:val="decimal"/>
      <w:lvlText w:val="%1.%2.%3.%4.%5.%6.%7.%8.%9"/>
      <w:lvlJc w:val="left"/>
      <w:pPr>
        <w:ind w:left="5102" w:hanging="1700"/>
      </w:pPr>
      <w:rPr>
        <w:rFonts w:hint="eastAsia"/>
      </w:rPr>
    </w:lvl>
  </w:abstractNum>
  <w:abstractNum w:abstractNumId="6">
    <w:nsid w:val="36EBC528"/>
    <w:multiLevelType w:val="singleLevel"/>
    <w:tmpl w:val="36EBC528"/>
    <w:lvl w:ilvl="0" w:tentative="0">
      <w:start w:val="1"/>
      <w:numFmt w:val="decimal"/>
      <w:suff w:val="space"/>
      <w:lvlText w:val="%1."/>
      <w:lvlJc w:val="left"/>
    </w:lvl>
  </w:abstractNum>
  <w:abstractNum w:abstractNumId="7">
    <w:nsid w:val="3850065B"/>
    <w:multiLevelType w:val="multilevel"/>
    <w:tmpl w:val="3850065B"/>
    <w:lvl w:ilvl="0" w:tentative="0">
      <w:start w:val="4"/>
      <w:numFmt w:val="none"/>
      <w:lvlText w:val="四、"/>
      <w:lvlJc w:val="left"/>
      <w:pPr>
        <w:ind w:left="992" w:hanging="51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8">
    <w:nsid w:val="4297505A"/>
    <w:multiLevelType w:val="multilevel"/>
    <w:tmpl w:val="4297505A"/>
    <w:lvl w:ilvl="0" w:tentative="0">
      <w:start w:val="1"/>
      <w:numFmt w:val="japaneseCounting"/>
      <w:lvlText w:val="%1、"/>
      <w:lvlJc w:val="left"/>
      <w:pPr>
        <w:ind w:left="992" w:hanging="51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9">
    <w:nsid w:val="4BC5E939"/>
    <w:multiLevelType w:val="singleLevel"/>
    <w:tmpl w:val="4BC5E939"/>
    <w:lvl w:ilvl="0" w:tentative="0">
      <w:start w:val="1"/>
      <w:numFmt w:val="decimal"/>
      <w:suff w:val="nothing"/>
      <w:lvlText w:val="%1、"/>
      <w:lvlJc w:val="left"/>
    </w:lvl>
  </w:abstractNum>
  <w:abstractNum w:abstractNumId="10">
    <w:nsid w:val="50A26181"/>
    <w:multiLevelType w:val="singleLevel"/>
    <w:tmpl w:val="50A26181"/>
    <w:lvl w:ilvl="0" w:tentative="0">
      <w:start w:val="1"/>
      <w:numFmt w:val="decimal"/>
      <w:suff w:val="space"/>
      <w:lvlText w:val="%1."/>
      <w:lvlJc w:val="left"/>
    </w:lvl>
  </w:abstractNum>
  <w:abstractNum w:abstractNumId="11">
    <w:nsid w:val="54C4996B"/>
    <w:multiLevelType w:val="singleLevel"/>
    <w:tmpl w:val="54C4996B"/>
    <w:lvl w:ilvl="0" w:tentative="0">
      <w:start w:val="1"/>
      <w:numFmt w:val="decimal"/>
      <w:pStyle w:val="259"/>
      <w:suff w:val="nothing"/>
      <w:lvlText w:val="%1、"/>
      <w:lvlJc w:val="left"/>
    </w:lvl>
  </w:abstractNum>
  <w:abstractNum w:abstractNumId="12">
    <w:nsid w:val="5E7A45F6"/>
    <w:multiLevelType w:val="singleLevel"/>
    <w:tmpl w:val="5E7A45F6"/>
    <w:lvl w:ilvl="0" w:tentative="0">
      <w:start w:val="1"/>
      <w:numFmt w:val="chineseCounting"/>
      <w:suff w:val="nothing"/>
      <w:lvlText w:val="%1、"/>
      <w:lvlJc w:val="left"/>
      <w:rPr>
        <w:rFonts w:hint="eastAsia"/>
      </w:rPr>
    </w:lvl>
  </w:abstractNum>
  <w:abstractNum w:abstractNumId="13">
    <w:nsid w:val="61F00895"/>
    <w:multiLevelType w:val="multilevel"/>
    <w:tmpl w:val="61F00895"/>
    <w:lvl w:ilvl="0" w:tentative="0">
      <w:start w:val="1"/>
      <w:numFmt w:val="none"/>
      <w:lvlText w:val="一、"/>
      <w:lvlJc w:val="left"/>
      <w:pPr>
        <w:tabs>
          <w:tab w:val="left" w:pos="962"/>
        </w:tabs>
        <w:ind w:left="962" w:hanging="480"/>
      </w:pPr>
      <w:rPr>
        <w:rFonts w:hint="default"/>
        <w:b w:val="0"/>
        <w:sz w:val="21"/>
      </w:rPr>
    </w:lvl>
    <w:lvl w:ilvl="1" w:tentative="0">
      <w:start w:val="1"/>
      <w:numFmt w:val="lowerLetter"/>
      <w:pStyle w:val="461"/>
      <w:lvlText w:val="%2)"/>
      <w:lvlJc w:val="left"/>
      <w:pPr>
        <w:tabs>
          <w:tab w:val="left" w:pos="1322"/>
        </w:tabs>
        <w:ind w:left="1322" w:hanging="420"/>
      </w:pPr>
    </w:lvl>
    <w:lvl w:ilvl="2" w:tentative="0">
      <w:start w:val="1"/>
      <w:numFmt w:val="lowerRoman"/>
      <w:lvlText w:val="%3."/>
      <w:lvlJc w:val="right"/>
      <w:pPr>
        <w:tabs>
          <w:tab w:val="left" w:pos="1742"/>
        </w:tabs>
        <w:ind w:left="1742" w:hanging="420"/>
      </w:pPr>
    </w:lvl>
    <w:lvl w:ilvl="3" w:tentative="0">
      <w:start w:val="1"/>
      <w:numFmt w:val="decimal"/>
      <w:lvlText w:val="%4."/>
      <w:lvlJc w:val="left"/>
      <w:pPr>
        <w:tabs>
          <w:tab w:val="left" w:pos="2162"/>
        </w:tabs>
        <w:ind w:left="2162" w:hanging="420"/>
      </w:pPr>
    </w:lvl>
    <w:lvl w:ilvl="4" w:tentative="0">
      <w:start w:val="1"/>
      <w:numFmt w:val="lowerLetter"/>
      <w:lvlText w:val="%5)"/>
      <w:lvlJc w:val="left"/>
      <w:pPr>
        <w:tabs>
          <w:tab w:val="left" w:pos="2582"/>
        </w:tabs>
        <w:ind w:left="2582" w:hanging="420"/>
      </w:pPr>
    </w:lvl>
    <w:lvl w:ilvl="5" w:tentative="0">
      <w:start w:val="1"/>
      <w:numFmt w:val="lowerRoman"/>
      <w:lvlText w:val="%6."/>
      <w:lvlJc w:val="right"/>
      <w:pPr>
        <w:tabs>
          <w:tab w:val="left" w:pos="3002"/>
        </w:tabs>
        <w:ind w:left="3002" w:hanging="420"/>
      </w:pPr>
    </w:lvl>
    <w:lvl w:ilvl="6" w:tentative="0">
      <w:start w:val="1"/>
      <w:numFmt w:val="decimal"/>
      <w:lvlText w:val="%7."/>
      <w:lvlJc w:val="left"/>
      <w:pPr>
        <w:tabs>
          <w:tab w:val="left" w:pos="3422"/>
        </w:tabs>
        <w:ind w:left="3422" w:hanging="420"/>
      </w:pPr>
    </w:lvl>
    <w:lvl w:ilvl="7" w:tentative="0">
      <w:start w:val="1"/>
      <w:numFmt w:val="lowerLetter"/>
      <w:lvlText w:val="%8)"/>
      <w:lvlJc w:val="left"/>
      <w:pPr>
        <w:tabs>
          <w:tab w:val="left" w:pos="3842"/>
        </w:tabs>
        <w:ind w:left="3842" w:hanging="420"/>
      </w:pPr>
    </w:lvl>
    <w:lvl w:ilvl="8" w:tentative="0">
      <w:start w:val="1"/>
      <w:numFmt w:val="lowerRoman"/>
      <w:lvlText w:val="%9."/>
      <w:lvlJc w:val="right"/>
      <w:pPr>
        <w:tabs>
          <w:tab w:val="left" w:pos="4262"/>
        </w:tabs>
        <w:ind w:left="4262" w:hanging="420"/>
      </w:pPr>
    </w:lvl>
  </w:abstractNum>
  <w:abstractNum w:abstractNumId="14">
    <w:nsid w:val="6C7EDA9B"/>
    <w:multiLevelType w:val="multilevel"/>
    <w:tmpl w:val="6C7EDA9B"/>
    <w:lvl w:ilvl="0" w:tentative="0">
      <w:start w:val="1"/>
      <w:numFmt w:val="decimal"/>
      <w:pStyle w:val="478"/>
      <w:lvlText w:val="表%1"/>
      <w:lvlJc w:val="center"/>
      <w:pPr>
        <w:ind w:left="420" w:hanging="132"/>
      </w:pPr>
      <w:rPr>
        <w:rFonts w:hint="default" w:ascii="Times New Roman" w:hAnsi="Times New Roman" w:eastAsia="宋体" w:cs="宋体"/>
        <w:b/>
        <w:bCs/>
        <w:sz w:val="21"/>
        <w:szCs w:val="21"/>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5">
    <w:nsid w:val="7D3EDF37"/>
    <w:multiLevelType w:val="multilevel"/>
    <w:tmpl w:val="7D3EDF37"/>
    <w:lvl w:ilvl="0" w:tentative="0">
      <w:start w:val="1"/>
      <w:numFmt w:val="decimal"/>
      <w:suff w:val="nothing"/>
      <w:lvlText w:val="%1"/>
      <w:lvlJc w:val="left"/>
      <w:pPr>
        <w:ind w:left="0" w:firstLine="0"/>
      </w:pPr>
      <w:rPr>
        <w:rFonts w:hint="default" w:ascii="Times New Roman" w:hAnsi="Times New Roman" w:eastAsia="宋体" w:cs="Times New Roman"/>
        <w:b/>
        <w:bCs/>
        <w:sz w:val="36"/>
        <w:szCs w:val="36"/>
      </w:rPr>
    </w:lvl>
    <w:lvl w:ilvl="1" w:tentative="0">
      <w:start w:val="1"/>
      <w:numFmt w:val="decimal"/>
      <w:suff w:val="nothing"/>
      <w:lvlText w:val="%1.%2"/>
      <w:lvlJc w:val="left"/>
      <w:pPr>
        <w:ind w:left="0" w:firstLine="0"/>
      </w:pPr>
      <w:rPr>
        <w:rFonts w:hint="default" w:ascii="Times New Roman" w:hAnsi="Times New Roman" w:eastAsia="宋体" w:cs="Times New Roman"/>
        <w:b/>
        <w:bCs/>
        <w:sz w:val="32"/>
        <w:szCs w:val="32"/>
      </w:rPr>
    </w:lvl>
    <w:lvl w:ilvl="2" w:tentative="0">
      <w:start w:val="1"/>
      <w:numFmt w:val="decimal"/>
      <w:isLgl/>
      <w:suff w:val="nothing"/>
      <w:lvlText w:val="%1.%2.%3"/>
      <w:lvlJc w:val="left"/>
      <w:pPr>
        <w:ind w:left="0" w:firstLine="0"/>
      </w:pPr>
      <w:rPr>
        <w:rFonts w:hint="default" w:ascii="Times New Roman" w:hAnsi="Times New Roman" w:eastAsia="宋体" w:cs="Times New Roman"/>
        <w:b/>
        <w:bCs/>
        <w:sz w:val="28"/>
        <w:szCs w:val="28"/>
      </w:rPr>
    </w:lvl>
    <w:lvl w:ilvl="3" w:tentative="0">
      <w:start w:val="1"/>
      <w:numFmt w:val="decimal"/>
      <w:lvlRestart w:val="2"/>
      <w:pStyle w:val="247"/>
      <w:suff w:val="nothing"/>
      <w:lvlText w:val="表%4"/>
      <w:lvlJc w:val="left"/>
      <w:pPr>
        <w:ind w:left="0" w:firstLine="0"/>
      </w:pPr>
      <w:rPr>
        <w:rFonts w:hint="default" w:ascii="Times New Roman" w:hAnsi="Times New Roman" w:eastAsia="宋体" w:cs="Times New Roman"/>
        <w:b/>
        <w:bCs/>
        <w:sz w:val="21"/>
        <w:szCs w:val="21"/>
      </w:rPr>
    </w:lvl>
    <w:lvl w:ilvl="4" w:tentative="0">
      <w:start w:val="1"/>
      <w:numFmt w:val="decimal"/>
      <w:lvlRestart w:val="0"/>
      <w:suff w:val="nothing"/>
      <w:lvlText w:val="图%5"/>
      <w:lvlJc w:val="left"/>
      <w:pPr>
        <w:ind w:left="0" w:firstLine="0"/>
      </w:pPr>
      <w:rPr>
        <w:rFonts w:hint="default" w:ascii="Times New Roman" w:hAnsi="Times New Roman" w:eastAsia="宋体" w:cs="Times New Roman"/>
      </w:rPr>
    </w:lvl>
    <w:lvl w:ilvl="5" w:tentative="0">
      <w:start w:val="1"/>
      <w:numFmt w:val="decimal"/>
      <w:lvlText w:val="%1.%2.%3.%4.%5.%6."/>
      <w:lvlJc w:val="left"/>
      <w:pPr>
        <w:ind w:left="1134" w:hanging="1134"/>
      </w:pPr>
    </w:lvl>
    <w:lvl w:ilvl="6" w:tentative="0">
      <w:start w:val="1"/>
      <w:numFmt w:val="decimal"/>
      <w:lvlText w:val="%1.%2.%3.%4.%5.%6.%7."/>
      <w:lvlJc w:val="left"/>
      <w:pPr>
        <w:ind w:left="1275" w:hanging="1275"/>
      </w:pPr>
    </w:lvl>
    <w:lvl w:ilvl="7" w:tentative="0">
      <w:start w:val="1"/>
      <w:numFmt w:val="decimal"/>
      <w:lvlText w:val="%1.%2.%3.%4.%5.%6.%7.%8."/>
      <w:lvlJc w:val="left"/>
      <w:pPr>
        <w:ind w:left="1418" w:hanging="1418"/>
      </w:pPr>
    </w:lvl>
    <w:lvl w:ilvl="8" w:tentative="0">
      <w:start w:val="1"/>
      <w:numFmt w:val="decimal"/>
      <w:lvlText w:val="%1.%2.%3.%4.%5.%6.%7.%8.%9."/>
      <w:lvlJc w:val="left"/>
      <w:pPr>
        <w:ind w:left="1558" w:hanging="1558"/>
      </w:pPr>
    </w:lvl>
  </w:abstractNum>
  <w:num w:numId="1">
    <w:abstractNumId w:val="3"/>
  </w:num>
  <w:num w:numId="2">
    <w:abstractNumId w:val="0"/>
  </w:num>
  <w:num w:numId="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13"/>
  </w:num>
  <w:num w:numId="6">
    <w:abstractNumId w:val="14"/>
  </w:num>
  <w:num w:numId="7">
    <w:abstractNumId w:val="6"/>
  </w:num>
  <w:num w:numId="8">
    <w:abstractNumId w:val="10"/>
  </w:num>
  <w:num w:numId="9">
    <w:abstractNumId w:val="9"/>
  </w:num>
  <w:num w:numId="10">
    <w:abstractNumId w:val="2"/>
  </w:num>
  <w:num w:numId="11">
    <w:abstractNumId w:val="1"/>
  </w:num>
  <w:num w:numId="12">
    <w:abstractNumId w:val="8"/>
  </w:num>
  <w:num w:numId="13">
    <w:abstractNumId w:val="7"/>
  </w:num>
  <w:num w:numId="14">
    <w:abstractNumId w:val="12"/>
  </w:num>
  <w:num w:numId="15">
    <w:abstractNumId w:val="5"/>
  </w:num>
  <w:num w:numId="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dit="trackedChanges" w:enforcement="0"/>
  <w:defaultTabStop w:val="420"/>
  <w:doNotHyphenateCaps/>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E0ZTdmMDNhYjgxZTk2MTUxYzk3MmQ1MTg4NjA5Y2IifQ=="/>
  </w:docVars>
  <w:rsids>
    <w:rsidRoot w:val="00A14947"/>
    <w:rsid w:val="000001B0"/>
    <w:rsid w:val="0000031C"/>
    <w:rsid w:val="00001F85"/>
    <w:rsid w:val="00002890"/>
    <w:rsid w:val="00003A63"/>
    <w:rsid w:val="000060B3"/>
    <w:rsid w:val="0000620B"/>
    <w:rsid w:val="00007B20"/>
    <w:rsid w:val="0001005C"/>
    <w:rsid w:val="00011823"/>
    <w:rsid w:val="00011FE5"/>
    <w:rsid w:val="000120A8"/>
    <w:rsid w:val="000122B5"/>
    <w:rsid w:val="00014CA2"/>
    <w:rsid w:val="00015FFC"/>
    <w:rsid w:val="00016668"/>
    <w:rsid w:val="0001737F"/>
    <w:rsid w:val="000173FB"/>
    <w:rsid w:val="00020B07"/>
    <w:rsid w:val="00020C44"/>
    <w:rsid w:val="00020F10"/>
    <w:rsid w:val="0002238A"/>
    <w:rsid w:val="00024A43"/>
    <w:rsid w:val="000252E6"/>
    <w:rsid w:val="0003178F"/>
    <w:rsid w:val="00031942"/>
    <w:rsid w:val="00032D50"/>
    <w:rsid w:val="0003509A"/>
    <w:rsid w:val="0003589E"/>
    <w:rsid w:val="00036263"/>
    <w:rsid w:val="00036844"/>
    <w:rsid w:val="00036AE2"/>
    <w:rsid w:val="000373C0"/>
    <w:rsid w:val="00037773"/>
    <w:rsid w:val="0004123F"/>
    <w:rsid w:val="00041D9D"/>
    <w:rsid w:val="00042907"/>
    <w:rsid w:val="0004364B"/>
    <w:rsid w:val="00044718"/>
    <w:rsid w:val="000456E9"/>
    <w:rsid w:val="00046C5E"/>
    <w:rsid w:val="00047A8E"/>
    <w:rsid w:val="00047D4F"/>
    <w:rsid w:val="000505D4"/>
    <w:rsid w:val="000507C1"/>
    <w:rsid w:val="000527F7"/>
    <w:rsid w:val="00056409"/>
    <w:rsid w:val="000576BA"/>
    <w:rsid w:val="00061737"/>
    <w:rsid w:val="00061B1F"/>
    <w:rsid w:val="00065DE0"/>
    <w:rsid w:val="0006616E"/>
    <w:rsid w:val="000666D4"/>
    <w:rsid w:val="000670CA"/>
    <w:rsid w:val="000709D3"/>
    <w:rsid w:val="000710D6"/>
    <w:rsid w:val="00071CC0"/>
    <w:rsid w:val="000722C5"/>
    <w:rsid w:val="0007244E"/>
    <w:rsid w:val="00072FAA"/>
    <w:rsid w:val="000733C4"/>
    <w:rsid w:val="000734A1"/>
    <w:rsid w:val="00073729"/>
    <w:rsid w:val="00074783"/>
    <w:rsid w:val="000762D2"/>
    <w:rsid w:val="00076922"/>
    <w:rsid w:val="00077388"/>
    <w:rsid w:val="00077B78"/>
    <w:rsid w:val="0008070B"/>
    <w:rsid w:val="000810AC"/>
    <w:rsid w:val="00081A02"/>
    <w:rsid w:val="00082231"/>
    <w:rsid w:val="000823C1"/>
    <w:rsid w:val="00082700"/>
    <w:rsid w:val="00082F03"/>
    <w:rsid w:val="0008721D"/>
    <w:rsid w:val="000900E8"/>
    <w:rsid w:val="00091A7F"/>
    <w:rsid w:val="00092AB7"/>
    <w:rsid w:val="00092D13"/>
    <w:rsid w:val="00092D38"/>
    <w:rsid w:val="0009377B"/>
    <w:rsid w:val="00096010"/>
    <w:rsid w:val="00096638"/>
    <w:rsid w:val="0009679A"/>
    <w:rsid w:val="000A0885"/>
    <w:rsid w:val="000A1B11"/>
    <w:rsid w:val="000A200F"/>
    <w:rsid w:val="000A20C9"/>
    <w:rsid w:val="000A2712"/>
    <w:rsid w:val="000A49EC"/>
    <w:rsid w:val="000A4C7A"/>
    <w:rsid w:val="000A598F"/>
    <w:rsid w:val="000A5A07"/>
    <w:rsid w:val="000A7B91"/>
    <w:rsid w:val="000A7CD3"/>
    <w:rsid w:val="000A7D5B"/>
    <w:rsid w:val="000A7FF0"/>
    <w:rsid w:val="000B01CD"/>
    <w:rsid w:val="000B047E"/>
    <w:rsid w:val="000B058F"/>
    <w:rsid w:val="000B0646"/>
    <w:rsid w:val="000B0668"/>
    <w:rsid w:val="000B1A57"/>
    <w:rsid w:val="000B4467"/>
    <w:rsid w:val="000B4BC0"/>
    <w:rsid w:val="000B4DB9"/>
    <w:rsid w:val="000B4E5F"/>
    <w:rsid w:val="000B506D"/>
    <w:rsid w:val="000B6A4E"/>
    <w:rsid w:val="000B7D21"/>
    <w:rsid w:val="000C09AC"/>
    <w:rsid w:val="000C0AE5"/>
    <w:rsid w:val="000C196A"/>
    <w:rsid w:val="000C21E3"/>
    <w:rsid w:val="000C24ED"/>
    <w:rsid w:val="000C255A"/>
    <w:rsid w:val="000C265D"/>
    <w:rsid w:val="000C48F6"/>
    <w:rsid w:val="000C5B60"/>
    <w:rsid w:val="000C6A4D"/>
    <w:rsid w:val="000C767F"/>
    <w:rsid w:val="000C7AC3"/>
    <w:rsid w:val="000C7ECF"/>
    <w:rsid w:val="000D1F54"/>
    <w:rsid w:val="000D282D"/>
    <w:rsid w:val="000D5A44"/>
    <w:rsid w:val="000D63E3"/>
    <w:rsid w:val="000D6958"/>
    <w:rsid w:val="000E0713"/>
    <w:rsid w:val="000E0925"/>
    <w:rsid w:val="000E0A46"/>
    <w:rsid w:val="000E0D36"/>
    <w:rsid w:val="000E10F5"/>
    <w:rsid w:val="000E2999"/>
    <w:rsid w:val="000E2DFB"/>
    <w:rsid w:val="000E3ABA"/>
    <w:rsid w:val="000E3ED2"/>
    <w:rsid w:val="000E4FAF"/>
    <w:rsid w:val="000E73BB"/>
    <w:rsid w:val="000F01BF"/>
    <w:rsid w:val="000F052E"/>
    <w:rsid w:val="000F1539"/>
    <w:rsid w:val="000F561A"/>
    <w:rsid w:val="000F6B43"/>
    <w:rsid w:val="000F6D3F"/>
    <w:rsid w:val="000F7176"/>
    <w:rsid w:val="000F7AC3"/>
    <w:rsid w:val="00100A2C"/>
    <w:rsid w:val="00100BDA"/>
    <w:rsid w:val="00101F09"/>
    <w:rsid w:val="001035F3"/>
    <w:rsid w:val="00104BF3"/>
    <w:rsid w:val="00105009"/>
    <w:rsid w:val="00110CB0"/>
    <w:rsid w:val="001128C9"/>
    <w:rsid w:val="00112BED"/>
    <w:rsid w:val="00116BAF"/>
    <w:rsid w:val="00116EA3"/>
    <w:rsid w:val="00117CBD"/>
    <w:rsid w:val="001205D6"/>
    <w:rsid w:val="001208B3"/>
    <w:rsid w:val="00120FC8"/>
    <w:rsid w:val="00124194"/>
    <w:rsid w:val="00125531"/>
    <w:rsid w:val="00125ACB"/>
    <w:rsid w:val="00126C55"/>
    <w:rsid w:val="00127860"/>
    <w:rsid w:val="00127B17"/>
    <w:rsid w:val="0013132F"/>
    <w:rsid w:val="0013183D"/>
    <w:rsid w:val="00131F42"/>
    <w:rsid w:val="00132765"/>
    <w:rsid w:val="0013294B"/>
    <w:rsid w:val="001331E0"/>
    <w:rsid w:val="0013462B"/>
    <w:rsid w:val="00134707"/>
    <w:rsid w:val="001357F1"/>
    <w:rsid w:val="001362A0"/>
    <w:rsid w:val="00136509"/>
    <w:rsid w:val="001401BB"/>
    <w:rsid w:val="00140D22"/>
    <w:rsid w:val="00140FA8"/>
    <w:rsid w:val="001424C0"/>
    <w:rsid w:val="00142FEB"/>
    <w:rsid w:val="00143A2D"/>
    <w:rsid w:val="001451B4"/>
    <w:rsid w:val="00145A41"/>
    <w:rsid w:val="00145AE8"/>
    <w:rsid w:val="00145D98"/>
    <w:rsid w:val="00147185"/>
    <w:rsid w:val="00147866"/>
    <w:rsid w:val="00150C22"/>
    <w:rsid w:val="00151675"/>
    <w:rsid w:val="001518AA"/>
    <w:rsid w:val="00152636"/>
    <w:rsid w:val="00155EE4"/>
    <w:rsid w:val="00156650"/>
    <w:rsid w:val="00157435"/>
    <w:rsid w:val="001574F5"/>
    <w:rsid w:val="001619C1"/>
    <w:rsid w:val="001625DC"/>
    <w:rsid w:val="00164163"/>
    <w:rsid w:val="00167D5F"/>
    <w:rsid w:val="001700CE"/>
    <w:rsid w:val="00170E82"/>
    <w:rsid w:val="00171AAE"/>
    <w:rsid w:val="00171DE7"/>
    <w:rsid w:val="001722EB"/>
    <w:rsid w:val="00174DF5"/>
    <w:rsid w:val="0017504D"/>
    <w:rsid w:val="001762D7"/>
    <w:rsid w:val="0017671A"/>
    <w:rsid w:val="00177422"/>
    <w:rsid w:val="001776D0"/>
    <w:rsid w:val="00180820"/>
    <w:rsid w:val="00180A06"/>
    <w:rsid w:val="00181AF4"/>
    <w:rsid w:val="001829D0"/>
    <w:rsid w:val="001832E4"/>
    <w:rsid w:val="00183852"/>
    <w:rsid w:val="00184590"/>
    <w:rsid w:val="00184D56"/>
    <w:rsid w:val="00185017"/>
    <w:rsid w:val="00185CE2"/>
    <w:rsid w:val="001866DB"/>
    <w:rsid w:val="001870D1"/>
    <w:rsid w:val="0018781E"/>
    <w:rsid w:val="0019080B"/>
    <w:rsid w:val="00190887"/>
    <w:rsid w:val="00190B66"/>
    <w:rsid w:val="00191469"/>
    <w:rsid w:val="0019262D"/>
    <w:rsid w:val="0019304D"/>
    <w:rsid w:val="00193A0B"/>
    <w:rsid w:val="00194135"/>
    <w:rsid w:val="001955B0"/>
    <w:rsid w:val="00195F0D"/>
    <w:rsid w:val="00196A19"/>
    <w:rsid w:val="001A1B35"/>
    <w:rsid w:val="001A1E06"/>
    <w:rsid w:val="001A200C"/>
    <w:rsid w:val="001A2ECD"/>
    <w:rsid w:val="001A3AF1"/>
    <w:rsid w:val="001A48A2"/>
    <w:rsid w:val="001A5BA8"/>
    <w:rsid w:val="001A6505"/>
    <w:rsid w:val="001A6A6E"/>
    <w:rsid w:val="001A6F61"/>
    <w:rsid w:val="001B04CD"/>
    <w:rsid w:val="001B3C18"/>
    <w:rsid w:val="001B3DFA"/>
    <w:rsid w:val="001B45E1"/>
    <w:rsid w:val="001B67C5"/>
    <w:rsid w:val="001B6D3B"/>
    <w:rsid w:val="001B72B8"/>
    <w:rsid w:val="001B748D"/>
    <w:rsid w:val="001B7699"/>
    <w:rsid w:val="001C289C"/>
    <w:rsid w:val="001C340E"/>
    <w:rsid w:val="001C51C5"/>
    <w:rsid w:val="001C697C"/>
    <w:rsid w:val="001C69B3"/>
    <w:rsid w:val="001D06B1"/>
    <w:rsid w:val="001D1A87"/>
    <w:rsid w:val="001D299A"/>
    <w:rsid w:val="001D36C6"/>
    <w:rsid w:val="001D5319"/>
    <w:rsid w:val="001D5595"/>
    <w:rsid w:val="001D5781"/>
    <w:rsid w:val="001D5A1D"/>
    <w:rsid w:val="001D5C99"/>
    <w:rsid w:val="001D60EA"/>
    <w:rsid w:val="001D637C"/>
    <w:rsid w:val="001D7874"/>
    <w:rsid w:val="001D7951"/>
    <w:rsid w:val="001D7F22"/>
    <w:rsid w:val="001E0525"/>
    <w:rsid w:val="001E10DA"/>
    <w:rsid w:val="001E2920"/>
    <w:rsid w:val="001E3441"/>
    <w:rsid w:val="001E427C"/>
    <w:rsid w:val="001E5C5A"/>
    <w:rsid w:val="001E5FCA"/>
    <w:rsid w:val="001E6DA8"/>
    <w:rsid w:val="001F0BA1"/>
    <w:rsid w:val="001F0F17"/>
    <w:rsid w:val="001F2D01"/>
    <w:rsid w:val="001F3347"/>
    <w:rsid w:val="001F5B04"/>
    <w:rsid w:val="001F65EB"/>
    <w:rsid w:val="001F6621"/>
    <w:rsid w:val="001F664A"/>
    <w:rsid w:val="001F69E4"/>
    <w:rsid w:val="001F76B7"/>
    <w:rsid w:val="002018E6"/>
    <w:rsid w:val="00201C47"/>
    <w:rsid w:val="00202F53"/>
    <w:rsid w:val="00203B84"/>
    <w:rsid w:val="00205572"/>
    <w:rsid w:val="00206C90"/>
    <w:rsid w:val="00211886"/>
    <w:rsid w:val="002119A5"/>
    <w:rsid w:val="002125B4"/>
    <w:rsid w:val="002126DA"/>
    <w:rsid w:val="00212BF0"/>
    <w:rsid w:val="0021445D"/>
    <w:rsid w:val="002155B8"/>
    <w:rsid w:val="00217019"/>
    <w:rsid w:val="00217C20"/>
    <w:rsid w:val="00217C71"/>
    <w:rsid w:val="00220194"/>
    <w:rsid w:val="00220EA1"/>
    <w:rsid w:val="0022317B"/>
    <w:rsid w:val="00224633"/>
    <w:rsid w:val="00224839"/>
    <w:rsid w:val="002249B2"/>
    <w:rsid w:val="0022584A"/>
    <w:rsid w:val="00226574"/>
    <w:rsid w:val="002278EC"/>
    <w:rsid w:val="002278FA"/>
    <w:rsid w:val="0023099F"/>
    <w:rsid w:val="00230A9C"/>
    <w:rsid w:val="00230F8F"/>
    <w:rsid w:val="002310C6"/>
    <w:rsid w:val="0023143D"/>
    <w:rsid w:val="00231B19"/>
    <w:rsid w:val="002326D0"/>
    <w:rsid w:val="0023280E"/>
    <w:rsid w:val="002344D4"/>
    <w:rsid w:val="002357CF"/>
    <w:rsid w:val="00236BEC"/>
    <w:rsid w:val="00236CAC"/>
    <w:rsid w:val="00236F83"/>
    <w:rsid w:val="002377D1"/>
    <w:rsid w:val="00240443"/>
    <w:rsid w:val="0024128B"/>
    <w:rsid w:val="00242908"/>
    <w:rsid w:val="002435CD"/>
    <w:rsid w:val="00244D86"/>
    <w:rsid w:val="00245AC6"/>
    <w:rsid w:val="0025014D"/>
    <w:rsid w:val="002506BC"/>
    <w:rsid w:val="00252BEB"/>
    <w:rsid w:val="00253203"/>
    <w:rsid w:val="00253A47"/>
    <w:rsid w:val="00254345"/>
    <w:rsid w:val="00255AEE"/>
    <w:rsid w:val="00256B86"/>
    <w:rsid w:val="0026090B"/>
    <w:rsid w:val="00260ACA"/>
    <w:rsid w:val="00263961"/>
    <w:rsid w:val="00264557"/>
    <w:rsid w:val="00264E69"/>
    <w:rsid w:val="00265FD9"/>
    <w:rsid w:val="00266A11"/>
    <w:rsid w:val="002709E0"/>
    <w:rsid w:val="00271393"/>
    <w:rsid w:val="002716A5"/>
    <w:rsid w:val="00271C25"/>
    <w:rsid w:val="00272FD5"/>
    <w:rsid w:val="00273AAD"/>
    <w:rsid w:val="00273F34"/>
    <w:rsid w:val="0027513F"/>
    <w:rsid w:val="002763E9"/>
    <w:rsid w:val="00280300"/>
    <w:rsid w:val="002805AB"/>
    <w:rsid w:val="00281799"/>
    <w:rsid w:val="00281D1F"/>
    <w:rsid w:val="00281D66"/>
    <w:rsid w:val="002821C1"/>
    <w:rsid w:val="00282955"/>
    <w:rsid w:val="002836DD"/>
    <w:rsid w:val="002839FB"/>
    <w:rsid w:val="00283DBC"/>
    <w:rsid w:val="00284204"/>
    <w:rsid w:val="002843A3"/>
    <w:rsid w:val="00284F81"/>
    <w:rsid w:val="002853F6"/>
    <w:rsid w:val="00286E42"/>
    <w:rsid w:val="00287AC5"/>
    <w:rsid w:val="00290F3D"/>
    <w:rsid w:val="00291773"/>
    <w:rsid w:val="00291C61"/>
    <w:rsid w:val="00291CA2"/>
    <w:rsid w:val="0029331B"/>
    <w:rsid w:val="00293D76"/>
    <w:rsid w:val="00295E41"/>
    <w:rsid w:val="00296E50"/>
    <w:rsid w:val="00297485"/>
    <w:rsid w:val="00297D24"/>
    <w:rsid w:val="002A129C"/>
    <w:rsid w:val="002A168C"/>
    <w:rsid w:val="002A1AAF"/>
    <w:rsid w:val="002A3DC7"/>
    <w:rsid w:val="002A4FF5"/>
    <w:rsid w:val="002A5AFE"/>
    <w:rsid w:val="002A6000"/>
    <w:rsid w:val="002A64B3"/>
    <w:rsid w:val="002B2C16"/>
    <w:rsid w:val="002B3090"/>
    <w:rsid w:val="002B3D2F"/>
    <w:rsid w:val="002B49E2"/>
    <w:rsid w:val="002B644C"/>
    <w:rsid w:val="002B6832"/>
    <w:rsid w:val="002B7B00"/>
    <w:rsid w:val="002B7C44"/>
    <w:rsid w:val="002C0C77"/>
    <w:rsid w:val="002C0E90"/>
    <w:rsid w:val="002C121C"/>
    <w:rsid w:val="002C2B17"/>
    <w:rsid w:val="002C2CF8"/>
    <w:rsid w:val="002C2D13"/>
    <w:rsid w:val="002C4AD8"/>
    <w:rsid w:val="002C4CCF"/>
    <w:rsid w:val="002C6D7C"/>
    <w:rsid w:val="002C7D1C"/>
    <w:rsid w:val="002D3DD0"/>
    <w:rsid w:val="002D4585"/>
    <w:rsid w:val="002D51E4"/>
    <w:rsid w:val="002D56B1"/>
    <w:rsid w:val="002D5AC6"/>
    <w:rsid w:val="002D76F8"/>
    <w:rsid w:val="002D7F63"/>
    <w:rsid w:val="002E0A18"/>
    <w:rsid w:val="002E0D36"/>
    <w:rsid w:val="002E0D6E"/>
    <w:rsid w:val="002E1721"/>
    <w:rsid w:val="002E1F3A"/>
    <w:rsid w:val="002E272C"/>
    <w:rsid w:val="002E298A"/>
    <w:rsid w:val="002E3D30"/>
    <w:rsid w:val="002E4C95"/>
    <w:rsid w:val="002E5CDE"/>
    <w:rsid w:val="002E6D1E"/>
    <w:rsid w:val="002E7790"/>
    <w:rsid w:val="002E7BC3"/>
    <w:rsid w:val="002F150D"/>
    <w:rsid w:val="002F512D"/>
    <w:rsid w:val="002F5187"/>
    <w:rsid w:val="002F6231"/>
    <w:rsid w:val="00300D2D"/>
    <w:rsid w:val="00301978"/>
    <w:rsid w:val="00301DE4"/>
    <w:rsid w:val="00302B9F"/>
    <w:rsid w:val="0030332C"/>
    <w:rsid w:val="00303DC9"/>
    <w:rsid w:val="003051C2"/>
    <w:rsid w:val="00305742"/>
    <w:rsid w:val="003057F3"/>
    <w:rsid w:val="00307558"/>
    <w:rsid w:val="00307962"/>
    <w:rsid w:val="00311FB1"/>
    <w:rsid w:val="00312296"/>
    <w:rsid w:val="00312B16"/>
    <w:rsid w:val="00313EA3"/>
    <w:rsid w:val="0031480E"/>
    <w:rsid w:val="00314F0E"/>
    <w:rsid w:val="00315EA3"/>
    <w:rsid w:val="0031681E"/>
    <w:rsid w:val="00316B24"/>
    <w:rsid w:val="00316BC9"/>
    <w:rsid w:val="0032096A"/>
    <w:rsid w:val="0032112F"/>
    <w:rsid w:val="0032123B"/>
    <w:rsid w:val="00321491"/>
    <w:rsid w:val="00321D8E"/>
    <w:rsid w:val="0032280F"/>
    <w:rsid w:val="00324216"/>
    <w:rsid w:val="00325089"/>
    <w:rsid w:val="00325928"/>
    <w:rsid w:val="00326464"/>
    <w:rsid w:val="003267C9"/>
    <w:rsid w:val="0033099B"/>
    <w:rsid w:val="00331183"/>
    <w:rsid w:val="00332863"/>
    <w:rsid w:val="003333E9"/>
    <w:rsid w:val="00333FDA"/>
    <w:rsid w:val="00334A99"/>
    <w:rsid w:val="00335D66"/>
    <w:rsid w:val="00335E6E"/>
    <w:rsid w:val="0033622B"/>
    <w:rsid w:val="0033684D"/>
    <w:rsid w:val="0033788C"/>
    <w:rsid w:val="00337A9D"/>
    <w:rsid w:val="00337B42"/>
    <w:rsid w:val="003403E6"/>
    <w:rsid w:val="00340E95"/>
    <w:rsid w:val="00341858"/>
    <w:rsid w:val="00341B42"/>
    <w:rsid w:val="0034348F"/>
    <w:rsid w:val="0034390D"/>
    <w:rsid w:val="0034493A"/>
    <w:rsid w:val="00345650"/>
    <w:rsid w:val="00345C0E"/>
    <w:rsid w:val="00351EF9"/>
    <w:rsid w:val="00352576"/>
    <w:rsid w:val="00353BD4"/>
    <w:rsid w:val="0035444B"/>
    <w:rsid w:val="003555AE"/>
    <w:rsid w:val="00356653"/>
    <w:rsid w:val="00356CB9"/>
    <w:rsid w:val="0035743F"/>
    <w:rsid w:val="00357BE2"/>
    <w:rsid w:val="00357F3E"/>
    <w:rsid w:val="003605FE"/>
    <w:rsid w:val="003606D6"/>
    <w:rsid w:val="00360DA4"/>
    <w:rsid w:val="00361520"/>
    <w:rsid w:val="0036170C"/>
    <w:rsid w:val="003619A7"/>
    <w:rsid w:val="003620AE"/>
    <w:rsid w:val="0036215E"/>
    <w:rsid w:val="00362191"/>
    <w:rsid w:val="00362E36"/>
    <w:rsid w:val="00363815"/>
    <w:rsid w:val="00366A95"/>
    <w:rsid w:val="00366E0F"/>
    <w:rsid w:val="00372162"/>
    <w:rsid w:val="003728D2"/>
    <w:rsid w:val="00372E04"/>
    <w:rsid w:val="003749DD"/>
    <w:rsid w:val="00375B31"/>
    <w:rsid w:val="003765A5"/>
    <w:rsid w:val="00377873"/>
    <w:rsid w:val="00377ADB"/>
    <w:rsid w:val="00381A72"/>
    <w:rsid w:val="00382C1D"/>
    <w:rsid w:val="00383127"/>
    <w:rsid w:val="00383636"/>
    <w:rsid w:val="00383DDD"/>
    <w:rsid w:val="00384676"/>
    <w:rsid w:val="00384D6D"/>
    <w:rsid w:val="00384EEA"/>
    <w:rsid w:val="00386D68"/>
    <w:rsid w:val="00387CC7"/>
    <w:rsid w:val="0039047D"/>
    <w:rsid w:val="00390857"/>
    <w:rsid w:val="003915EF"/>
    <w:rsid w:val="00391BDF"/>
    <w:rsid w:val="003930DC"/>
    <w:rsid w:val="00393A8E"/>
    <w:rsid w:val="003942A2"/>
    <w:rsid w:val="003943DA"/>
    <w:rsid w:val="00394947"/>
    <w:rsid w:val="0039513D"/>
    <w:rsid w:val="00395258"/>
    <w:rsid w:val="003972E2"/>
    <w:rsid w:val="003A0322"/>
    <w:rsid w:val="003A0636"/>
    <w:rsid w:val="003A07CF"/>
    <w:rsid w:val="003A0C10"/>
    <w:rsid w:val="003A1016"/>
    <w:rsid w:val="003A213A"/>
    <w:rsid w:val="003A222B"/>
    <w:rsid w:val="003A22FE"/>
    <w:rsid w:val="003A32E8"/>
    <w:rsid w:val="003A4BF3"/>
    <w:rsid w:val="003A4ED2"/>
    <w:rsid w:val="003A6C5C"/>
    <w:rsid w:val="003A7442"/>
    <w:rsid w:val="003B0CEE"/>
    <w:rsid w:val="003B157A"/>
    <w:rsid w:val="003B2F06"/>
    <w:rsid w:val="003B3C59"/>
    <w:rsid w:val="003B420D"/>
    <w:rsid w:val="003B4A9A"/>
    <w:rsid w:val="003B5DAA"/>
    <w:rsid w:val="003B6EDE"/>
    <w:rsid w:val="003C0BD8"/>
    <w:rsid w:val="003C19F8"/>
    <w:rsid w:val="003C1AAB"/>
    <w:rsid w:val="003C45D2"/>
    <w:rsid w:val="003C51E7"/>
    <w:rsid w:val="003C61E4"/>
    <w:rsid w:val="003C651D"/>
    <w:rsid w:val="003C6B4F"/>
    <w:rsid w:val="003C6C16"/>
    <w:rsid w:val="003C6E0B"/>
    <w:rsid w:val="003C72A5"/>
    <w:rsid w:val="003D0460"/>
    <w:rsid w:val="003D06B8"/>
    <w:rsid w:val="003D42FA"/>
    <w:rsid w:val="003D51B9"/>
    <w:rsid w:val="003D51E3"/>
    <w:rsid w:val="003D5236"/>
    <w:rsid w:val="003D5493"/>
    <w:rsid w:val="003D5905"/>
    <w:rsid w:val="003D5D9F"/>
    <w:rsid w:val="003D61D5"/>
    <w:rsid w:val="003D794D"/>
    <w:rsid w:val="003E0728"/>
    <w:rsid w:val="003E0D38"/>
    <w:rsid w:val="003E1632"/>
    <w:rsid w:val="003E19AE"/>
    <w:rsid w:val="003E2A21"/>
    <w:rsid w:val="003E2E7A"/>
    <w:rsid w:val="003E3058"/>
    <w:rsid w:val="003E51C7"/>
    <w:rsid w:val="003E62BF"/>
    <w:rsid w:val="003E653A"/>
    <w:rsid w:val="003E6DCA"/>
    <w:rsid w:val="003E76A9"/>
    <w:rsid w:val="003E78B7"/>
    <w:rsid w:val="003F0809"/>
    <w:rsid w:val="003F1E77"/>
    <w:rsid w:val="003F4572"/>
    <w:rsid w:val="003F5327"/>
    <w:rsid w:val="003F5E2A"/>
    <w:rsid w:val="003F5FA1"/>
    <w:rsid w:val="003F603D"/>
    <w:rsid w:val="003F62D7"/>
    <w:rsid w:val="003F6A8C"/>
    <w:rsid w:val="003F755C"/>
    <w:rsid w:val="003F79A5"/>
    <w:rsid w:val="003F7FA9"/>
    <w:rsid w:val="00400BB1"/>
    <w:rsid w:val="004013E0"/>
    <w:rsid w:val="004030C8"/>
    <w:rsid w:val="00405650"/>
    <w:rsid w:val="00405A41"/>
    <w:rsid w:val="004060FD"/>
    <w:rsid w:val="00406F01"/>
    <w:rsid w:val="00407D3C"/>
    <w:rsid w:val="00410DEE"/>
    <w:rsid w:val="0041492A"/>
    <w:rsid w:val="00416D50"/>
    <w:rsid w:val="00416FD5"/>
    <w:rsid w:val="00417772"/>
    <w:rsid w:val="00420E6A"/>
    <w:rsid w:val="0042125A"/>
    <w:rsid w:val="00423CB4"/>
    <w:rsid w:val="00425A9E"/>
    <w:rsid w:val="0042632B"/>
    <w:rsid w:val="00426D6B"/>
    <w:rsid w:val="00426E62"/>
    <w:rsid w:val="004274AE"/>
    <w:rsid w:val="00427C06"/>
    <w:rsid w:val="00431E6C"/>
    <w:rsid w:val="00432348"/>
    <w:rsid w:val="004334D4"/>
    <w:rsid w:val="00433CE7"/>
    <w:rsid w:val="004351C4"/>
    <w:rsid w:val="0043653B"/>
    <w:rsid w:val="00440478"/>
    <w:rsid w:val="004420A5"/>
    <w:rsid w:val="004421F3"/>
    <w:rsid w:val="004428FC"/>
    <w:rsid w:val="00443117"/>
    <w:rsid w:val="004448CF"/>
    <w:rsid w:val="004454E2"/>
    <w:rsid w:val="0044569E"/>
    <w:rsid w:val="00447694"/>
    <w:rsid w:val="00447B07"/>
    <w:rsid w:val="004508A1"/>
    <w:rsid w:val="00452738"/>
    <w:rsid w:val="004530E2"/>
    <w:rsid w:val="0045320E"/>
    <w:rsid w:val="00453ECF"/>
    <w:rsid w:val="00454540"/>
    <w:rsid w:val="00454607"/>
    <w:rsid w:val="00454E3B"/>
    <w:rsid w:val="004553AF"/>
    <w:rsid w:val="00456091"/>
    <w:rsid w:val="00456403"/>
    <w:rsid w:val="004567D4"/>
    <w:rsid w:val="00457FFB"/>
    <w:rsid w:val="00460EC9"/>
    <w:rsid w:val="00461C65"/>
    <w:rsid w:val="00466321"/>
    <w:rsid w:val="00466535"/>
    <w:rsid w:val="004667A4"/>
    <w:rsid w:val="0047048B"/>
    <w:rsid w:val="004707F0"/>
    <w:rsid w:val="00471A41"/>
    <w:rsid w:val="004722F2"/>
    <w:rsid w:val="00473BE1"/>
    <w:rsid w:val="00474A9F"/>
    <w:rsid w:val="00474C0B"/>
    <w:rsid w:val="00475327"/>
    <w:rsid w:val="004754CC"/>
    <w:rsid w:val="00476095"/>
    <w:rsid w:val="00476506"/>
    <w:rsid w:val="00476C2F"/>
    <w:rsid w:val="00476F24"/>
    <w:rsid w:val="00477345"/>
    <w:rsid w:val="00477F20"/>
    <w:rsid w:val="004801BB"/>
    <w:rsid w:val="004819CD"/>
    <w:rsid w:val="0048347B"/>
    <w:rsid w:val="00483B92"/>
    <w:rsid w:val="00484B9B"/>
    <w:rsid w:val="004855F6"/>
    <w:rsid w:val="0048661C"/>
    <w:rsid w:val="0048661E"/>
    <w:rsid w:val="0048678D"/>
    <w:rsid w:val="00486959"/>
    <w:rsid w:val="00487EA6"/>
    <w:rsid w:val="004901ED"/>
    <w:rsid w:val="0049130A"/>
    <w:rsid w:val="00491CE3"/>
    <w:rsid w:val="00494670"/>
    <w:rsid w:val="00495A13"/>
    <w:rsid w:val="00496D9A"/>
    <w:rsid w:val="00497234"/>
    <w:rsid w:val="004975B4"/>
    <w:rsid w:val="00497CF6"/>
    <w:rsid w:val="004A0625"/>
    <w:rsid w:val="004A2674"/>
    <w:rsid w:val="004A2B8E"/>
    <w:rsid w:val="004A30B9"/>
    <w:rsid w:val="004A3823"/>
    <w:rsid w:val="004A458A"/>
    <w:rsid w:val="004A4936"/>
    <w:rsid w:val="004A5824"/>
    <w:rsid w:val="004A58CE"/>
    <w:rsid w:val="004B05F3"/>
    <w:rsid w:val="004B0895"/>
    <w:rsid w:val="004B0E66"/>
    <w:rsid w:val="004B118E"/>
    <w:rsid w:val="004B1864"/>
    <w:rsid w:val="004B230F"/>
    <w:rsid w:val="004B3E71"/>
    <w:rsid w:val="004B5900"/>
    <w:rsid w:val="004B693D"/>
    <w:rsid w:val="004C07C6"/>
    <w:rsid w:val="004C0F1A"/>
    <w:rsid w:val="004C12F1"/>
    <w:rsid w:val="004C1D2D"/>
    <w:rsid w:val="004C2164"/>
    <w:rsid w:val="004C2ADB"/>
    <w:rsid w:val="004C30CE"/>
    <w:rsid w:val="004C424C"/>
    <w:rsid w:val="004C4ECF"/>
    <w:rsid w:val="004C5721"/>
    <w:rsid w:val="004C63F0"/>
    <w:rsid w:val="004D09D8"/>
    <w:rsid w:val="004D0E84"/>
    <w:rsid w:val="004D3B52"/>
    <w:rsid w:val="004D55F5"/>
    <w:rsid w:val="004D6548"/>
    <w:rsid w:val="004E103E"/>
    <w:rsid w:val="004E2019"/>
    <w:rsid w:val="004E25B7"/>
    <w:rsid w:val="004E2B85"/>
    <w:rsid w:val="004E2EE6"/>
    <w:rsid w:val="004E3E20"/>
    <w:rsid w:val="004E490A"/>
    <w:rsid w:val="004E5118"/>
    <w:rsid w:val="004E54EA"/>
    <w:rsid w:val="004E624A"/>
    <w:rsid w:val="004E6946"/>
    <w:rsid w:val="004E7523"/>
    <w:rsid w:val="004F0A60"/>
    <w:rsid w:val="004F1AD8"/>
    <w:rsid w:val="004F1B1D"/>
    <w:rsid w:val="004F3BA9"/>
    <w:rsid w:val="004F5EF8"/>
    <w:rsid w:val="00500FE7"/>
    <w:rsid w:val="005010FC"/>
    <w:rsid w:val="00502B50"/>
    <w:rsid w:val="00502E06"/>
    <w:rsid w:val="005039CB"/>
    <w:rsid w:val="0050523B"/>
    <w:rsid w:val="0050558F"/>
    <w:rsid w:val="00506286"/>
    <w:rsid w:val="00506CF0"/>
    <w:rsid w:val="00507282"/>
    <w:rsid w:val="00510813"/>
    <w:rsid w:val="005109EC"/>
    <w:rsid w:val="00510AF5"/>
    <w:rsid w:val="00511990"/>
    <w:rsid w:val="00511DE0"/>
    <w:rsid w:val="00514870"/>
    <w:rsid w:val="00514B9B"/>
    <w:rsid w:val="00515BBA"/>
    <w:rsid w:val="005162B7"/>
    <w:rsid w:val="00516D86"/>
    <w:rsid w:val="00517470"/>
    <w:rsid w:val="00517DBE"/>
    <w:rsid w:val="00517F02"/>
    <w:rsid w:val="00521FF2"/>
    <w:rsid w:val="005224F6"/>
    <w:rsid w:val="00524303"/>
    <w:rsid w:val="00525092"/>
    <w:rsid w:val="005258A2"/>
    <w:rsid w:val="005272D8"/>
    <w:rsid w:val="00527418"/>
    <w:rsid w:val="00530398"/>
    <w:rsid w:val="00531170"/>
    <w:rsid w:val="00532B4F"/>
    <w:rsid w:val="00533DEA"/>
    <w:rsid w:val="005345C9"/>
    <w:rsid w:val="00534E1E"/>
    <w:rsid w:val="0053759B"/>
    <w:rsid w:val="00537657"/>
    <w:rsid w:val="00537AD7"/>
    <w:rsid w:val="005401AE"/>
    <w:rsid w:val="005410AB"/>
    <w:rsid w:val="00541CDB"/>
    <w:rsid w:val="00542155"/>
    <w:rsid w:val="00542E07"/>
    <w:rsid w:val="0054392B"/>
    <w:rsid w:val="00544F35"/>
    <w:rsid w:val="00545424"/>
    <w:rsid w:val="00545616"/>
    <w:rsid w:val="0054570F"/>
    <w:rsid w:val="00546CD2"/>
    <w:rsid w:val="00547DF2"/>
    <w:rsid w:val="005509ED"/>
    <w:rsid w:val="00551FAE"/>
    <w:rsid w:val="00553C23"/>
    <w:rsid w:val="00554A7B"/>
    <w:rsid w:val="0055572C"/>
    <w:rsid w:val="00555B0E"/>
    <w:rsid w:val="00556CB9"/>
    <w:rsid w:val="005602EE"/>
    <w:rsid w:val="005605A3"/>
    <w:rsid w:val="0056106A"/>
    <w:rsid w:val="00561083"/>
    <w:rsid w:val="00562460"/>
    <w:rsid w:val="00563FBF"/>
    <w:rsid w:val="005670B0"/>
    <w:rsid w:val="00571869"/>
    <w:rsid w:val="00571921"/>
    <w:rsid w:val="005720AE"/>
    <w:rsid w:val="005729EC"/>
    <w:rsid w:val="0057370E"/>
    <w:rsid w:val="005753E4"/>
    <w:rsid w:val="005756FD"/>
    <w:rsid w:val="005766BA"/>
    <w:rsid w:val="005777A7"/>
    <w:rsid w:val="0058058B"/>
    <w:rsid w:val="00580856"/>
    <w:rsid w:val="00580E81"/>
    <w:rsid w:val="00581871"/>
    <w:rsid w:val="00581BF8"/>
    <w:rsid w:val="00584DBC"/>
    <w:rsid w:val="00585362"/>
    <w:rsid w:val="005854F4"/>
    <w:rsid w:val="00586964"/>
    <w:rsid w:val="00586C4B"/>
    <w:rsid w:val="00587642"/>
    <w:rsid w:val="005902FD"/>
    <w:rsid w:val="005935F0"/>
    <w:rsid w:val="005937F2"/>
    <w:rsid w:val="00594D77"/>
    <w:rsid w:val="0059676F"/>
    <w:rsid w:val="005969E4"/>
    <w:rsid w:val="005972F6"/>
    <w:rsid w:val="005973C5"/>
    <w:rsid w:val="00597FF8"/>
    <w:rsid w:val="005A0057"/>
    <w:rsid w:val="005A01A6"/>
    <w:rsid w:val="005A01C8"/>
    <w:rsid w:val="005A06B7"/>
    <w:rsid w:val="005A1759"/>
    <w:rsid w:val="005A1860"/>
    <w:rsid w:val="005A2F09"/>
    <w:rsid w:val="005A47A2"/>
    <w:rsid w:val="005A491A"/>
    <w:rsid w:val="005A4BA6"/>
    <w:rsid w:val="005A68A7"/>
    <w:rsid w:val="005A6916"/>
    <w:rsid w:val="005A73C0"/>
    <w:rsid w:val="005A7DE0"/>
    <w:rsid w:val="005B0E99"/>
    <w:rsid w:val="005B1153"/>
    <w:rsid w:val="005B1223"/>
    <w:rsid w:val="005B1802"/>
    <w:rsid w:val="005B1A3D"/>
    <w:rsid w:val="005B1F85"/>
    <w:rsid w:val="005B2952"/>
    <w:rsid w:val="005B38F3"/>
    <w:rsid w:val="005B3DE0"/>
    <w:rsid w:val="005B468D"/>
    <w:rsid w:val="005B5D32"/>
    <w:rsid w:val="005B6B3B"/>
    <w:rsid w:val="005B6E0D"/>
    <w:rsid w:val="005B705B"/>
    <w:rsid w:val="005B70C0"/>
    <w:rsid w:val="005C0988"/>
    <w:rsid w:val="005C210C"/>
    <w:rsid w:val="005C2225"/>
    <w:rsid w:val="005C2300"/>
    <w:rsid w:val="005C35C5"/>
    <w:rsid w:val="005C5E1A"/>
    <w:rsid w:val="005C5EB2"/>
    <w:rsid w:val="005C67D6"/>
    <w:rsid w:val="005C6B94"/>
    <w:rsid w:val="005C70CA"/>
    <w:rsid w:val="005D1962"/>
    <w:rsid w:val="005D1EBA"/>
    <w:rsid w:val="005D3677"/>
    <w:rsid w:val="005D36AB"/>
    <w:rsid w:val="005D38B0"/>
    <w:rsid w:val="005D38C4"/>
    <w:rsid w:val="005D5191"/>
    <w:rsid w:val="005D536C"/>
    <w:rsid w:val="005D62A3"/>
    <w:rsid w:val="005D6A5E"/>
    <w:rsid w:val="005D75C0"/>
    <w:rsid w:val="005E124D"/>
    <w:rsid w:val="005E3C6E"/>
    <w:rsid w:val="005E4EEA"/>
    <w:rsid w:val="005E6ABD"/>
    <w:rsid w:val="005E7A91"/>
    <w:rsid w:val="005F071F"/>
    <w:rsid w:val="005F2820"/>
    <w:rsid w:val="005F346A"/>
    <w:rsid w:val="005F61B7"/>
    <w:rsid w:val="005F6719"/>
    <w:rsid w:val="005F6E26"/>
    <w:rsid w:val="00600633"/>
    <w:rsid w:val="00600862"/>
    <w:rsid w:val="00606391"/>
    <w:rsid w:val="006067CA"/>
    <w:rsid w:val="00611448"/>
    <w:rsid w:val="006135AE"/>
    <w:rsid w:val="00614CE9"/>
    <w:rsid w:val="0061558C"/>
    <w:rsid w:val="00615979"/>
    <w:rsid w:val="00615E2D"/>
    <w:rsid w:val="00616709"/>
    <w:rsid w:val="00616B18"/>
    <w:rsid w:val="0061704B"/>
    <w:rsid w:val="00617CC3"/>
    <w:rsid w:val="00617DD6"/>
    <w:rsid w:val="00617F78"/>
    <w:rsid w:val="0062003B"/>
    <w:rsid w:val="0062164B"/>
    <w:rsid w:val="00621C57"/>
    <w:rsid w:val="00621E46"/>
    <w:rsid w:val="006220BC"/>
    <w:rsid w:val="00623292"/>
    <w:rsid w:val="0062386A"/>
    <w:rsid w:val="00625E65"/>
    <w:rsid w:val="006314D1"/>
    <w:rsid w:val="00633E4D"/>
    <w:rsid w:val="00636E05"/>
    <w:rsid w:val="006377A6"/>
    <w:rsid w:val="00637A3D"/>
    <w:rsid w:val="006411EF"/>
    <w:rsid w:val="00645FAA"/>
    <w:rsid w:val="006464A0"/>
    <w:rsid w:val="00647A0C"/>
    <w:rsid w:val="00647E0C"/>
    <w:rsid w:val="00647F1F"/>
    <w:rsid w:val="006519D2"/>
    <w:rsid w:val="0065250E"/>
    <w:rsid w:val="00653F4E"/>
    <w:rsid w:val="0065610A"/>
    <w:rsid w:val="00656898"/>
    <w:rsid w:val="006575F8"/>
    <w:rsid w:val="00657DFD"/>
    <w:rsid w:val="00660A52"/>
    <w:rsid w:val="00661051"/>
    <w:rsid w:val="006624CD"/>
    <w:rsid w:val="00663346"/>
    <w:rsid w:val="006637D5"/>
    <w:rsid w:val="00664063"/>
    <w:rsid w:val="0066673D"/>
    <w:rsid w:val="0067029A"/>
    <w:rsid w:val="00670BFD"/>
    <w:rsid w:val="00670CB8"/>
    <w:rsid w:val="00670E1F"/>
    <w:rsid w:val="00671BD3"/>
    <w:rsid w:val="006723A9"/>
    <w:rsid w:val="006731AA"/>
    <w:rsid w:val="006748B8"/>
    <w:rsid w:val="00675A0C"/>
    <w:rsid w:val="0067647C"/>
    <w:rsid w:val="006775C3"/>
    <w:rsid w:val="0068144E"/>
    <w:rsid w:val="00681559"/>
    <w:rsid w:val="006836D3"/>
    <w:rsid w:val="00683A48"/>
    <w:rsid w:val="0068540F"/>
    <w:rsid w:val="0069112E"/>
    <w:rsid w:val="00691661"/>
    <w:rsid w:val="006916D2"/>
    <w:rsid w:val="0069220C"/>
    <w:rsid w:val="0069290A"/>
    <w:rsid w:val="006935E1"/>
    <w:rsid w:val="006958D1"/>
    <w:rsid w:val="0069775A"/>
    <w:rsid w:val="00697813"/>
    <w:rsid w:val="006A0296"/>
    <w:rsid w:val="006A058A"/>
    <w:rsid w:val="006A0C31"/>
    <w:rsid w:val="006A0FD4"/>
    <w:rsid w:val="006A17BA"/>
    <w:rsid w:val="006A349D"/>
    <w:rsid w:val="006A3B1D"/>
    <w:rsid w:val="006A3EE8"/>
    <w:rsid w:val="006A42A2"/>
    <w:rsid w:val="006A4B46"/>
    <w:rsid w:val="006A6207"/>
    <w:rsid w:val="006A622D"/>
    <w:rsid w:val="006A72BF"/>
    <w:rsid w:val="006B03F2"/>
    <w:rsid w:val="006B0B3F"/>
    <w:rsid w:val="006B2D24"/>
    <w:rsid w:val="006B37DC"/>
    <w:rsid w:val="006B46BE"/>
    <w:rsid w:val="006B4AE2"/>
    <w:rsid w:val="006B4D17"/>
    <w:rsid w:val="006B4F68"/>
    <w:rsid w:val="006B739A"/>
    <w:rsid w:val="006B7621"/>
    <w:rsid w:val="006B774B"/>
    <w:rsid w:val="006B77CC"/>
    <w:rsid w:val="006C0007"/>
    <w:rsid w:val="006C02DD"/>
    <w:rsid w:val="006C0592"/>
    <w:rsid w:val="006C07C8"/>
    <w:rsid w:val="006C0906"/>
    <w:rsid w:val="006C103D"/>
    <w:rsid w:val="006C2348"/>
    <w:rsid w:val="006C272E"/>
    <w:rsid w:val="006C3981"/>
    <w:rsid w:val="006C4FE0"/>
    <w:rsid w:val="006C5479"/>
    <w:rsid w:val="006C55AF"/>
    <w:rsid w:val="006C56FB"/>
    <w:rsid w:val="006C61AF"/>
    <w:rsid w:val="006C6705"/>
    <w:rsid w:val="006C7E6C"/>
    <w:rsid w:val="006D13B5"/>
    <w:rsid w:val="006D2188"/>
    <w:rsid w:val="006D24F9"/>
    <w:rsid w:val="006D2693"/>
    <w:rsid w:val="006D291E"/>
    <w:rsid w:val="006D4259"/>
    <w:rsid w:val="006D4BDA"/>
    <w:rsid w:val="006D569D"/>
    <w:rsid w:val="006E0580"/>
    <w:rsid w:val="006E12C7"/>
    <w:rsid w:val="006E12FF"/>
    <w:rsid w:val="006E1B01"/>
    <w:rsid w:val="006E276B"/>
    <w:rsid w:val="006E2886"/>
    <w:rsid w:val="006E311B"/>
    <w:rsid w:val="006E3683"/>
    <w:rsid w:val="006E380F"/>
    <w:rsid w:val="006E38D4"/>
    <w:rsid w:val="006E54EF"/>
    <w:rsid w:val="006E5891"/>
    <w:rsid w:val="006E59F5"/>
    <w:rsid w:val="006E5E38"/>
    <w:rsid w:val="006E607E"/>
    <w:rsid w:val="006E69A6"/>
    <w:rsid w:val="006E747C"/>
    <w:rsid w:val="006E7E03"/>
    <w:rsid w:val="006F361B"/>
    <w:rsid w:val="006F41BA"/>
    <w:rsid w:val="006F4D0D"/>
    <w:rsid w:val="006F4E58"/>
    <w:rsid w:val="006F5186"/>
    <w:rsid w:val="006F68CB"/>
    <w:rsid w:val="006F69F0"/>
    <w:rsid w:val="006F7A11"/>
    <w:rsid w:val="006F7AA0"/>
    <w:rsid w:val="00700DAE"/>
    <w:rsid w:val="00700DE0"/>
    <w:rsid w:val="007018F8"/>
    <w:rsid w:val="00701E19"/>
    <w:rsid w:val="00702241"/>
    <w:rsid w:val="00704B0D"/>
    <w:rsid w:val="00705138"/>
    <w:rsid w:val="00706040"/>
    <w:rsid w:val="007062E9"/>
    <w:rsid w:val="007063D4"/>
    <w:rsid w:val="007064CF"/>
    <w:rsid w:val="00706C5D"/>
    <w:rsid w:val="0070731F"/>
    <w:rsid w:val="0071095C"/>
    <w:rsid w:val="00710C11"/>
    <w:rsid w:val="00712519"/>
    <w:rsid w:val="007129B5"/>
    <w:rsid w:val="007133A1"/>
    <w:rsid w:val="00713A55"/>
    <w:rsid w:val="00714CB2"/>
    <w:rsid w:val="007158CC"/>
    <w:rsid w:val="007162BF"/>
    <w:rsid w:val="00717526"/>
    <w:rsid w:val="00721CE4"/>
    <w:rsid w:val="00722B1D"/>
    <w:rsid w:val="00723222"/>
    <w:rsid w:val="00723325"/>
    <w:rsid w:val="00723998"/>
    <w:rsid w:val="00723A00"/>
    <w:rsid w:val="007244DB"/>
    <w:rsid w:val="007247EF"/>
    <w:rsid w:val="00726B74"/>
    <w:rsid w:val="00727031"/>
    <w:rsid w:val="007275F7"/>
    <w:rsid w:val="00732574"/>
    <w:rsid w:val="00732922"/>
    <w:rsid w:val="00732A52"/>
    <w:rsid w:val="00733AB9"/>
    <w:rsid w:val="00734D19"/>
    <w:rsid w:val="007355BA"/>
    <w:rsid w:val="00735748"/>
    <w:rsid w:val="00735C94"/>
    <w:rsid w:val="007370B5"/>
    <w:rsid w:val="00740E90"/>
    <w:rsid w:val="00743835"/>
    <w:rsid w:val="00743917"/>
    <w:rsid w:val="00743CB2"/>
    <w:rsid w:val="007463C7"/>
    <w:rsid w:val="00747707"/>
    <w:rsid w:val="00747947"/>
    <w:rsid w:val="00751153"/>
    <w:rsid w:val="00751273"/>
    <w:rsid w:val="0075162E"/>
    <w:rsid w:val="007537AD"/>
    <w:rsid w:val="00754034"/>
    <w:rsid w:val="00755268"/>
    <w:rsid w:val="00756556"/>
    <w:rsid w:val="007573A9"/>
    <w:rsid w:val="00757BC5"/>
    <w:rsid w:val="00760763"/>
    <w:rsid w:val="0076115E"/>
    <w:rsid w:val="007618C4"/>
    <w:rsid w:val="0076348A"/>
    <w:rsid w:val="007635FB"/>
    <w:rsid w:val="00763CD1"/>
    <w:rsid w:val="00764CD1"/>
    <w:rsid w:val="007654B0"/>
    <w:rsid w:val="00766B5F"/>
    <w:rsid w:val="00766DBD"/>
    <w:rsid w:val="00767980"/>
    <w:rsid w:val="00767A08"/>
    <w:rsid w:val="00770158"/>
    <w:rsid w:val="00770ADC"/>
    <w:rsid w:val="00770B19"/>
    <w:rsid w:val="00771C59"/>
    <w:rsid w:val="00772B5B"/>
    <w:rsid w:val="00773E27"/>
    <w:rsid w:val="0077463F"/>
    <w:rsid w:val="00774BA1"/>
    <w:rsid w:val="00775617"/>
    <w:rsid w:val="00775B0F"/>
    <w:rsid w:val="00777189"/>
    <w:rsid w:val="00777C9F"/>
    <w:rsid w:val="00777EBA"/>
    <w:rsid w:val="0078086A"/>
    <w:rsid w:val="007836EA"/>
    <w:rsid w:val="00784CDA"/>
    <w:rsid w:val="0078518A"/>
    <w:rsid w:val="007859C9"/>
    <w:rsid w:val="0078678E"/>
    <w:rsid w:val="00786AC2"/>
    <w:rsid w:val="00786D62"/>
    <w:rsid w:val="0079048B"/>
    <w:rsid w:val="007906C4"/>
    <w:rsid w:val="00791487"/>
    <w:rsid w:val="00792AD7"/>
    <w:rsid w:val="007940EA"/>
    <w:rsid w:val="00794171"/>
    <w:rsid w:val="0079571E"/>
    <w:rsid w:val="007965C4"/>
    <w:rsid w:val="007967E8"/>
    <w:rsid w:val="00796CF6"/>
    <w:rsid w:val="00797D05"/>
    <w:rsid w:val="00797EB4"/>
    <w:rsid w:val="007A0118"/>
    <w:rsid w:val="007A0398"/>
    <w:rsid w:val="007A11B2"/>
    <w:rsid w:val="007A188F"/>
    <w:rsid w:val="007A2170"/>
    <w:rsid w:val="007A22BF"/>
    <w:rsid w:val="007A23BE"/>
    <w:rsid w:val="007A2611"/>
    <w:rsid w:val="007A2E1C"/>
    <w:rsid w:val="007A3323"/>
    <w:rsid w:val="007A4FF8"/>
    <w:rsid w:val="007A6034"/>
    <w:rsid w:val="007A6D1B"/>
    <w:rsid w:val="007A7636"/>
    <w:rsid w:val="007A7E3A"/>
    <w:rsid w:val="007B2671"/>
    <w:rsid w:val="007B2C22"/>
    <w:rsid w:val="007B2E3A"/>
    <w:rsid w:val="007B3096"/>
    <w:rsid w:val="007B3AB7"/>
    <w:rsid w:val="007B6007"/>
    <w:rsid w:val="007B6A58"/>
    <w:rsid w:val="007B71AD"/>
    <w:rsid w:val="007B72B8"/>
    <w:rsid w:val="007B7A58"/>
    <w:rsid w:val="007C0A1C"/>
    <w:rsid w:val="007C14A3"/>
    <w:rsid w:val="007C163C"/>
    <w:rsid w:val="007C1DAF"/>
    <w:rsid w:val="007C21B5"/>
    <w:rsid w:val="007C2222"/>
    <w:rsid w:val="007C2456"/>
    <w:rsid w:val="007C2652"/>
    <w:rsid w:val="007C35D6"/>
    <w:rsid w:val="007C38A1"/>
    <w:rsid w:val="007C3F65"/>
    <w:rsid w:val="007C4191"/>
    <w:rsid w:val="007C46FA"/>
    <w:rsid w:val="007C4A51"/>
    <w:rsid w:val="007C6E81"/>
    <w:rsid w:val="007D0748"/>
    <w:rsid w:val="007D461A"/>
    <w:rsid w:val="007D5742"/>
    <w:rsid w:val="007D5D36"/>
    <w:rsid w:val="007D6581"/>
    <w:rsid w:val="007D6FF8"/>
    <w:rsid w:val="007D70B3"/>
    <w:rsid w:val="007D76C3"/>
    <w:rsid w:val="007E01D3"/>
    <w:rsid w:val="007E022C"/>
    <w:rsid w:val="007E0565"/>
    <w:rsid w:val="007E0E46"/>
    <w:rsid w:val="007E1BBA"/>
    <w:rsid w:val="007E396A"/>
    <w:rsid w:val="007E3B4C"/>
    <w:rsid w:val="007E3D09"/>
    <w:rsid w:val="007E4BD2"/>
    <w:rsid w:val="007E5792"/>
    <w:rsid w:val="007E5988"/>
    <w:rsid w:val="007E5B54"/>
    <w:rsid w:val="007E5BD0"/>
    <w:rsid w:val="007E5CD2"/>
    <w:rsid w:val="007E68E2"/>
    <w:rsid w:val="007E697A"/>
    <w:rsid w:val="007E7CDA"/>
    <w:rsid w:val="007F03E3"/>
    <w:rsid w:val="007F14DB"/>
    <w:rsid w:val="007F18ED"/>
    <w:rsid w:val="007F1FF7"/>
    <w:rsid w:val="007F2EEA"/>
    <w:rsid w:val="007F3226"/>
    <w:rsid w:val="007F3B30"/>
    <w:rsid w:val="007F4D55"/>
    <w:rsid w:val="007F71FB"/>
    <w:rsid w:val="007F74A1"/>
    <w:rsid w:val="00800022"/>
    <w:rsid w:val="00801393"/>
    <w:rsid w:val="008014CF"/>
    <w:rsid w:val="00801855"/>
    <w:rsid w:val="00802680"/>
    <w:rsid w:val="00802E3F"/>
    <w:rsid w:val="00802F88"/>
    <w:rsid w:val="00803DF7"/>
    <w:rsid w:val="0080434B"/>
    <w:rsid w:val="00804407"/>
    <w:rsid w:val="0080492F"/>
    <w:rsid w:val="00805B50"/>
    <w:rsid w:val="0080700E"/>
    <w:rsid w:val="00810A9B"/>
    <w:rsid w:val="00811930"/>
    <w:rsid w:val="0081293E"/>
    <w:rsid w:val="00813025"/>
    <w:rsid w:val="00813EF7"/>
    <w:rsid w:val="008149F6"/>
    <w:rsid w:val="00814BD7"/>
    <w:rsid w:val="00815465"/>
    <w:rsid w:val="008155A7"/>
    <w:rsid w:val="00816121"/>
    <w:rsid w:val="00817E9A"/>
    <w:rsid w:val="00821084"/>
    <w:rsid w:val="008219BB"/>
    <w:rsid w:val="00823747"/>
    <w:rsid w:val="008271BE"/>
    <w:rsid w:val="00827F23"/>
    <w:rsid w:val="008302DE"/>
    <w:rsid w:val="008306BD"/>
    <w:rsid w:val="008308EE"/>
    <w:rsid w:val="00831795"/>
    <w:rsid w:val="00831A80"/>
    <w:rsid w:val="00832FAB"/>
    <w:rsid w:val="00833743"/>
    <w:rsid w:val="008340A4"/>
    <w:rsid w:val="00835966"/>
    <w:rsid w:val="0083619F"/>
    <w:rsid w:val="0083721C"/>
    <w:rsid w:val="008415D6"/>
    <w:rsid w:val="008424AF"/>
    <w:rsid w:val="00843D62"/>
    <w:rsid w:val="00844274"/>
    <w:rsid w:val="00844469"/>
    <w:rsid w:val="0084528F"/>
    <w:rsid w:val="00845636"/>
    <w:rsid w:val="00845F3E"/>
    <w:rsid w:val="00846129"/>
    <w:rsid w:val="00846C99"/>
    <w:rsid w:val="008471B5"/>
    <w:rsid w:val="00847626"/>
    <w:rsid w:val="00847D44"/>
    <w:rsid w:val="00851F33"/>
    <w:rsid w:val="0085268F"/>
    <w:rsid w:val="00852A33"/>
    <w:rsid w:val="008539DB"/>
    <w:rsid w:val="008539DC"/>
    <w:rsid w:val="00856185"/>
    <w:rsid w:val="00856593"/>
    <w:rsid w:val="008605DF"/>
    <w:rsid w:val="0086133F"/>
    <w:rsid w:val="008615E6"/>
    <w:rsid w:val="008630A9"/>
    <w:rsid w:val="008640D8"/>
    <w:rsid w:val="00864C36"/>
    <w:rsid w:val="00865064"/>
    <w:rsid w:val="00865F9C"/>
    <w:rsid w:val="0086789C"/>
    <w:rsid w:val="008704CB"/>
    <w:rsid w:val="0087094F"/>
    <w:rsid w:val="0087101F"/>
    <w:rsid w:val="0087135F"/>
    <w:rsid w:val="00871A01"/>
    <w:rsid w:val="00872347"/>
    <w:rsid w:val="00872D94"/>
    <w:rsid w:val="0087494E"/>
    <w:rsid w:val="008758C3"/>
    <w:rsid w:val="00875D21"/>
    <w:rsid w:val="00875D4F"/>
    <w:rsid w:val="0087785D"/>
    <w:rsid w:val="00880364"/>
    <w:rsid w:val="00880972"/>
    <w:rsid w:val="0088181F"/>
    <w:rsid w:val="00882B33"/>
    <w:rsid w:val="00882FB9"/>
    <w:rsid w:val="00884BCF"/>
    <w:rsid w:val="00886CB9"/>
    <w:rsid w:val="008871CD"/>
    <w:rsid w:val="008878C2"/>
    <w:rsid w:val="00891592"/>
    <w:rsid w:val="00891E9E"/>
    <w:rsid w:val="00892382"/>
    <w:rsid w:val="0089307B"/>
    <w:rsid w:val="0089473F"/>
    <w:rsid w:val="0089495C"/>
    <w:rsid w:val="00896F39"/>
    <w:rsid w:val="008A108E"/>
    <w:rsid w:val="008A199E"/>
    <w:rsid w:val="008A2B0F"/>
    <w:rsid w:val="008A2F68"/>
    <w:rsid w:val="008A2F8A"/>
    <w:rsid w:val="008A2FE6"/>
    <w:rsid w:val="008A47C1"/>
    <w:rsid w:val="008A490C"/>
    <w:rsid w:val="008A5463"/>
    <w:rsid w:val="008A56F3"/>
    <w:rsid w:val="008A7896"/>
    <w:rsid w:val="008A7C2E"/>
    <w:rsid w:val="008B07AB"/>
    <w:rsid w:val="008B24F9"/>
    <w:rsid w:val="008B40BB"/>
    <w:rsid w:val="008B485E"/>
    <w:rsid w:val="008B4FA6"/>
    <w:rsid w:val="008B5282"/>
    <w:rsid w:val="008B68FA"/>
    <w:rsid w:val="008B7723"/>
    <w:rsid w:val="008B7C17"/>
    <w:rsid w:val="008B7E42"/>
    <w:rsid w:val="008C22A1"/>
    <w:rsid w:val="008C23C9"/>
    <w:rsid w:val="008C2D01"/>
    <w:rsid w:val="008C35C1"/>
    <w:rsid w:val="008C40E6"/>
    <w:rsid w:val="008C41D4"/>
    <w:rsid w:val="008C6A03"/>
    <w:rsid w:val="008D0260"/>
    <w:rsid w:val="008D0F7A"/>
    <w:rsid w:val="008D0FC0"/>
    <w:rsid w:val="008D17F9"/>
    <w:rsid w:val="008D18C9"/>
    <w:rsid w:val="008D2664"/>
    <w:rsid w:val="008D2D27"/>
    <w:rsid w:val="008D37D9"/>
    <w:rsid w:val="008D499F"/>
    <w:rsid w:val="008D4FDF"/>
    <w:rsid w:val="008D66C3"/>
    <w:rsid w:val="008D68E4"/>
    <w:rsid w:val="008E0506"/>
    <w:rsid w:val="008E0CFF"/>
    <w:rsid w:val="008E1416"/>
    <w:rsid w:val="008E2661"/>
    <w:rsid w:val="008E5452"/>
    <w:rsid w:val="008E5D6B"/>
    <w:rsid w:val="008E6723"/>
    <w:rsid w:val="008E76F0"/>
    <w:rsid w:val="008F15FE"/>
    <w:rsid w:val="008F2D29"/>
    <w:rsid w:val="008F3457"/>
    <w:rsid w:val="008F350D"/>
    <w:rsid w:val="008F4694"/>
    <w:rsid w:val="008F48C3"/>
    <w:rsid w:val="008F4F04"/>
    <w:rsid w:val="008F5187"/>
    <w:rsid w:val="008F5C80"/>
    <w:rsid w:val="008F60D8"/>
    <w:rsid w:val="008F622C"/>
    <w:rsid w:val="008F66D5"/>
    <w:rsid w:val="008F6D68"/>
    <w:rsid w:val="00901F39"/>
    <w:rsid w:val="0090219D"/>
    <w:rsid w:val="00902727"/>
    <w:rsid w:val="0090312B"/>
    <w:rsid w:val="009035A5"/>
    <w:rsid w:val="0090385D"/>
    <w:rsid w:val="009043A5"/>
    <w:rsid w:val="009065A5"/>
    <w:rsid w:val="009067F9"/>
    <w:rsid w:val="0090716A"/>
    <w:rsid w:val="00907CD1"/>
    <w:rsid w:val="00910180"/>
    <w:rsid w:val="00912CE8"/>
    <w:rsid w:val="00912E92"/>
    <w:rsid w:val="00914546"/>
    <w:rsid w:val="00914912"/>
    <w:rsid w:val="00914B11"/>
    <w:rsid w:val="00916F0F"/>
    <w:rsid w:val="0091736D"/>
    <w:rsid w:val="0092044F"/>
    <w:rsid w:val="00920973"/>
    <w:rsid w:val="009209EF"/>
    <w:rsid w:val="00921068"/>
    <w:rsid w:val="00921183"/>
    <w:rsid w:val="009211C2"/>
    <w:rsid w:val="00922309"/>
    <w:rsid w:val="009226C8"/>
    <w:rsid w:val="00922C83"/>
    <w:rsid w:val="00922D47"/>
    <w:rsid w:val="009233F9"/>
    <w:rsid w:val="00923707"/>
    <w:rsid w:val="00923E34"/>
    <w:rsid w:val="00924B3E"/>
    <w:rsid w:val="00926BC2"/>
    <w:rsid w:val="0093037A"/>
    <w:rsid w:val="00931773"/>
    <w:rsid w:val="0093293E"/>
    <w:rsid w:val="00933AC6"/>
    <w:rsid w:val="00933C0D"/>
    <w:rsid w:val="00933E86"/>
    <w:rsid w:val="00935D1E"/>
    <w:rsid w:val="00935F9C"/>
    <w:rsid w:val="009373C1"/>
    <w:rsid w:val="009376F6"/>
    <w:rsid w:val="00940292"/>
    <w:rsid w:val="0094154D"/>
    <w:rsid w:val="00941723"/>
    <w:rsid w:val="00942DF4"/>
    <w:rsid w:val="009435E2"/>
    <w:rsid w:val="00943E02"/>
    <w:rsid w:val="00945BF9"/>
    <w:rsid w:val="00946230"/>
    <w:rsid w:val="009464C0"/>
    <w:rsid w:val="00946840"/>
    <w:rsid w:val="00946B6F"/>
    <w:rsid w:val="009475F3"/>
    <w:rsid w:val="00947AC0"/>
    <w:rsid w:val="009512FF"/>
    <w:rsid w:val="0095155F"/>
    <w:rsid w:val="00951EBE"/>
    <w:rsid w:val="00952030"/>
    <w:rsid w:val="0095245C"/>
    <w:rsid w:val="00952EF6"/>
    <w:rsid w:val="00953125"/>
    <w:rsid w:val="009543F5"/>
    <w:rsid w:val="00954429"/>
    <w:rsid w:val="009557FF"/>
    <w:rsid w:val="009563CE"/>
    <w:rsid w:val="00956A66"/>
    <w:rsid w:val="00956C41"/>
    <w:rsid w:val="00957C62"/>
    <w:rsid w:val="00960B6B"/>
    <w:rsid w:val="00963129"/>
    <w:rsid w:val="0096437B"/>
    <w:rsid w:val="00965AC4"/>
    <w:rsid w:val="00966E14"/>
    <w:rsid w:val="00967B12"/>
    <w:rsid w:val="00967BC2"/>
    <w:rsid w:val="00972290"/>
    <w:rsid w:val="0097246A"/>
    <w:rsid w:val="00972D24"/>
    <w:rsid w:val="0097411D"/>
    <w:rsid w:val="00974998"/>
    <w:rsid w:val="00975AF5"/>
    <w:rsid w:val="00975EE6"/>
    <w:rsid w:val="00976328"/>
    <w:rsid w:val="0097680D"/>
    <w:rsid w:val="009769A1"/>
    <w:rsid w:val="009778B8"/>
    <w:rsid w:val="0098140C"/>
    <w:rsid w:val="00982280"/>
    <w:rsid w:val="00982438"/>
    <w:rsid w:val="00982881"/>
    <w:rsid w:val="00982A6F"/>
    <w:rsid w:val="00983F49"/>
    <w:rsid w:val="0098404C"/>
    <w:rsid w:val="00985283"/>
    <w:rsid w:val="0098565C"/>
    <w:rsid w:val="00986749"/>
    <w:rsid w:val="00986BD9"/>
    <w:rsid w:val="00987A73"/>
    <w:rsid w:val="00992346"/>
    <w:rsid w:val="00993196"/>
    <w:rsid w:val="00994626"/>
    <w:rsid w:val="00994F6F"/>
    <w:rsid w:val="00995992"/>
    <w:rsid w:val="009969ED"/>
    <w:rsid w:val="009A03E5"/>
    <w:rsid w:val="009A03EC"/>
    <w:rsid w:val="009A0F3B"/>
    <w:rsid w:val="009A1789"/>
    <w:rsid w:val="009A1BB4"/>
    <w:rsid w:val="009A2373"/>
    <w:rsid w:val="009A2628"/>
    <w:rsid w:val="009A3200"/>
    <w:rsid w:val="009A3311"/>
    <w:rsid w:val="009A3BB1"/>
    <w:rsid w:val="009A47A4"/>
    <w:rsid w:val="009A7D27"/>
    <w:rsid w:val="009B0897"/>
    <w:rsid w:val="009B126E"/>
    <w:rsid w:val="009B17E9"/>
    <w:rsid w:val="009B1EE8"/>
    <w:rsid w:val="009B2231"/>
    <w:rsid w:val="009B4D55"/>
    <w:rsid w:val="009B666E"/>
    <w:rsid w:val="009B66FF"/>
    <w:rsid w:val="009B6AE1"/>
    <w:rsid w:val="009B7BD9"/>
    <w:rsid w:val="009B7EDF"/>
    <w:rsid w:val="009B7F9B"/>
    <w:rsid w:val="009C08C9"/>
    <w:rsid w:val="009C0F80"/>
    <w:rsid w:val="009C1523"/>
    <w:rsid w:val="009C1A8C"/>
    <w:rsid w:val="009C2AEE"/>
    <w:rsid w:val="009C5645"/>
    <w:rsid w:val="009C7D66"/>
    <w:rsid w:val="009C7DD5"/>
    <w:rsid w:val="009D08A3"/>
    <w:rsid w:val="009D33B7"/>
    <w:rsid w:val="009D4C76"/>
    <w:rsid w:val="009D54E6"/>
    <w:rsid w:val="009D55A5"/>
    <w:rsid w:val="009D5EE8"/>
    <w:rsid w:val="009D62A0"/>
    <w:rsid w:val="009E0E7E"/>
    <w:rsid w:val="009E1914"/>
    <w:rsid w:val="009E1F80"/>
    <w:rsid w:val="009E227D"/>
    <w:rsid w:val="009E2B0B"/>
    <w:rsid w:val="009E2BC2"/>
    <w:rsid w:val="009E367D"/>
    <w:rsid w:val="009E3E15"/>
    <w:rsid w:val="009E423E"/>
    <w:rsid w:val="009E461D"/>
    <w:rsid w:val="009E4873"/>
    <w:rsid w:val="009E5019"/>
    <w:rsid w:val="009E646D"/>
    <w:rsid w:val="009E6B3D"/>
    <w:rsid w:val="009E7013"/>
    <w:rsid w:val="009F05F0"/>
    <w:rsid w:val="009F11DD"/>
    <w:rsid w:val="009F265E"/>
    <w:rsid w:val="009F3EFD"/>
    <w:rsid w:val="009F4325"/>
    <w:rsid w:val="009F539A"/>
    <w:rsid w:val="009F61C8"/>
    <w:rsid w:val="009F6237"/>
    <w:rsid w:val="009F6460"/>
    <w:rsid w:val="009F6C0C"/>
    <w:rsid w:val="009F6D3D"/>
    <w:rsid w:val="009F7F61"/>
    <w:rsid w:val="00A01338"/>
    <w:rsid w:val="00A01966"/>
    <w:rsid w:val="00A02D03"/>
    <w:rsid w:val="00A02E30"/>
    <w:rsid w:val="00A02E54"/>
    <w:rsid w:val="00A0316F"/>
    <w:rsid w:val="00A03C27"/>
    <w:rsid w:val="00A048D1"/>
    <w:rsid w:val="00A04F1B"/>
    <w:rsid w:val="00A0501B"/>
    <w:rsid w:val="00A0537E"/>
    <w:rsid w:val="00A06106"/>
    <w:rsid w:val="00A0635C"/>
    <w:rsid w:val="00A06C3F"/>
    <w:rsid w:val="00A07DCB"/>
    <w:rsid w:val="00A10353"/>
    <w:rsid w:val="00A10762"/>
    <w:rsid w:val="00A13BF8"/>
    <w:rsid w:val="00A14947"/>
    <w:rsid w:val="00A14E47"/>
    <w:rsid w:val="00A14E9A"/>
    <w:rsid w:val="00A1552D"/>
    <w:rsid w:val="00A1688C"/>
    <w:rsid w:val="00A16C98"/>
    <w:rsid w:val="00A16F90"/>
    <w:rsid w:val="00A1722E"/>
    <w:rsid w:val="00A1782A"/>
    <w:rsid w:val="00A17E4D"/>
    <w:rsid w:val="00A20904"/>
    <w:rsid w:val="00A2097E"/>
    <w:rsid w:val="00A21B3E"/>
    <w:rsid w:val="00A22AAD"/>
    <w:rsid w:val="00A23564"/>
    <w:rsid w:val="00A23A02"/>
    <w:rsid w:val="00A254C7"/>
    <w:rsid w:val="00A27BCD"/>
    <w:rsid w:val="00A27C2F"/>
    <w:rsid w:val="00A30BEC"/>
    <w:rsid w:val="00A30E24"/>
    <w:rsid w:val="00A3195D"/>
    <w:rsid w:val="00A31DBF"/>
    <w:rsid w:val="00A32A83"/>
    <w:rsid w:val="00A32B89"/>
    <w:rsid w:val="00A35429"/>
    <w:rsid w:val="00A3641A"/>
    <w:rsid w:val="00A368DB"/>
    <w:rsid w:val="00A36F13"/>
    <w:rsid w:val="00A37F09"/>
    <w:rsid w:val="00A40F0D"/>
    <w:rsid w:val="00A40FEE"/>
    <w:rsid w:val="00A41770"/>
    <w:rsid w:val="00A41BF0"/>
    <w:rsid w:val="00A423AA"/>
    <w:rsid w:val="00A426C9"/>
    <w:rsid w:val="00A437DD"/>
    <w:rsid w:val="00A43E1A"/>
    <w:rsid w:val="00A45D62"/>
    <w:rsid w:val="00A469BB"/>
    <w:rsid w:val="00A47F50"/>
    <w:rsid w:val="00A506B8"/>
    <w:rsid w:val="00A50923"/>
    <w:rsid w:val="00A510BC"/>
    <w:rsid w:val="00A512D8"/>
    <w:rsid w:val="00A516D7"/>
    <w:rsid w:val="00A5305F"/>
    <w:rsid w:val="00A53EC6"/>
    <w:rsid w:val="00A55370"/>
    <w:rsid w:val="00A55C0F"/>
    <w:rsid w:val="00A565BC"/>
    <w:rsid w:val="00A57991"/>
    <w:rsid w:val="00A60134"/>
    <w:rsid w:val="00A60731"/>
    <w:rsid w:val="00A61239"/>
    <w:rsid w:val="00A6397F"/>
    <w:rsid w:val="00A64731"/>
    <w:rsid w:val="00A65709"/>
    <w:rsid w:val="00A67D00"/>
    <w:rsid w:val="00A70ACC"/>
    <w:rsid w:val="00A70F2D"/>
    <w:rsid w:val="00A725DC"/>
    <w:rsid w:val="00A728F4"/>
    <w:rsid w:val="00A737ED"/>
    <w:rsid w:val="00A7392F"/>
    <w:rsid w:val="00A76413"/>
    <w:rsid w:val="00A773D5"/>
    <w:rsid w:val="00A77B5C"/>
    <w:rsid w:val="00A77CF1"/>
    <w:rsid w:val="00A800DC"/>
    <w:rsid w:val="00A8051A"/>
    <w:rsid w:val="00A81956"/>
    <w:rsid w:val="00A81AE4"/>
    <w:rsid w:val="00A824A1"/>
    <w:rsid w:val="00A83188"/>
    <w:rsid w:val="00A836C8"/>
    <w:rsid w:val="00A83F4E"/>
    <w:rsid w:val="00A8422E"/>
    <w:rsid w:val="00A849C3"/>
    <w:rsid w:val="00A854B3"/>
    <w:rsid w:val="00A85E5C"/>
    <w:rsid w:val="00A870F0"/>
    <w:rsid w:val="00A8713F"/>
    <w:rsid w:val="00A90BA1"/>
    <w:rsid w:val="00A91FA1"/>
    <w:rsid w:val="00A926C5"/>
    <w:rsid w:val="00A93279"/>
    <w:rsid w:val="00A93E79"/>
    <w:rsid w:val="00A9484D"/>
    <w:rsid w:val="00A951CB"/>
    <w:rsid w:val="00A96609"/>
    <w:rsid w:val="00A967F4"/>
    <w:rsid w:val="00A972BE"/>
    <w:rsid w:val="00A97A9A"/>
    <w:rsid w:val="00A97F16"/>
    <w:rsid w:val="00AA0671"/>
    <w:rsid w:val="00AA07AF"/>
    <w:rsid w:val="00AA0C75"/>
    <w:rsid w:val="00AA0EFE"/>
    <w:rsid w:val="00AA233B"/>
    <w:rsid w:val="00AA2434"/>
    <w:rsid w:val="00AA2531"/>
    <w:rsid w:val="00AA2735"/>
    <w:rsid w:val="00AA37D2"/>
    <w:rsid w:val="00AA4288"/>
    <w:rsid w:val="00AA557E"/>
    <w:rsid w:val="00AB0720"/>
    <w:rsid w:val="00AB1E09"/>
    <w:rsid w:val="00AB21E7"/>
    <w:rsid w:val="00AB2DDA"/>
    <w:rsid w:val="00AB3496"/>
    <w:rsid w:val="00AB35DB"/>
    <w:rsid w:val="00AB5330"/>
    <w:rsid w:val="00AB61A3"/>
    <w:rsid w:val="00AB6322"/>
    <w:rsid w:val="00AB7747"/>
    <w:rsid w:val="00AC01F6"/>
    <w:rsid w:val="00AC10F2"/>
    <w:rsid w:val="00AC14CE"/>
    <w:rsid w:val="00AC1917"/>
    <w:rsid w:val="00AC193C"/>
    <w:rsid w:val="00AC2A56"/>
    <w:rsid w:val="00AC5860"/>
    <w:rsid w:val="00AC61C5"/>
    <w:rsid w:val="00AC6A95"/>
    <w:rsid w:val="00AC7065"/>
    <w:rsid w:val="00AC72B9"/>
    <w:rsid w:val="00AD0433"/>
    <w:rsid w:val="00AD055E"/>
    <w:rsid w:val="00AD16F0"/>
    <w:rsid w:val="00AD1DE3"/>
    <w:rsid w:val="00AD2F52"/>
    <w:rsid w:val="00AD303F"/>
    <w:rsid w:val="00AD3A8B"/>
    <w:rsid w:val="00AD47A7"/>
    <w:rsid w:val="00AD49FB"/>
    <w:rsid w:val="00AD558A"/>
    <w:rsid w:val="00AD57D6"/>
    <w:rsid w:val="00AD6E4A"/>
    <w:rsid w:val="00AE0B3B"/>
    <w:rsid w:val="00AE0EEC"/>
    <w:rsid w:val="00AE0F4E"/>
    <w:rsid w:val="00AE1BE1"/>
    <w:rsid w:val="00AE2DCF"/>
    <w:rsid w:val="00AE3415"/>
    <w:rsid w:val="00AE4392"/>
    <w:rsid w:val="00AE4F52"/>
    <w:rsid w:val="00AE5003"/>
    <w:rsid w:val="00AE5507"/>
    <w:rsid w:val="00AE5688"/>
    <w:rsid w:val="00AE6AC4"/>
    <w:rsid w:val="00AF0B9B"/>
    <w:rsid w:val="00AF0C31"/>
    <w:rsid w:val="00AF0CBF"/>
    <w:rsid w:val="00AF13E7"/>
    <w:rsid w:val="00AF187B"/>
    <w:rsid w:val="00AF257F"/>
    <w:rsid w:val="00AF2AB0"/>
    <w:rsid w:val="00AF3248"/>
    <w:rsid w:val="00AF33CF"/>
    <w:rsid w:val="00AF34BC"/>
    <w:rsid w:val="00AF4048"/>
    <w:rsid w:val="00AF40A6"/>
    <w:rsid w:val="00AF4746"/>
    <w:rsid w:val="00AF4D50"/>
    <w:rsid w:val="00AF5558"/>
    <w:rsid w:val="00AF5C90"/>
    <w:rsid w:val="00AF6179"/>
    <w:rsid w:val="00AF6538"/>
    <w:rsid w:val="00AF75B3"/>
    <w:rsid w:val="00AF7E55"/>
    <w:rsid w:val="00B010DD"/>
    <w:rsid w:val="00B02396"/>
    <w:rsid w:val="00B03884"/>
    <w:rsid w:val="00B0474E"/>
    <w:rsid w:val="00B04A2B"/>
    <w:rsid w:val="00B051CB"/>
    <w:rsid w:val="00B0584B"/>
    <w:rsid w:val="00B05EBE"/>
    <w:rsid w:val="00B11F8C"/>
    <w:rsid w:val="00B12518"/>
    <w:rsid w:val="00B125E6"/>
    <w:rsid w:val="00B1295A"/>
    <w:rsid w:val="00B12CB2"/>
    <w:rsid w:val="00B13A19"/>
    <w:rsid w:val="00B13BB0"/>
    <w:rsid w:val="00B1478D"/>
    <w:rsid w:val="00B1509F"/>
    <w:rsid w:val="00B172FF"/>
    <w:rsid w:val="00B20A45"/>
    <w:rsid w:val="00B2251D"/>
    <w:rsid w:val="00B22C14"/>
    <w:rsid w:val="00B22C5C"/>
    <w:rsid w:val="00B2308D"/>
    <w:rsid w:val="00B24612"/>
    <w:rsid w:val="00B2472B"/>
    <w:rsid w:val="00B24F30"/>
    <w:rsid w:val="00B26591"/>
    <w:rsid w:val="00B265E2"/>
    <w:rsid w:val="00B30749"/>
    <w:rsid w:val="00B3139C"/>
    <w:rsid w:val="00B31ABF"/>
    <w:rsid w:val="00B32B22"/>
    <w:rsid w:val="00B32E73"/>
    <w:rsid w:val="00B33B4E"/>
    <w:rsid w:val="00B33BE3"/>
    <w:rsid w:val="00B355D2"/>
    <w:rsid w:val="00B356DA"/>
    <w:rsid w:val="00B3640A"/>
    <w:rsid w:val="00B3755B"/>
    <w:rsid w:val="00B40DCE"/>
    <w:rsid w:val="00B413E4"/>
    <w:rsid w:val="00B41403"/>
    <w:rsid w:val="00B42B08"/>
    <w:rsid w:val="00B42BAA"/>
    <w:rsid w:val="00B43186"/>
    <w:rsid w:val="00B431F0"/>
    <w:rsid w:val="00B44714"/>
    <w:rsid w:val="00B45041"/>
    <w:rsid w:val="00B45F72"/>
    <w:rsid w:val="00B46083"/>
    <w:rsid w:val="00B46B92"/>
    <w:rsid w:val="00B504FA"/>
    <w:rsid w:val="00B51E81"/>
    <w:rsid w:val="00B53B5D"/>
    <w:rsid w:val="00B54683"/>
    <w:rsid w:val="00B54BB6"/>
    <w:rsid w:val="00B55930"/>
    <w:rsid w:val="00B56F45"/>
    <w:rsid w:val="00B6025D"/>
    <w:rsid w:val="00B6055E"/>
    <w:rsid w:val="00B60726"/>
    <w:rsid w:val="00B61561"/>
    <w:rsid w:val="00B619B8"/>
    <w:rsid w:val="00B6317D"/>
    <w:rsid w:val="00B6513F"/>
    <w:rsid w:val="00B65BE7"/>
    <w:rsid w:val="00B663A3"/>
    <w:rsid w:val="00B66BE1"/>
    <w:rsid w:val="00B67ADA"/>
    <w:rsid w:val="00B67BA8"/>
    <w:rsid w:val="00B709E1"/>
    <w:rsid w:val="00B71835"/>
    <w:rsid w:val="00B721E9"/>
    <w:rsid w:val="00B72AF7"/>
    <w:rsid w:val="00B743E9"/>
    <w:rsid w:val="00B75439"/>
    <w:rsid w:val="00B75A90"/>
    <w:rsid w:val="00B75C4C"/>
    <w:rsid w:val="00B761E6"/>
    <w:rsid w:val="00B7723F"/>
    <w:rsid w:val="00B77450"/>
    <w:rsid w:val="00B80534"/>
    <w:rsid w:val="00B809D8"/>
    <w:rsid w:val="00B816DA"/>
    <w:rsid w:val="00B81B86"/>
    <w:rsid w:val="00B823FC"/>
    <w:rsid w:val="00B82B18"/>
    <w:rsid w:val="00B82BE0"/>
    <w:rsid w:val="00B840A6"/>
    <w:rsid w:val="00B8433C"/>
    <w:rsid w:val="00B86A83"/>
    <w:rsid w:val="00B87491"/>
    <w:rsid w:val="00B9036B"/>
    <w:rsid w:val="00B90AD1"/>
    <w:rsid w:val="00B90B5A"/>
    <w:rsid w:val="00B92753"/>
    <w:rsid w:val="00B93965"/>
    <w:rsid w:val="00B93D34"/>
    <w:rsid w:val="00B950B6"/>
    <w:rsid w:val="00B950E7"/>
    <w:rsid w:val="00B952AC"/>
    <w:rsid w:val="00B96C56"/>
    <w:rsid w:val="00B9768F"/>
    <w:rsid w:val="00B9780D"/>
    <w:rsid w:val="00BA0A94"/>
    <w:rsid w:val="00BA0E28"/>
    <w:rsid w:val="00BA115A"/>
    <w:rsid w:val="00BA29E9"/>
    <w:rsid w:val="00BA36CD"/>
    <w:rsid w:val="00BA3CA4"/>
    <w:rsid w:val="00BA40C3"/>
    <w:rsid w:val="00BA448E"/>
    <w:rsid w:val="00BA4CE8"/>
    <w:rsid w:val="00BA4D2F"/>
    <w:rsid w:val="00BA578F"/>
    <w:rsid w:val="00BA579A"/>
    <w:rsid w:val="00BA587F"/>
    <w:rsid w:val="00BA7142"/>
    <w:rsid w:val="00BB0354"/>
    <w:rsid w:val="00BB03A6"/>
    <w:rsid w:val="00BB0CC1"/>
    <w:rsid w:val="00BB19B6"/>
    <w:rsid w:val="00BB237C"/>
    <w:rsid w:val="00BB38A7"/>
    <w:rsid w:val="00BB41A3"/>
    <w:rsid w:val="00BB4C00"/>
    <w:rsid w:val="00BC1548"/>
    <w:rsid w:val="00BC221D"/>
    <w:rsid w:val="00BC2353"/>
    <w:rsid w:val="00BC28F1"/>
    <w:rsid w:val="00BC2960"/>
    <w:rsid w:val="00BC2B0A"/>
    <w:rsid w:val="00BC2CE5"/>
    <w:rsid w:val="00BC32DC"/>
    <w:rsid w:val="00BC35B6"/>
    <w:rsid w:val="00BC6923"/>
    <w:rsid w:val="00BC6F52"/>
    <w:rsid w:val="00BC7112"/>
    <w:rsid w:val="00BC798F"/>
    <w:rsid w:val="00BD0D49"/>
    <w:rsid w:val="00BD1B51"/>
    <w:rsid w:val="00BD30C6"/>
    <w:rsid w:val="00BD4596"/>
    <w:rsid w:val="00BD5201"/>
    <w:rsid w:val="00BD5C22"/>
    <w:rsid w:val="00BD738C"/>
    <w:rsid w:val="00BD74D8"/>
    <w:rsid w:val="00BE1405"/>
    <w:rsid w:val="00BE2427"/>
    <w:rsid w:val="00BE2D53"/>
    <w:rsid w:val="00BE2F65"/>
    <w:rsid w:val="00BE312D"/>
    <w:rsid w:val="00BE40E0"/>
    <w:rsid w:val="00BE4E95"/>
    <w:rsid w:val="00BE7E99"/>
    <w:rsid w:val="00BF00FB"/>
    <w:rsid w:val="00BF07B5"/>
    <w:rsid w:val="00BF1C20"/>
    <w:rsid w:val="00BF29B4"/>
    <w:rsid w:val="00BF2A2A"/>
    <w:rsid w:val="00BF3C71"/>
    <w:rsid w:val="00BF40AB"/>
    <w:rsid w:val="00BF4427"/>
    <w:rsid w:val="00BF4AC5"/>
    <w:rsid w:val="00BF7AC3"/>
    <w:rsid w:val="00BF7C3D"/>
    <w:rsid w:val="00C00E72"/>
    <w:rsid w:val="00C01227"/>
    <w:rsid w:val="00C031AC"/>
    <w:rsid w:val="00C049FE"/>
    <w:rsid w:val="00C04E0F"/>
    <w:rsid w:val="00C0567E"/>
    <w:rsid w:val="00C05EAA"/>
    <w:rsid w:val="00C06BAA"/>
    <w:rsid w:val="00C06BEB"/>
    <w:rsid w:val="00C06E73"/>
    <w:rsid w:val="00C10578"/>
    <w:rsid w:val="00C1098F"/>
    <w:rsid w:val="00C135BC"/>
    <w:rsid w:val="00C14035"/>
    <w:rsid w:val="00C14291"/>
    <w:rsid w:val="00C14D42"/>
    <w:rsid w:val="00C14DD4"/>
    <w:rsid w:val="00C15004"/>
    <w:rsid w:val="00C153E0"/>
    <w:rsid w:val="00C15C95"/>
    <w:rsid w:val="00C162E7"/>
    <w:rsid w:val="00C17937"/>
    <w:rsid w:val="00C17D9C"/>
    <w:rsid w:val="00C224CA"/>
    <w:rsid w:val="00C247C8"/>
    <w:rsid w:val="00C248D0"/>
    <w:rsid w:val="00C2596A"/>
    <w:rsid w:val="00C27537"/>
    <w:rsid w:val="00C2757D"/>
    <w:rsid w:val="00C276ED"/>
    <w:rsid w:val="00C3062F"/>
    <w:rsid w:val="00C306A1"/>
    <w:rsid w:val="00C31FA4"/>
    <w:rsid w:val="00C328FE"/>
    <w:rsid w:val="00C332C9"/>
    <w:rsid w:val="00C33507"/>
    <w:rsid w:val="00C345EE"/>
    <w:rsid w:val="00C3547F"/>
    <w:rsid w:val="00C35EEA"/>
    <w:rsid w:val="00C35FC3"/>
    <w:rsid w:val="00C3663E"/>
    <w:rsid w:val="00C370EF"/>
    <w:rsid w:val="00C4113F"/>
    <w:rsid w:val="00C41ED3"/>
    <w:rsid w:val="00C420ED"/>
    <w:rsid w:val="00C42E8C"/>
    <w:rsid w:val="00C4409D"/>
    <w:rsid w:val="00C441E0"/>
    <w:rsid w:val="00C44865"/>
    <w:rsid w:val="00C44E72"/>
    <w:rsid w:val="00C45A01"/>
    <w:rsid w:val="00C45A06"/>
    <w:rsid w:val="00C47E5B"/>
    <w:rsid w:val="00C51A34"/>
    <w:rsid w:val="00C51F11"/>
    <w:rsid w:val="00C53950"/>
    <w:rsid w:val="00C54539"/>
    <w:rsid w:val="00C5686B"/>
    <w:rsid w:val="00C57876"/>
    <w:rsid w:val="00C60381"/>
    <w:rsid w:val="00C60F2D"/>
    <w:rsid w:val="00C61E4B"/>
    <w:rsid w:val="00C62A7B"/>
    <w:rsid w:val="00C631DF"/>
    <w:rsid w:val="00C64BFF"/>
    <w:rsid w:val="00C67141"/>
    <w:rsid w:val="00C673FC"/>
    <w:rsid w:val="00C704E9"/>
    <w:rsid w:val="00C70E2B"/>
    <w:rsid w:val="00C7151E"/>
    <w:rsid w:val="00C7224E"/>
    <w:rsid w:val="00C73D54"/>
    <w:rsid w:val="00C73ECB"/>
    <w:rsid w:val="00C74320"/>
    <w:rsid w:val="00C7511B"/>
    <w:rsid w:val="00C75EB3"/>
    <w:rsid w:val="00C763C9"/>
    <w:rsid w:val="00C76586"/>
    <w:rsid w:val="00C7764C"/>
    <w:rsid w:val="00C77764"/>
    <w:rsid w:val="00C80057"/>
    <w:rsid w:val="00C82200"/>
    <w:rsid w:val="00C82232"/>
    <w:rsid w:val="00C824D1"/>
    <w:rsid w:val="00C82913"/>
    <w:rsid w:val="00C850F4"/>
    <w:rsid w:val="00C87807"/>
    <w:rsid w:val="00C87EAE"/>
    <w:rsid w:val="00C9017F"/>
    <w:rsid w:val="00C92A22"/>
    <w:rsid w:val="00C95A36"/>
    <w:rsid w:val="00C972B1"/>
    <w:rsid w:val="00CA0B0D"/>
    <w:rsid w:val="00CA1469"/>
    <w:rsid w:val="00CA2CCE"/>
    <w:rsid w:val="00CA43FD"/>
    <w:rsid w:val="00CA6076"/>
    <w:rsid w:val="00CA666C"/>
    <w:rsid w:val="00CA78F4"/>
    <w:rsid w:val="00CA7EF8"/>
    <w:rsid w:val="00CB10E6"/>
    <w:rsid w:val="00CB11DF"/>
    <w:rsid w:val="00CB13FB"/>
    <w:rsid w:val="00CB1F69"/>
    <w:rsid w:val="00CB240F"/>
    <w:rsid w:val="00CB35AA"/>
    <w:rsid w:val="00CB5133"/>
    <w:rsid w:val="00CB51EC"/>
    <w:rsid w:val="00CB5922"/>
    <w:rsid w:val="00CB6B3E"/>
    <w:rsid w:val="00CB7CA9"/>
    <w:rsid w:val="00CC2C38"/>
    <w:rsid w:val="00CC326E"/>
    <w:rsid w:val="00CC356A"/>
    <w:rsid w:val="00CC383E"/>
    <w:rsid w:val="00CC489B"/>
    <w:rsid w:val="00CC55B5"/>
    <w:rsid w:val="00CC67CE"/>
    <w:rsid w:val="00CC7B08"/>
    <w:rsid w:val="00CC7E9C"/>
    <w:rsid w:val="00CD0A55"/>
    <w:rsid w:val="00CD11D3"/>
    <w:rsid w:val="00CD1D88"/>
    <w:rsid w:val="00CD2BCD"/>
    <w:rsid w:val="00CD2D39"/>
    <w:rsid w:val="00CD3048"/>
    <w:rsid w:val="00CD3A4C"/>
    <w:rsid w:val="00CD3B6B"/>
    <w:rsid w:val="00CE10E9"/>
    <w:rsid w:val="00CE2910"/>
    <w:rsid w:val="00CE2AD7"/>
    <w:rsid w:val="00CE5160"/>
    <w:rsid w:val="00CE5393"/>
    <w:rsid w:val="00CE5740"/>
    <w:rsid w:val="00CE63C4"/>
    <w:rsid w:val="00CE7364"/>
    <w:rsid w:val="00CE74FD"/>
    <w:rsid w:val="00CF0322"/>
    <w:rsid w:val="00CF103D"/>
    <w:rsid w:val="00CF2686"/>
    <w:rsid w:val="00CF2FD6"/>
    <w:rsid w:val="00CF36BE"/>
    <w:rsid w:val="00CF38BC"/>
    <w:rsid w:val="00CF3D12"/>
    <w:rsid w:val="00CF4E98"/>
    <w:rsid w:val="00CF6000"/>
    <w:rsid w:val="00D003F3"/>
    <w:rsid w:val="00D02AFE"/>
    <w:rsid w:val="00D0364F"/>
    <w:rsid w:val="00D03FEC"/>
    <w:rsid w:val="00D057A6"/>
    <w:rsid w:val="00D06834"/>
    <w:rsid w:val="00D06D4B"/>
    <w:rsid w:val="00D07520"/>
    <w:rsid w:val="00D10A15"/>
    <w:rsid w:val="00D1149A"/>
    <w:rsid w:val="00D12455"/>
    <w:rsid w:val="00D12C30"/>
    <w:rsid w:val="00D14B92"/>
    <w:rsid w:val="00D1665A"/>
    <w:rsid w:val="00D16FA8"/>
    <w:rsid w:val="00D176C2"/>
    <w:rsid w:val="00D21CB1"/>
    <w:rsid w:val="00D225DA"/>
    <w:rsid w:val="00D24376"/>
    <w:rsid w:val="00D24FF0"/>
    <w:rsid w:val="00D268F5"/>
    <w:rsid w:val="00D271CE"/>
    <w:rsid w:val="00D308ED"/>
    <w:rsid w:val="00D30EB4"/>
    <w:rsid w:val="00D312B2"/>
    <w:rsid w:val="00D31B4F"/>
    <w:rsid w:val="00D31CA1"/>
    <w:rsid w:val="00D32702"/>
    <w:rsid w:val="00D34854"/>
    <w:rsid w:val="00D3485D"/>
    <w:rsid w:val="00D352C5"/>
    <w:rsid w:val="00D356A7"/>
    <w:rsid w:val="00D35E68"/>
    <w:rsid w:val="00D36C4B"/>
    <w:rsid w:val="00D36D86"/>
    <w:rsid w:val="00D428AA"/>
    <w:rsid w:val="00D43D5D"/>
    <w:rsid w:val="00D43FDE"/>
    <w:rsid w:val="00D44610"/>
    <w:rsid w:val="00D45679"/>
    <w:rsid w:val="00D46121"/>
    <w:rsid w:val="00D466FD"/>
    <w:rsid w:val="00D473CB"/>
    <w:rsid w:val="00D47EF8"/>
    <w:rsid w:val="00D50265"/>
    <w:rsid w:val="00D50A34"/>
    <w:rsid w:val="00D50C11"/>
    <w:rsid w:val="00D51F3C"/>
    <w:rsid w:val="00D52101"/>
    <w:rsid w:val="00D5325D"/>
    <w:rsid w:val="00D537CD"/>
    <w:rsid w:val="00D53EFA"/>
    <w:rsid w:val="00D54CE0"/>
    <w:rsid w:val="00D571A7"/>
    <w:rsid w:val="00D6215F"/>
    <w:rsid w:val="00D641AB"/>
    <w:rsid w:val="00D66B1A"/>
    <w:rsid w:val="00D70404"/>
    <w:rsid w:val="00D70927"/>
    <w:rsid w:val="00D70BAD"/>
    <w:rsid w:val="00D70F9C"/>
    <w:rsid w:val="00D71BEA"/>
    <w:rsid w:val="00D72007"/>
    <w:rsid w:val="00D72B0D"/>
    <w:rsid w:val="00D740B8"/>
    <w:rsid w:val="00D744AD"/>
    <w:rsid w:val="00D77136"/>
    <w:rsid w:val="00D8001F"/>
    <w:rsid w:val="00D80E1C"/>
    <w:rsid w:val="00D820EF"/>
    <w:rsid w:val="00D828D7"/>
    <w:rsid w:val="00D83863"/>
    <w:rsid w:val="00D839D8"/>
    <w:rsid w:val="00D8454F"/>
    <w:rsid w:val="00D87737"/>
    <w:rsid w:val="00D90E09"/>
    <w:rsid w:val="00D921CC"/>
    <w:rsid w:val="00D93A8E"/>
    <w:rsid w:val="00D93BF3"/>
    <w:rsid w:val="00D94A7C"/>
    <w:rsid w:val="00D95896"/>
    <w:rsid w:val="00D96F3B"/>
    <w:rsid w:val="00DA25AF"/>
    <w:rsid w:val="00DA28BB"/>
    <w:rsid w:val="00DA2DCA"/>
    <w:rsid w:val="00DA4425"/>
    <w:rsid w:val="00DA644A"/>
    <w:rsid w:val="00DB06C0"/>
    <w:rsid w:val="00DB2983"/>
    <w:rsid w:val="00DB29FD"/>
    <w:rsid w:val="00DB32C8"/>
    <w:rsid w:val="00DB3CB3"/>
    <w:rsid w:val="00DB5C86"/>
    <w:rsid w:val="00DB67D8"/>
    <w:rsid w:val="00DC0568"/>
    <w:rsid w:val="00DC1257"/>
    <w:rsid w:val="00DC1564"/>
    <w:rsid w:val="00DC1946"/>
    <w:rsid w:val="00DC2029"/>
    <w:rsid w:val="00DC2571"/>
    <w:rsid w:val="00DC2DCE"/>
    <w:rsid w:val="00DC2E3B"/>
    <w:rsid w:val="00DC3DC0"/>
    <w:rsid w:val="00DC422A"/>
    <w:rsid w:val="00DC45D6"/>
    <w:rsid w:val="00DC4874"/>
    <w:rsid w:val="00DC4A47"/>
    <w:rsid w:val="00DC4B6E"/>
    <w:rsid w:val="00DC4D5C"/>
    <w:rsid w:val="00DC5B2B"/>
    <w:rsid w:val="00DC696C"/>
    <w:rsid w:val="00DC7620"/>
    <w:rsid w:val="00DC7746"/>
    <w:rsid w:val="00DC7973"/>
    <w:rsid w:val="00DD0ADE"/>
    <w:rsid w:val="00DD0FDB"/>
    <w:rsid w:val="00DD24A5"/>
    <w:rsid w:val="00DD318D"/>
    <w:rsid w:val="00DD397D"/>
    <w:rsid w:val="00DD765B"/>
    <w:rsid w:val="00DD78C7"/>
    <w:rsid w:val="00DE04B9"/>
    <w:rsid w:val="00DE1388"/>
    <w:rsid w:val="00DE1865"/>
    <w:rsid w:val="00DE20AA"/>
    <w:rsid w:val="00DE2BDD"/>
    <w:rsid w:val="00DE61C7"/>
    <w:rsid w:val="00DE71A4"/>
    <w:rsid w:val="00DE7689"/>
    <w:rsid w:val="00DE79DF"/>
    <w:rsid w:val="00DE7DB1"/>
    <w:rsid w:val="00DF03BC"/>
    <w:rsid w:val="00DF1927"/>
    <w:rsid w:val="00DF2E12"/>
    <w:rsid w:val="00DF4F0C"/>
    <w:rsid w:val="00DF514A"/>
    <w:rsid w:val="00DF581C"/>
    <w:rsid w:val="00DF598B"/>
    <w:rsid w:val="00DF614F"/>
    <w:rsid w:val="00DF6690"/>
    <w:rsid w:val="00DF6804"/>
    <w:rsid w:val="00DF77F3"/>
    <w:rsid w:val="00E00829"/>
    <w:rsid w:val="00E01A35"/>
    <w:rsid w:val="00E02046"/>
    <w:rsid w:val="00E02284"/>
    <w:rsid w:val="00E02A8A"/>
    <w:rsid w:val="00E0358D"/>
    <w:rsid w:val="00E04323"/>
    <w:rsid w:val="00E04CE8"/>
    <w:rsid w:val="00E06978"/>
    <w:rsid w:val="00E06F1E"/>
    <w:rsid w:val="00E070A2"/>
    <w:rsid w:val="00E073B1"/>
    <w:rsid w:val="00E1100E"/>
    <w:rsid w:val="00E1128F"/>
    <w:rsid w:val="00E11EBC"/>
    <w:rsid w:val="00E1471A"/>
    <w:rsid w:val="00E14E4F"/>
    <w:rsid w:val="00E163C3"/>
    <w:rsid w:val="00E16934"/>
    <w:rsid w:val="00E17163"/>
    <w:rsid w:val="00E20069"/>
    <w:rsid w:val="00E200DC"/>
    <w:rsid w:val="00E20137"/>
    <w:rsid w:val="00E221CE"/>
    <w:rsid w:val="00E22DDA"/>
    <w:rsid w:val="00E25238"/>
    <w:rsid w:val="00E2545C"/>
    <w:rsid w:val="00E25D7E"/>
    <w:rsid w:val="00E26186"/>
    <w:rsid w:val="00E2649D"/>
    <w:rsid w:val="00E2656A"/>
    <w:rsid w:val="00E270E3"/>
    <w:rsid w:val="00E2777A"/>
    <w:rsid w:val="00E32930"/>
    <w:rsid w:val="00E331B6"/>
    <w:rsid w:val="00E35107"/>
    <w:rsid w:val="00E412D0"/>
    <w:rsid w:val="00E4221D"/>
    <w:rsid w:val="00E44208"/>
    <w:rsid w:val="00E44AA1"/>
    <w:rsid w:val="00E45EB1"/>
    <w:rsid w:val="00E4717C"/>
    <w:rsid w:val="00E50EF7"/>
    <w:rsid w:val="00E51FA4"/>
    <w:rsid w:val="00E52035"/>
    <w:rsid w:val="00E5240C"/>
    <w:rsid w:val="00E5359A"/>
    <w:rsid w:val="00E547B4"/>
    <w:rsid w:val="00E56322"/>
    <w:rsid w:val="00E57E7C"/>
    <w:rsid w:val="00E60374"/>
    <w:rsid w:val="00E60982"/>
    <w:rsid w:val="00E61E0E"/>
    <w:rsid w:val="00E61E86"/>
    <w:rsid w:val="00E62C62"/>
    <w:rsid w:val="00E641C4"/>
    <w:rsid w:val="00E642B0"/>
    <w:rsid w:val="00E654C1"/>
    <w:rsid w:val="00E65D97"/>
    <w:rsid w:val="00E6665B"/>
    <w:rsid w:val="00E66F1C"/>
    <w:rsid w:val="00E66FD5"/>
    <w:rsid w:val="00E6704E"/>
    <w:rsid w:val="00E70527"/>
    <w:rsid w:val="00E70E09"/>
    <w:rsid w:val="00E72A28"/>
    <w:rsid w:val="00E72A5A"/>
    <w:rsid w:val="00E73354"/>
    <w:rsid w:val="00E75233"/>
    <w:rsid w:val="00E755B4"/>
    <w:rsid w:val="00E75A20"/>
    <w:rsid w:val="00E76469"/>
    <w:rsid w:val="00E76848"/>
    <w:rsid w:val="00E7708E"/>
    <w:rsid w:val="00E77555"/>
    <w:rsid w:val="00E77FF3"/>
    <w:rsid w:val="00E82C96"/>
    <w:rsid w:val="00E82CAF"/>
    <w:rsid w:val="00E82DF6"/>
    <w:rsid w:val="00E8317D"/>
    <w:rsid w:val="00E83408"/>
    <w:rsid w:val="00E84EEA"/>
    <w:rsid w:val="00E86844"/>
    <w:rsid w:val="00E87FCE"/>
    <w:rsid w:val="00E912CA"/>
    <w:rsid w:val="00E919B4"/>
    <w:rsid w:val="00E9242D"/>
    <w:rsid w:val="00E9260B"/>
    <w:rsid w:val="00E938B9"/>
    <w:rsid w:val="00E9394E"/>
    <w:rsid w:val="00E93A28"/>
    <w:rsid w:val="00E9582D"/>
    <w:rsid w:val="00E95AFD"/>
    <w:rsid w:val="00E95DCF"/>
    <w:rsid w:val="00EA004D"/>
    <w:rsid w:val="00EA03DB"/>
    <w:rsid w:val="00EA1067"/>
    <w:rsid w:val="00EA1E6B"/>
    <w:rsid w:val="00EA22EC"/>
    <w:rsid w:val="00EA2AE8"/>
    <w:rsid w:val="00EA3F31"/>
    <w:rsid w:val="00EA58D6"/>
    <w:rsid w:val="00EA65A3"/>
    <w:rsid w:val="00EB0564"/>
    <w:rsid w:val="00EB07E2"/>
    <w:rsid w:val="00EB13DC"/>
    <w:rsid w:val="00EB2064"/>
    <w:rsid w:val="00EB2281"/>
    <w:rsid w:val="00EB2BB5"/>
    <w:rsid w:val="00EB5255"/>
    <w:rsid w:val="00EB5C47"/>
    <w:rsid w:val="00EB7753"/>
    <w:rsid w:val="00EB7B7B"/>
    <w:rsid w:val="00EB7EFA"/>
    <w:rsid w:val="00EC051F"/>
    <w:rsid w:val="00EC0AC6"/>
    <w:rsid w:val="00EC102C"/>
    <w:rsid w:val="00EC3D0C"/>
    <w:rsid w:val="00EC4469"/>
    <w:rsid w:val="00EC4ABC"/>
    <w:rsid w:val="00EC5FA9"/>
    <w:rsid w:val="00EC60F8"/>
    <w:rsid w:val="00EC76B5"/>
    <w:rsid w:val="00EC7CA4"/>
    <w:rsid w:val="00ED04B6"/>
    <w:rsid w:val="00ED0639"/>
    <w:rsid w:val="00ED117A"/>
    <w:rsid w:val="00ED3833"/>
    <w:rsid w:val="00ED3FE1"/>
    <w:rsid w:val="00ED6C03"/>
    <w:rsid w:val="00EE027D"/>
    <w:rsid w:val="00EE228A"/>
    <w:rsid w:val="00EE310C"/>
    <w:rsid w:val="00EE397B"/>
    <w:rsid w:val="00EE3F71"/>
    <w:rsid w:val="00EE5EA5"/>
    <w:rsid w:val="00EE6298"/>
    <w:rsid w:val="00EE7C82"/>
    <w:rsid w:val="00EF0D2B"/>
    <w:rsid w:val="00EF11D1"/>
    <w:rsid w:val="00EF1AAB"/>
    <w:rsid w:val="00EF4755"/>
    <w:rsid w:val="00EF490C"/>
    <w:rsid w:val="00EF50C3"/>
    <w:rsid w:val="00EF5249"/>
    <w:rsid w:val="00EF7135"/>
    <w:rsid w:val="00F00096"/>
    <w:rsid w:val="00F000FE"/>
    <w:rsid w:val="00F002DB"/>
    <w:rsid w:val="00F00748"/>
    <w:rsid w:val="00F01DF7"/>
    <w:rsid w:val="00F0219C"/>
    <w:rsid w:val="00F027DB"/>
    <w:rsid w:val="00F032FF"/>
    <w:rsid w:val="00F04AA8"/>
    <w:rsid w:val="00F05930"/>
    <w:rsid w:val="00F06DE8"/>
    <w:rsid w:val="00F0766F"/>
    <w:rsid w:val="00F0770B"/>
    <w:rsid w:val="00F10F85"/>
    <w:rsid w:val="00F1123B"/>
    <w:rsid w:val="00F1176E"/>
    <w:rsid w:val="00F128F9"/>
    <w:rsid w:val="00F1297E"/>
    <w:rsid w:val="00F12CF5"/>
    <w:rsid w:val="00F1327E"/>
    <w:rsid w:val="00F14A7A"/>
    <w:rsid w:val="00F15C8E"/>
    <w:rsid w:val="00F163A8"/>
    <w:rsid w:val="00F16DD6"/>
    <w:rsid w:val="00F213EC"/>
    <w:rsid w:val="00F22985"/>
    <w:rsid w:val="00F229A0"/>
    <w:rsid w:val="00F22C24"/>
    <w:rsid w:val="00F2690C"/>
    <w:rsid w:val="00F26C00"/>
    <w:rsid w:val="00F27CF9"/>
    <w:rsid w:val="00F3049E"/>
    <w:rsid w:val="00F30E9D"/>
    <w:rsid w:val="00F332F8"/>
    <w:rsid w:val="00F3383E"/>
    <w:rsid w:val="00F33945"/>
    <w:rsid w:val="00F33CAC"/>
    <w:rsid w:val="00F35471"/>
    <w:rsid w:val="00F365BD"/>
    <w:rsid w:val="00F40BED"/>
    <w:rsid w:val="00F4212C"/>
    <w:rsid w:val="00F42B1D"/>
    <w:rsid w:val="00F43B5E"/>
    <w:rsid w:val="00F43DC5"/>
    <w:rsid w:val="00F43F8C"/>
    <w:rsid w:val="00F44381"/>
    <w:rsid w:val="00F44910"/>
    <w:rsid w:val="00F44EAD"/>
    <w:rsid w:val="00F454CC"/>
    <w:rsid w:val="00F465A7"/>
    <w:rsid w:val="00F466E7"/>
    <w:rsid w:val="00F46809"/>
    <w:rsid w:val="00F46DE4"/>
    <w:rsid w:val="00F50B7C"/>
    <w:rsid w:val="00F543BB"/>
    <w:rsid w:val="00F550E6"/>
    <w:rsid w:val="00F56F4F"/>
    <w:rsid w:val="00F6157B"/>
    <w:rsid w:val="00F63CFC"/>
    <w:rsid w:val="00F63DF6"/>
    <w:rsid w:val="00F660C4"/>
    <w:rsid w:val="00F675D0"/>
    <w:rsid w:val="00F74345"/>
    <w:rsid w:val="00F76B5E"/>
    <w:rsid w:val="00F7754B"/>
    <w:rsid w:val="00F80A0A"/>
    <w:rsid w:val="00F82B19"/>
    <w:rsid w:val="00F85595"/>
    <w:rsid w:val="00F856BE"/>
    <w:rsid w:val="00F866FF"/>
    <w:rsid w:val="00F873EE"/>
    <w:rsid w:val="00F874E2"/>
    <w:rsid w:val="00F914B0"/>
    <w:rsid w:val="00F9212D"/>
    <w:rsid w:val="00F92189"/>
    <w:rsid w:val="00F92D32"/>
    <w:rsid w:val="00F93BD0"/>
    <w:rsid w:val="00F945DE"/>
    <w:rsid w:val="00F95415"/>
    <w:rsid w:val="00F956EF"/>
    <w:rsid w:val="00F965DA"/>
    <w:rsid w:val="00F96647"/>
    <w:rsid w:val="00FA01EB"/>
    <w:rsid w:val="00FA0A02"/>
    <w:rsid w:val="00FA346B"/>
    <w:rsid w:val="00FA35B6"/>
    <w:rsid w:val="00FA3931"/>
    <w:rsid w:val="00FA406A"/>
    <w:rsid w:val="00FA4911"/>
    <w:rsid w:val="00FA5C4D"/>
    <w:rsid w:val="00FA6C01"/>
    <w:rsid w:val="00FA7DCE"/>
    <w:rsid w:val="00FB0CAE"/>
    <w:rsid w:val="00FB1F21"/>
    <w:rsid w:val="00FB25C3"/>
    <w:rsid w:val="00FB503A"/>
    <w:rsid w:val="00FB516C"/>
    <w:rsid w:val="00FB71BB"/>
    <w:rsid w:val="00FC0B55"/>
    <w:rsid w:val="00FC4313"/>
    <w:rsid w:val="00FC513E"/>
    <w:rsid w:val="00FC6179"/>
    <w:rsid w:val="00FC63F7"/>
    <w:rsid w:val="00FC695A"/>
    <w:rsid w:val="00FC72D8"/>
    <w:rsid w:val="00FC7523"/>
    <w:rsid w:val="00FD0236"/>
    <w:rsid w:val="00FD0C65"/>
    <w:rsid w:val="00FD15F0"/>
    <w:rsid w:val="00FD18F4"/>
    <w:rsid w:val="00FD2A5D"/>
    <w:rsid w:val="00FD5394"/>
    <w:rsid w:val="00FD54DB"/>
    <w:rsid w:val="00FD5AE9"/>
    <w:rsid w:val="00FD619F"/>
    <w:rsid w:val="00FD6FD9"/>
    <w:rsid w:val="00FD79BB"/>
    <w:rsid w:val="00FD7A84"/>
    <w:rsid w:val="00FE0A6E"/>
    <w:rsid w:val="00FE0E95"/>
    <w:rsid w:val="00FE23D0"/>
    <w:rsid w:val="00FE2D1A"/>
    <w:rsid w:val="00FE3E73"/>
    <w:rsid w:val="00FE55F1"/>
    <w:rsid w:val="00FE629B"/>
    <w:rsid w:val="00FF0E84"/>
    <w:rsid w:val="00FF0F47"/>
    <w:rsid w:val="00FF10CB"/>
    <w:rsid w:val="00FF1A2B"/>
    <w:rsid w:val="00FF2E05"/>
    <w:rsid w:val="00FF3A26"/>
    <w:rsid w:val="00FF3BD7"/>
    <w:rsid w:val="00FF4FDE"/>
    <w:rsid w:val="00FF544E"/>
    <w:rsid w:val="01260E98"/>
    <w:rsid w:val="01282E62"/>
    <w:rsid w:val="01290F7E"/>
    <w:rsid w:val="015D1E09"/>
    <w:rsid w:val="017C4B89"/>
    <w:rsid w:val="01C77847"/>
    <w:rsid w:val="01E07299"/>
    <w:rsid w:val="01EC20E2"/>
    <w:rsid w:val="02533F0F"/>
    <w:rsid w:val="02555ED9"/>
    <w:rsid w:val="02697903"/>
    <w:rsid w:val="02897931"/>
    <w:rsid w:val="02CB524D"/>
    <w:rsid w:val="02D47569"/>
    <w:rsid w:val="02F96569"/>
    <w:rsid w:val="035E0DBD"/>
    <w:rsid w:val="03667C72"/>
    <w:rsid w:val="03B44709"/>
    <w:rsid w:val="03E247E6"/>
    <w:rsid w:val="03EA7B21"/>
    <w:rsid w:val="043D7BD0"/>
    <w:rsid w:val="04B3768F"/>
    <w:rsid w:val="04C42C52"/>
    <w:rsid w:val="04CA4554"/>
    <w:rsid w:val="04D550AF"/>
    <w:rsid w:val="04F76B4B"/>
    <w:rsid w:val="050977E4"/>
    <w:rsid w:val="055661F0"/>
    <w:rsid w:val="05614B95"/>
    <w:rsid w:val="0563173E"/>
    <w:rsid w:val="056A7E97"/>
    <w:rsid w:val="056D7096"/>
    <w:rsid w:val="057523EE"/>
    <w:rsid w:val="057C377D"/>
    <w:rsid w:val="057D4399"/>
    <w:rsid w:val="05C375FE"/>
    <w:rsid w:val="05E7509A"/>
    <w:rsid w:val="05F83EAE"/>
    <w:rsid w:val="063D115E"/>
    <w:rsid w:val="063E7D85"/>
    <w:rsid w:val="065A1D10"/>
    <w:rsid w:val="067A4160"/>
    <w:rsid w:val="06C70A28"/>
    <w:rsid w:val="07293586"/>
    <w:rsid w:val="07295285"/>
    <w:rsid w:val="07457FE4"/>
    <w:rsid w:val="07636392"/>
    <w:rsid w:val="07770C56"/>
    <w:rsid w:val="078B36A6"/>
    <w:rsid w:val="078D1C71"/>
    <w:rsid w:val="07B45450"/>
    <w:rsid w:val="08137711"/>
    <w:rsid w:val="081859DF"/>
    <w:rsid w:val="09090CB0"/>
    <w:rsid w:val="090C3F9D"/>
    <w:rsid w:val="09185295"/>
    <w:rsid w:val="092217DD"/>
    <w:rsid w:val="093A7294"/>
    <w:rsid w:val="099948FD"/>
    <w:rsid w:val="09C37BCC"/>
    <w:rsid w:val="09DB517D"/>
    <w:rsid w:val="09E92255"/>
    <w:rsid w:val="0A263993"/>
    <w:rsid w:val="0A2D3AC2"/>
    <w:rsid w:val="0A9727D7"/>
    <w:rsid w:val="0AA755DF"/>
    <w:rsid w:val="0AC260D6"/>
    <w:rsid w:val="0B120D44"/>
    <w:rsid w:val="0B120DE0"/>
    <w:rsid w:val="0B2428ED"/>
    <w:rsid w:val="0B3A6827"/>
    <w:rsid w:val="0B845139"/>
    <w:rsid w:val="0BD27BF6"/>
    <w:rsid w:val="0C193513"/>
    <w:rsid w:val="0C1E10EA"/>
    <w:rsid w:val="0C2801BA"/>
    <w:rsid w:val="0C3B3C7D"/>
    <w:rsid w:val="0CAB2EAE"/>
    <w:rsid w:val="0CBA6D99"/>
    <w:rsid w:val="0D2070E4"/>
    <w:rsid w:val="0D621C7D"/>
    <w:rsid w:val="0DBF10E5"/>
    <w:rsid w:val="0DC857B1"/>
    <w:rsid w:val="0DCD2DC7"/>
    <w:rsid w:val="0E141215"/>
    <w:rsid w:val="0E15651D"/>
    <w:rsid w:val="0E39045D"/>
    <w:rsid w:val="0E73034D"/>
    <w:rsid w:val="0E8F1582"/>
    <w:rsid w:val="0EBC4BEA"/>
    <w:rsid w:val="0F0F11BE"/>
    <w:rsid w:val="0F13775A"/>
    <w:rsid w:val="0F312AB7"/>
    <w:rsid w:val="0F5F45FE"/>
    <w:rsid w:val="0F7A009E"/>
    <w:rsid w:val="0F9A112B"/>
    <w:rsid w:val="0FA31104"/>
    <w:rsid w:val="0FF37357"/>
    <w:rsid w:val="10133429"/>
    <w:rsid w:val="10496992"/>
    <w:rsid w:val="106D2F64"/>
    <w:rsid w:val="10B464C1"/>
    <w:rsid w:val="10B63710"/>
    <w:rsid w:val="10E87305"/>
    <w:rsid w:val="10F10820"/>
    <w:rsid w:val="110F1949"/>
    <w:rsid w:val="111C2F7A"/>
    <w:rsid w:val="11665CA1"/>
    <w:rsid w:val="118934A9"/>
    <w:rsid w:val="119368FA"/>
    <w:rsid w:val="11AC7198"/>
    <w:rsid w:val="12282CC2"/>
    <w:rsid w:val="127A1044"/>
    <w:rsid w:val="128176B1"/>
    <w:rsid w:val="130C25E4"/>
    <w:rsid w:val="131A543E"/>
    <w:rsid w:val="13556AB7"/>
    <w:rsid w:val="135F0966"/>
    <w:rsid w:val="13951726"/>
    <w:rsid w:val="13A6345A"/>
    <w:rsid w:val="13DF1AA7"/>
    <w:rsid w:val="142474B9"/>
    <w:rsid w:val="14314BB6"/>
    <w:rsid w:val="14396509"/>
    <w:rsid w:val="147E306D"/>
    <w:rsid w:val="14850423"/>
    <w:rsid w:val="14885175"/>
    <w:rsid w:val="14CC0A63"/>
    <w:rsid w:val="14DD2C3C"/>
    <w:rsid w:val="151373ED"/>
    <w:rsid w:val="152D05F0"/>
    <w:rsid w:val="154C6CC8"/>
    <w:rsid w:val="158F4E06"/>
    <w:rsid w:val="15972F6F"/>
    <w:rsid w:val="159D5775"/>
    <w:rsid w:val="15DA2525"/>
    <w:rsid w:val="15E72E94"/>
    <w:rsid w:val="16087E1D"/>
    <w:rsid w:val="1618304E"/>
    <w:rsid w:val="163A3633"/>
    <w:rsid w:val="163D2AB4"/>
    <w:rsid w:val="16585488"/>
    <w:rsid w:val="16934032"/>
    <w:rsid w:val="16B40FC8"/>
    <w:rsid w:val="17471E3D"/>
    <w:rsid w:val="17701D14"/>
    <w:rsid w:val="17735226"/>
    <w:rsid w:val="177A784B"/>
    <w:rsid w:val="1794631B"/>
    <w:rsid w:val="18230643"/>
    <w:rsid w:val="189F624C"/>
    <w:rsid w:val="18AE610D"/>
    <w:rsid w:val="18DA3E9B"/>
    <w:rsid w:val="192D5062"/>
    <w:rsid w:val="199B44E8"/>
    <w:rsid w:val="19AC431F"/>
    <w:rsid w:val="19FA25FA"/>
    <w:rsid w:val="19FA26CA"/>
    <w:rsid w:val="1A1C66C0"/>
    <w:rsid w:val="1A42393B"/>
    <w:rsid w:val="1A453700"/>
    <w:rsid w:val="1A5736C7"/>
    <w:rsid w:val="1A5F2FF9"/>
    <w:rsid w:val="1A606D71"/>
    <w:rsid w:val="1AAD45DE"/>
    <w:rsid w:val="1AB37893"/>
    <w:rsid w:val="1B046F80"/>
    <w:rsid w:val="1B300E3A"/>
    <w:rsid w:val="1B3267B5"/>
    <w:rsid w:val="1B40161D"/>
    <w:rsid w:val="1B441859"/>
    <w:rsid w:val="1B6606B1"/>
    <w:rsid w:val="1B7F5028"/>
    <w:rsid w:val="1B8151F1"/>
    <w:rsid w:val="1BC3546D"/>
    <w:rsid w:val="1BDD0093"/>
    <w:rsid w:val="1BF84707"/>
    <w:rsid w:val="1BFC1F01"/>
    <w:rsid w:val="1C1B5646"/>
    <w:rsid w:val="1C5E7925"/>
    <w:rsid w:val="1CA060CF"/>
    <w:rsid w:val="1CB30B00"/>
    <w:rsid w:val="1CD13B74"/>
    <w:rsid w:val="1CE43C8A"/>
    <w:rsid w:val="1CEF77DE"/>
    <w:rsid w:val="1CFD070F"/>
    <w:rsid w:val="1D067F4E"/>
    <w:rsid w:val="1D2B3667"/>
    <w:rsid w:val="1D53696B"/>
    <w:rsid w:val="1D5F6196"/>
    <w:rsid w:val="1D6132A5"/>
    <w:rsid w:val="1D8E56D5"/>
    <w:rsid w:val="1DA33B45"/>
    <w:rsid w:val="1DC87548"/>
    <w:rsid w:val="1DEF4CF6"/>
    <w:rsid w:val="1DF66BD7"/>
    <w:rsid w:val="1E25337B"/>
    <w:rsid w:val="1E296894"/>
    <w:rsid w:val="1E3A2FF7"/>
    <w:rsid w:val="1E7958F0"/>
    <w:rsid w:val="1E7A43DA"/>
    <w:rsid w:val="1ED44E73"/>
    <w:rsid w:val="1F0829B6"/>
    <w:rsid w:val="1F325ABD"/>
    <w:rsid w:val="1F686DF4"/>
    <w:rsid w:val="1F79628E"/>
    <w:rsid w:val="1FA54333"/>
    <w:rsid w:val="1FB636BA"/>
    <w:rsid w:val="1FC53D40"/>
    <w:rsid w:val="1FE7539E"/>
    <w:rsid w:val="200263D9"/>
    <w:rsid w:val="20315438"/>
    <w:rsid w:val="204B037B"/>
    <w:rsid w:val="20542ED4"/>
    <w:rsid w:val="20671BE0"/>
    <w:rsid w:val="206C01CF"/>
    <w:rsid w:val="20963CB8"/>
    <w:rsid w:val="20A81A1B"/>
    <w:rsid w:val="20B07FB6"/>
    <w:rsid w:val="20B646FB"/>
    <w:rsid w:val="20FD356C"/>
    <w:rsid w:val="213B74B1"/>
    <w:rsid w:val="214018E1"/>
    <w:rsid w:val="21554EC4"/>
    <w:rsid w:val="215A2310"/>
    <w:rsid w:val="217618AE"/>
    <w:rsid w:val="21A34113"/>
    <w:rsid w:val="21BB7723"/>
    <w:rsid w:val="21DE318A"/>
    <w:rsid w:val="21EF5B80"/>
    <w:rsid w:val="21F11323"/>
    <w:rsid w:val="221E186F"/>
    <w:rsid w:val="22284619"/>
    <w:rsid w:val="22576990"/>
    <w:rsid w:val="22621C30"/>
    <w:rsid w:val="22995516"/>
    <w:rsid w:val="22E6352E"/>
    <w:rsid w:val="22F17100"/>
    <w:rsid w:val="22F47480"/>
    <w:rsid w:val="23357EA2"/>
    <w:rsid w:val="233C481F"/>
    <w:rsid w:val="23767606"/>
    <w:rsid w:val="23831481"/>
    <w:rsid w:val="23DE1C48"/>
    <w:rsid w:val="23EF6F43"/>
    <w:rsid w:val="23F97D54"/>
    <w:rsid w:val="24015121"/>
    <w:rsid w:val="240210CD"/>
    <w:rsid w:val="24156E1F"/>
    <w:rsid w:val="249027DD"/>
    <w:rsid w:val="249D12EE"/>
    <w:rsid w:val="24A501A2"/>
    <w:rsid w:val="24BF09F7"/>
    <w:rsid w:val="24E22490"/>
    <w:rsid w:val="250807D4"/>
    <w:rsid w:val="252D53FE"/>
    <w:rsid w:val="255466A8"/>
    <w:rsid w:val="25627E42"/>
    <w:rsid w:val="259D2C06"/>
    <w:rsid w:val="25A22934"/>
    <w:rsid w:val="25B807DF"/>
    <w:rsid w:val="25EC2D81"/>
    <w:rsid w:val="25FA6C2D"/>
    <w:rsid w:val="260158AC"/>
    <w:rsid w:val="261A696E"/>
    <w:rsid w:val="263A0DBE"/>
    <w:rsid w:val="263C68E5"/>
    <w:rsid w:val="26595877"/>
    <w:rsid w:val="27075D66"/>
    <w:rsid w:val="27082C6B"/>
    <w:rsid w:val="271D0E37"/>
    <w:rsid w:val="27224A9B"/>
    <w:rsid w:val="277057A2"/>
    <w:rsid w:val="27840543"/>
    <w:rsid w:val="279462AC"/>
    <w:rsid w:val="27A83832"/>
    <w:rsid w:val="27B70919"/>
    <w:rsid w:val="27C43035"/>
    <w:rsid w:val="27CB4D62"/>
    <w:rsid w:val="28302479"/>
    <w:rsid w:val="28955579"/>
    <w:rsid w:val="28CA467C"/>
    <w:rsid w:val="28E15521"/>
    <w:rsid w:val="2903193C"/>
    <w:rsid w:val="29206EB8"/>
    <w:rsid w:val="292858E3"/>
    <w:rsid w:val="294855A0"/>
    <w:rsid w:val="29595666"/>
    <w:rsid w:val="295B512F"/>
    <w:rsid w:val="29874881"/>
    <w:rsid w:val="29BE01BF"/>
    <w:rsid w:val="29E23D99"/>
    <w:rsid w:val="29E325E0"/>
    <w:rsid w:val="2A110088"/>
    <w:rsid w:val="2A222295"/>
    <w:rsid w:val="2A3D2C2B"/>
    <w:rsid w:val="2A452503"/>
    <w:rsid w:val="2A865621"/>
    <w:rsid w:val="2AA52469"/>
    <w:rsid w:val="2BA936A8"/>
    <w:rsid w:val="2C026D4E"/>
    <w:rsid w:val="2C1B0D4A"/>
    <w:rsid w:val="2C315A5A"/>
    <w:rsid w:val="2C4B1C25"/>
    <w:rsid w:val="2C9076D3"/>
    <w:rsid w:val="2CB63A29"/>
    <w:rsid w:val="2D1E4F96"/>
    <w:rsid w:val="2D204432"/>
    <w:rsid w:val="2D524C40"/>
    <w:rsid w:val="2D9E56F5"/>
    <w:rsid w:val="2DB420F5"/>
    <w:rsid w:val="2DB651CE"/>
    <w:rsid w:val="2DE42786"/>
    <w:rsid w:val="2E652751"/>
    <w:rsid w:val="2E667F96"/>
    <w:rsid w:val="2E8226AB"/>
    <w:rsid w:val="2EC256F3"/>
    <w:rsid w:val="2EE94BE6"/>
    <w:rsid w:val="2FD065E6"/>
    <w:rsid w:val="2FD96870"/>
    <w:rsid w:val="30032221"/>
    <w:rsid w:val="300C7328"/>
    <w:rsid w:val="30580BC9"/>
    <w:rsid w:val="30914263"/>
    <w:rsid w:val="309C68FD"/>
    <w:rsid w:val="30C419B0"/>
    <w:rsid w:val="30FF50DE"/>
    <w:rsid w:val="311E2ED7"/>
    <w:rsid w:val="315619EE"/>
    <w:rsid w:val="315C449C"/>
    <w:rsid w:val="31A36078"/>
    <w:rsid w:val="31B82709"/>
    <w:rsid w:val="31CB6D6E"/>
    <w:rsid w:val="31D05482"/>
    <w:rsid w:val="31EE25E6"/>
    <w:rsid w:val="31FB190E"/>
    <w:rsid w:val="32151C5B"/>
    <w:rsid w:val="32222E32"/>
    <w:rsid w:val="32400B34"/>
    <w:rsid w:val="3241002E"/>
    <w:rsid w:val="32780CA4"/>
    <w:rsid w:val="328947D0"/>
    <w:rsid w:val="32981347"/>
    <w:rsid w:val="329E6876"/>
    <w:rsid w:val="32C45C82"/>
    <w:rsid w:val="32D93BB9"/>
    <w:rsid w:val="32FD676A"/>
    <w:rsid w:val="32FE5CE1"/>
    <w:rsid w:val="330E33B7"/>
    <w:rsid w:val="333015F2"/>
    <w:rsid w:val="33323549"/>
    <w:rsid w:val="334B6320"/>
    <w:rsid w:val="338C3EE8"/>
    <w:rsid w:val="339508F3"/>
    <w:rsid w:val="33D934D4"/>
    <w:rsid w:val="33DA5E92"/>
    <w:rsid w:val="33FE2F6A"/>
    <w:rsid w:val="340E07E5"/>
    <w:rsid w:val="34235BF7"/>
    <w:rsid w:val="34B61F58"/>
    <w:rsid w:val="35196976"/>
    <w:rsid w:val="35483C32"/>
    <w:rsid w:val="358C5FA8"/>
    <w:rsid w:val="358D4A67"/>
    <w:rsid w:val="35A65B28"/>
    <w:rsid w:val="35C15DF1"/>
    <w:rsid w:val="36074A7F"/>
    <w:rsid w:val="36176A26"/>
    <w:rsid w:val="362F3D70"/>
    <w:rsid w:val="36634F01"/>
    <w:rsid w:val="36733C31"/>
    <w:rsid w:val="36923549"/>
    <w:rsid w:val="36B75FBF"/>
    <w:rsid w:val="36BD0C45"/>
    <w:rsid w:val="37070849"/>
    <w:rsid w:val="370C40B1"/>
    <w:rsid w:val="379B527C"/>
    <w:rsid w:val="37C10B2A"/>
    <w:rsid w:val="37E00298"/>
    <w:rsid w:val="38251072"/>
    <w:rsid w:val="383B4C4E"/>
    <w:rsid w:val="38B302F9"/>
    <w:rsid w:val="38E46D2F"/>
    <w:rsid w:val="38F12CD3"/>
    <w:rsid w:val="38F94775"/>
    <w:rsid w:val="392971ED"/>
    <w:rsid w:val="39316051"/>
    <w:rsid w:val="39325651"/>
    <w:rsid w:val="395F6772"/>
    <w:rsid w:val="39812B12"/>
    <w:rsid w:val="39E329CE"/>
    <w:rsid w:val="3A267238"/>
    <w:rsid w:val="3A325BDD"/>
    <w:rsid w:val="3A872856"/>
    <w:rsid w:val="3A8B419B"/>
    <w:rsid w:val="3AB31FC8"/>
    <w:rsid w:val="3B1E43B3"/>
    <w:rsid w:val="3B29048F"/>
    <w:rsid w:val="3B2978A0"/>
    <w:rsid w:val="3B3763D1"/>
    <w:rsid w:val="3BB920CF"/>
    <w:rsid w:val="3BE86E9B"/>
    <w:rsid w:val="3C2A7D8E"/>
    <w:rsid w:val="3C2D0D52"/>
    <w:rsid w:val="3C2F6E1E"/>
    <w:rsid w:val="3C3C7B42"/>
    <w:rsid w:val="3C3F2833"/>
    <w:rsid w:val="3C4F64BA"/>
    <w:rsid w:val="3C681D8A"/>
    <w:rsid w:val="3CC4042E"/>
    <w:rsid w:val="3CDA245A"/>
    <w:rsid w:val="3D16330B"/>
    <w:rsid w:val="3D1E06B7"/>
    <w:rsid w:val="3D2757A1"/>
    <w:rsid w:val="3DAC3EF8"/>
    <w:rsid w:val="3DB731C7"/>
    <w:rsid w:val="3DB82D12"/>
    <w:rsid w:val="3DD44EB2"/>
    <w:rsid w:val="3E012496"/>
    <w:rsid w:val="3EDA0523"/>
    <w:rsid w:val="3EDC5717"/>
    <w:rsid w:val="3EDE6333"/>
    <w:rsid w:val="3EF773F5"/>
    <w:rsid w:val="3EFB6EE5"/>
    <w:rsid w:val="3F057D64"/>
    <w:rsid w:val="3FBB4943"/>
    <w:rsid w:val="3FD37E62"/>
    <w:rsid w:val="400C0C7E"/>
    <w:rsid w:val="400E49F6"/>
    <w:rsid w:val="400F154F"/>
    <w:rsid w:val="40104C12"/>
    <w:rsid w:val="406436A8"/>
    <w:rsid w:val="407A6407"/>
    <w:rsid w:val="40BA2E99"/>
    <w:rsid w:val="40D16958"/>
    <w:rsid w:val="411C75E7"/>
    <w:rsid w:val="41302497"/>
    <w:rsid w:val="41501112"/>
    <w:rsid w:val="4168282C"/>
    <w:rsid w:val="41C95FF2"/>
    <w:rsid w:val="41DC56FE"/>
    <w:rsid w:val="41E80CAB"/>
    <w:rsid w:val="4200449D"/>
    <w:rsid w:val="42082973"/>
    <w:rsid w:val="42154762"/>
    <w:rsid w:val="42246753"/>
    <w:rsid w:val="42297D80"/>
    <w:rsid w:val="423A3BCC"/>
    <w:rsid w:val="424E57D2"/>
    <w:rsid w:val="42B26C49"/>
    <w:rsid w:val="42E67EAC"/>
    <w:rsid w:val="433A6FE6"/>
    <w:rsid w:val="433D79C1"/>
    <w:rsid w:val="43480868"/>
    <w:rsid w:val="4350713C"/>
    <w:rsid w:val="43615785"/>
    <w:rsid w:val="436653E0"/>
    <w:rsid w:val="43C4431A"/>
    <w:rsid w:val="43D321DE"/>
    <w:rsid w:val="43D63A7D"/>
    <w:rsid w:val="44070A5C"/>
    <w:rsid w:val="44093E52"/>
    <w:rsid w:val="44953195"/>
    <w:rsid w:val="44B02622"/>
    <w:rsid w:val="44B951CC"/>
    <w:rsid w:val="44CD14E0"/>
    <w:rsid w:val="44F20B0B"/>
    <w:rsid w:val="44FF5255"/>
    <w:rsid w:val="4522453A"/>
    <w:rsid w:val="45244CBC"/>
    <w:rsid w:val="452A22D2"/>
    <w:rsid w:val="452E5F4C"/>
    <w:rsid w:val="45612018"/>
    <w:rsid w:val="45763698"/>
    <w:rsid w:val="458946E9"/>
    <w:rsid w:val="45A47C0E"/>
    <w:rsid w:val="462D194E"/>
    <w:rsid w:val="46577FD6"/>
    <w:rsid w:val="46651743"/>
    <w:rsid w:val="468E65EC"/>
    <w:rsid w:val="46D955A7"/>
    <w:rsid w:val="46DB13AA"/>
    <w:rsid w:val="46EC14DA"/>
    <w:rsid w:val="46F56910"/>
    <w:rsid w:val="47133957"/>
    <w:rsid w:val="47185450"/>
    <w:rsid w:val="473016F6"/>
    <w:rsid w:val="47425635"/>
    <w:rsid w:val="4766336A"/>
    <w:rsid w:val="47A07E0C"/>
    <w:rsid w:val="47D5752E"/>
    <w:rsid w:val="47FF5AB7"/>
    <w:rsid w:val="48166B3E"/>
    <w:rsid w:val="482341D9"/>
    <w:rsid w:val="48363C4F"/>
    <w:rsid w:val="48531B40"/>
    <w:rsid w:val="48645AFB"/>
    <w:rsid w:val="4870272E"/>
    <w:rsid w:val="487205A8"/>
    <w:rsid w:val="48965ED0"/>
    <w:rsid w:val="48C4659A"/>
    <w:rsid w:val="48E1539E"/>
    <w:rsid w:val="49627B61"/>
    <w:rsid w:val="4970227E"/>
    <w:rsid w:val="49861AA1"/>
    <w:rsid w:val="498F5898"/>
    <w:rsid w:val="49900B72"/>
    <w:rsid w:val="49DC7715"/>
    <w:rsid w:val="4A023139"/>
    <w:rsid w:val="4A7B576F"/>
    <w:rsid w:val="4A7F75FC"/>
    <w:rsid w:val="4AC602A2"/>
    <w:rsid w:val="4AEF3676"/>
    <w:rsid w:val="4AF561A9"/>
    <w:rsid w:val="4B9138A1"/>
    <w:rsid w:val="4BB46D99"/>
    <w:rsid w:val="4BC62629"/>
    <w:rsid w:val="4BF058F8"/>
    <w:rsid w:val="4C1C11C2"/>
    <w:rsid w:val="4C39104D"/>
    <w:rsid w:val="4C4A0649"/>
    <w:rsid w:val="4C577725"/>
    <w:rsid w:val="4C625025"/>
    <w:rsid w:val="4C7E5ECA"/>
    <w:rsid w:val="4C876AA5"/>
    <w:rsid w:val="4CA961D2"/>
    <w:rsid w:val="4D0E00FB"/>
    <w:rsid w:val="4D176606"/>
    <w:rsid w:val="4D4356A8"/>
    <w:rsid w:val="4DA370C6"/>
    <w:rsid w:val="4DEC4FB0"/>
    <w:rsid w:val="4E0602E6"/>
    <w:rsid w:val="4E075D8A"/>
    <w:rsid w:val="4E0E1E5B"/>
    <w:rsid w:val="4E920EE8"/>
    <w:rsid w:val="4EA0438E"/>
    <w:rsid w:val="4EC00FAD"/>
    <w:rsid w:val="4F0F42E7"/>
    <w:rsid w:val="4F477F24"/>
    <w:rsid w:val="4F6C2219"/>
    <w:rsid w:val="4F7A3F06"/>
    <w:rsid w:val="4F893F63"/>
    <w:rsid w:val="4F936CC6"/>
    <w:rsid w:val="4F9843DC"/>
    <w:rsid w:val="4FC62A8C"/>
    <w:rsid w:val="4FDF1AAB"/>
    <w:rsid w:val="4FE20F0D"/>
    <w:rsid w:val="4FE51552"/>
    <w:rsid w:val="501F29C3"/>
    <w:rsid w:val="502A762A"/>
    <w:rsid w:val="503A1069"/>
    <w:rsid w:val="50504C4B"/>
    <w:rsid w:val="506B19F1"/>
    <w:rsid w:val="508360D1"/>
    <w:rsid w:val="509C6E7C"/>
    <w:rsid w:val="50D33D6A"/>
    <w:rsid w:val="50F058E6"/>
    <w:rsid w:val="51123BBF"/>
    <w:rsid w:val="5162104E"/>
    <w:rsid w:val="517211B3"/>
    <w:rsid w:val="51830CD7"/>
    <w:rsid w:val="51911803"/>
    <w:rsid w:val="52081BED"/>
    <w:rsid w:val="527918F9"/>
    <w:rsid w:val="5280307A"/>
    <w:rsid w:val="528F7C18"/>
    <w:rsid w:val="52FC36BA"/>
    <w:rsid w:val="53084BA2"/>
    <w:rsid w:val="53231A60"/>
    <w:rsid w:val="53373E0C"/>
    <w:rsid w:val="533E2FD6"/>
    <w:rsid w:val="536D49D5"/>
    <w:rsid w:val="538F0F31"/>
    <w:rsid w:val="53A039CC"/>
    <w:rsid w:val="53A1505A"/>
    <w:rsid w:val="53B611D5"/>
    <w:rsid w:val="53F046E7"/>
    <w:rsid w:val="53FF2B7C"/>
    <w:rsid w:val="54063E08"/>
    <w:rsid w:val="541D2CE1"/>
    <w:rsid w:val="54216F96"/>
    <w:rsid w:val="543437E8"/>
    <w:rsid w:val="5435659E"/>
    <w:rsid w:val="54877909"/>
    <w:rsid w:val="54996B2C"/>
    <w:rsid w:val="54F73313"/>
    <w:rsid w:val="54F80955"/>
    <w:rsid w:val="555170A7"/>
    <w:rsid w:val="5587536D"/>
    <w:rsid w:val="559B174B"/>
    <w:rsid w:val="55CE0CF4"/>
    <w:rsid w:val="55D02A22"/>
    <w:rsid w:val="562E610E"/>
    <w:rsid w:val="567033B0"/>
    <w:rsid w:val="568E01E7"/>
    <w:rsid w:val="56B22A9C"/>
    <w:rsid w:val="56BD287A"/>
    <w:rsid w:val="56D21BBE"/>
    <w:rsid w:val="57014E5D"/>
    <w:rsid w:val="5714693E"/>
    <w:rsid w:val="57415BE5"/>
    <w:rsid w:val="57882E88"/>
    <w:rsid w:val="57A44166"/>
    <w:rsid w:val="57B63E99"/>
    <w:rsid w:val="57B72A76"/>
    <w:rsid w:val="57C3426C"/>
    <w:rsid w:val="57CE1F93"/>
    <w:rsid w:val="5866426D"/>
    <w:rsid w:val="588743D1"/>
    <w:rsid w:val="5887701A"/>
    <w:rsid w:val="588E0972"/>
    <w:rsid w:val="58CC1E71"/>
    <w:rsid w:val="58F5454D"/>
    <w:rsid w:val="58FE78A6"/>
    <w:rsid w:val="592D018B"/>
    <w:rsid w:val="593257A1"/>
    <w:rsid w:val="59407EBE"/>
    <w:rsid w:val="59526FF3"/>
    <w:rsid w:val="59C02DAD"/>
    <w:rsid w:val="59C0439F"/>
    <w:rsid w:val="59D423B5"/>
    <w:rsid w:val="59DD6816"/>
    <w:rsid w:val="5A064899"/>
    <w:rsid w:val="5A1F5392"/>
    <w:rsid w:val="5A6D5336"/>
    <w:rsid w:val="5ABA15AB"/>
    <w:rsid w:val="5ABE2233"/>
    <w:rsid w:val="5ACB7C5C"/>
    <w:rsid w:val="5B6065F6"/>
    <w:rsid w:val="5B7777CF"/>
    <w:rsid w:val="5B866020"/>
    <w:rsid w:val="5B8A2121"/>
    <w:rsid w:val="5BA261E3"/>
    <w:rsid w:val="5BC00E43"/>
    <w:rsid w:val="5BDD3365"/>
    <w:rsid w:val="5BDF5D95"/>
    <w:rsid w:val="5BFE7528"/>
    <w:rsid w:val="5C2C0286"/>
    <w:rsid w:val="5C425CFC"/>
    <w:rsid w:val="5C872126"/>
    <w:rsid w:val="5CDC1CAC"/>
    <w:rsid w:val="5CDC7EFE"/>
    <w:rsid w:val="5CFA65D6"/>
    <w:rsid w:val="5D1D1C4B"/>
    <w:rsid w:val="5D33585B"/>
    <w:rsid w:val="5D4A1E7A"/>
    <w:rsid w:val="5D6137FD"/>
    <w:rsid w:val="5DA12EF6"/>
    <w:rsid w:val="5DBC0C51"/>
    <w:rsid w:val="5DC50992"/>
    <w:rsid w:val="5E2467F1"/>
    <w:rsid w:val="5E251431"/>
    <w:rsid w:val="5E916AC6"/>
    <w:rsid w:val="5EC310F3"/>
    <w:rsid w:val="5EEB6A18"/>
    <w:rsid w:val="5EFA0B0F"/>
    <w:rsid w:val="5F0454EA"/>
    <w:rsid w:val="5F1A2B43"/>
    <w:rsid w:val="5F8D3732"/>
    <w:rsid w:val="5FB837BB"/>
    <w:rsid w:val="5FD70179"/>
    <w:rsid w:val="5FFF5CB2"/>
    <w:rsid w:val="605B738C"/>
    <w:rsid w:val="60CC405A"/>
    <w:rsid w:val="60D31618"/>
    <w:rsid w:val="60EA6AF2"/>
    <w:rsid w:val="60F90EF3"/>
    <w:rsid w:val="617C1CB0"/>
    <w:rsid w:val="6180703E"/>
    <w:rsid w:val="6181461F"/>
    <w:rsid w:val="618F4373"/>
    <w:rsid w:val="61D96045"/>
    <w:rsid w:val="61E215D8"/>
    <w:rsid w:val="621B3775"/>
    <w:rsid w:val="62364782"/>
    <w:rsid w:val="62997A44"/>
    <w:rsid w:val="629D3C8C"/>
    <w:rsid w:val="6394356A"/>
    <w:rsid w:val="63C61B2C"/>
    <w:rsid w:val="63D40BE9"/>
    <w:rsid w:val="64102431"/>
    <w:rsid w:val="641A130C"/>
    <w:rsid w:val="646D1D84"/>
    <w:rsid w:val="64A5243A"/>
    <w:rsid w:val="64A6317A"/>
    <w:rsid w:val="64B74DAD"/>
    <w:rsid w:val="64EA656E"/>
    <w:rsid w:val="64F34037"/>
    <w:rsid w:val="64F531DE"/>
    <w:rsid w:val="65373578"/>
    <w:rsid w:val="65715970"/>
    <w:rsid w:val="6579124B"/>
    <w:rsid w:val="658B0713"/>
    <w:rsid w:val="659C46CE"/>
    <w:rsid w:val="65A74E21"/>
    <w:rsid w:val="65E9543A"/>
    <w:rsid w:val="66271926"/>
    <w:rsid w:val="66377F53"/>
    <w:rsid w:val="665723A3"/>
    <w:rsid w:val="66805D9E"/>
    <w:rsid w:val="66B912B0"/>
    <w:rsid w:val="67000C8D"/>
    <w:rsid w:val="671F124A"/>
    <w:rsid w:val="67226E55"/>
    <w:rsid w:val="67256946"/>
    <w:rsid w:val="677A33C6"/>
    <w:rsid w:val="67A80D61"/>
    <w:rsid w:val="681F6961"/>
    <w:rsid w:val="68420E31"/>
    <w:rsid w:val="68610A2F"/>
    <w:rsid w:val="687A681D"/>
    <w:rsid w:val="68805514"/>
    <w:rsid w:val="689B6598"/>
    <w:rsid w:val="68ED3493"/>
    <w:rsid w:val="690E4711"/>
    <w:rsid w:val="692A0243"/>
    <w:rsid w:val="69316E2F"/>
    <w:rsid w:val="693D7F76"/>
    <w:rsid w:val="694E2071"/>
    <w:rsid w:val="696439C2"/>
    <w:rsid w:val="696F5C56"/>
    <w:rsid w:val="69766163"/>
    <w:rsid w:val="697A3B33"/>
    <w:rsid w:val="699D5F1A"/>
    <w:rsid w:val="69CE0BCF"/>
    <w:rsid w:val="69CF1092"/>
    <w:rsid w:val="69D44760"/>
    <w:rsid w:val="6A507098"/>
    <w:rsid w:val="6A520EC7"/>
    <w:rsid w:val="6AC00E5F"/>
    <w:rsid w:val="6AC975E8"/>
    <w:rsid w:val="6AF87E20"/>
    <w:rsid w:val="6B322639"/>
    <w:rsid w:val="6B7D1181"/>
    <w:rsid w:val="6BCE135A"/>
    <w:rsid w:val="6BF07707"/>
    <w:rsid w:val="6C233DE9"/>
    <w:rsid w:val="6C636C38"/>
    <w:rsid w:val="6CA976D1"/>
    <w:rsid w:val="6CD429A0"/>
    <w:rsid w:val="6CD76FA1"/>
    <w:rsid w:val="6CEC014D"/>
    <w:rsid w:val="6D451275"/>
    <w:rsid w:val="6D9B7B4A"/>
    <w:rsid w:val="6DB34098"/>
    <w:rsid w:val="6DB545B6"/>
    <w:rsid w:val="6DE02FB4"/>
    <w:rsid w:val="6DEB029D"/>
    <w:rsid w:val="6E494CC8"/>
    <w:rsid w:val="6E514CED"/>
    <w:rsid w:val="6E5E04E6"/>
    <w:rsid w:val="6E7B66B2"/>
    <w:rsid w:val="6E9564D6"/>
    <w:rsid w:val="6EB563D5"/>
    <w:rsid w:val="6ED50C51"/>
    <w:rsid w:val="6ED92677"/>
    <w:rsid w:val="6F225983"/>
    <w:rsid w:val="6F765F90"/>
    <w:rsid w:val="6F8306AD"/>
    <w:rsid w:val="6F8F007E"/>
    <w:rsid w:val="6F9401C4"/>
    <w:rsid w:val="6FF44335"/>
    <w:rsid w:val="6FFC5590"/>
    <w:rsid w:val="702754DC"/>
    <w:rsid w:val="703650F3"/>
    <w:rsid w:val="7040034C"/>
    <w:rsid w:val="706B361B"/>
    <w:rsid w:val="706D1DD0"/>
    <w:rsid w:val="70856B87"/>
    <w:rsid w:val="708E4B83"/>
    <w:rsid w:val="70D527EE"/>
    <w:rsid w:val="70D77780"/>
    <w:rsid w:val="715B5300"/>
    <w:rsid w:val="71AD1A11"/>
    <w:rsid w:val="71D27F8A"/>
    <w:rsid w:val="72553024"/>
    <w:rsid w:val="726427B0"/>
    <w:rsid w:val="72A526E9"/>
    <w:rsid w:val="72B0768C"/>
    <w:rsid w:val="72B74068"/>
    <w:rsid w:val="72DB610A"/>
    <w:rsid w:val="72E203CC"/>
    <w:rsid w:val="72F80CB1"/>
    <w:rsid w:val="7304433C"/>
    <w:rsid w:val="73122968"/>
    <w:rsid w:val="73161BA9"/>
    <w:rsid w:val="731F5D5E"/>
    <w:rsid w:val="7329156C"/>
    <w:rsid w:val="733E6120"/>
    <w:rsid w:val="736E6F7E"/>
    <w:rsid w:val="73C51AD5"/>
    <w:rsid w:val="740022CC"/>
    <w:rsid w:val="740D0D2A"/>
    <w:rsid w:val="741E793C"/>
    <w:rsid w:val="74253AE1"/>
    <w:rsid w:val="743D52CE"/>
    <w:rsid w:val="745E3944"/>
    <w:rsid w:val="74DC4AE7"/>
    <w:rsid w:val="75036E13"/>
    <w:rsid w:val="750776DA"/>
    <w:rsid w:val="752D0621"/>
    <w:rsid w:val="75874327"/>
    <w:rsid w:val="75E048FB"/>
    <w:rsid w:val="762A658F"/>
    <w:rsid w:val="763224E5"/>
    <w:rsid w:val="7635099D"/>
    <w:rsid w:val="766C59F7"/>
    <w:rsid w:val="769211D6"/>
    <w:rsid w:val="773329B9"/>
    <w:rsid w:val="774E77F3"/>
    <w:rsid w:val="77762421"/>
    <w:rsid w:val="779E3147"/>
    <w:rsid w:val="77B56B1F"/>
    <w:rsid w:val="77F850E2"/>
    <w:rsid w:val="78016A77"/>
    <w:rsid w:val="780F09F4"/>
    <w:rsid w:val="785726D7"/>
    <w:rsid w:val="785B5D23"/>
    <w:rsid w:val="787943FB"/>
    <w:rsid w:val="788863D8"/>
    <w:rsid w:val="78A90480"/>
    <w:rsid w:val="78AC2A23"/>
    <w:rsid w:val="78B611AB"/>
    <w:rsid w:val="78DB6E64"/>
    <w:rsid w:val="794C1E13"/>
    <w:rsid w:val="7951722A"/>
    <w:rsid w:val="79955265"/>
    <w:rsid w:val="7A1E16FE"/>
    <w:rsid w:val="7A364017"/>
    <w:rsid w:val="7A731CDF"/>
    <w:rsid w:val="7A7B08FF"/>
    <w:rsid w:val="7A7C01D3"/>
    <w:rsid w:val="7A8265E1"/>
    <w:rsid w:val="7AD27133"/>
    <w:rsid w:val="7B562674"/>
    <w:rsid w:val="7B686D42"/>
    <w:rsid w:val="7B7A6E08"/>
    <w:rsid w:val="7B841746"/>
    <w:rsid w:val="7B9E72AA"/>
    <w:rsid w:val="7BBA1D25"/>
    <w:rsid w:val="7C3F7621"/>
    <w:rsid w:val="7C476A0F"/>
    <w:rsid w:val="7C585020"/>
    <w:rsid w:val="7C59210A"/>
    <w:rsid w:val="7C6C5AC7"/>
    <w:rsid w:val="7C8156CF"/>
    <w:rsid w:val="7CAD0B17"/>
    <w:rsid w:val="7CC6544B"/>
    <w:rsid w:val="7CFD1A9F"/>
    <w:rsid w:val="7D0239FF"/>
    <w:rsid w:val="7D036989"/>
    <w:rsid w:val="7D256900"/>
    <w:rsid w:val="7D5E40CD"/>
    <w:rsid w:val="7DBC1390"/>
    <w:rsid w:val="7DCD56F2"/>
    <w:rsid w:val="7DE40569"/>
    <w:rsid w:val="7E4C753C"/>
    <w:rsid w:val="7E851D4C"/>
    <w:rsid w:val="7E971A7F"/>
    <w:rsid w:val="7EAF0B77"/>
    <w:rsid w:val="7ED910FB"/>
    <w:rsid w:val="7F001CE7"/>
    <w:rsid w:val="7F930498"/>
    <w:rsid w:val="7FD14B1D"/>
    <w:rsid w:val="7FE47E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doNotEmbedSmartTag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nhideWhenUsed="0" w:uiPriority="9" w:semiHidden="0" w:name="heading 2" w:locked="1"/>
    <w:lsdException w:qFormat="1" w:unhideWhenUsed="0" w:uiPriority="9" w:semiHidden="0" w:name="heading 3" w:locked="1"/>
    <w:lsdException w:qFormat="1" w:unhideWhenUsed="0" w:uiPriority="9" w:semiHidden="0" w:name="heading 4" w:locked="1"/>
    <w:lsdException w:qFormat="1" w:unhideWhenUsed="0" w:uiPriority="0" w:semiHidden="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qFormat="1" w:unhideWhenUsed="0" w:uiPriority="0" w:semiHidden="0" w:name="index 1" w:locked="1"/>
    <w:lsdException w:unhideWhenUsed="0" w:uiPriority="0" w:semiHidden="0" w:name="index 2" w:locked="1"/>
    <w:lsdException w:unhideWhenUsed="0" w:uiPriority="0" w:semiHidden="0" w:name="index 3" w:locked="1"/>
    <w:lsdException w:unhideWhenUsed="0" w:uiPriority="0" w:semiHidden="0" w:name="index 4" w:locked="1"/>
    <w:lsdException w:unhideWhenUsed="0" w:uiPriority="0" w:semiHidden="0" w:name="index 5" w:locked="1"/>
    <w:lsdException w:unhideWhenUsed="0" w:uiPriority="0" w:semiHidden="0" w:name="index 6" w:locked="1"/>
    <w:lsdException w:unhideWhenUsed="0" w:uiPriority="0" w:semiHidden="0" w:name="index 7" w:locked="1"/>
    <w:lsdException w:unhideWhenUsed="0" w:uiPriority="0" w:semiHidden="0" w:name="index 8" w:locked="1"/>
    <w:lsdException w:unhideWhenUsed="0" w:uiPriority="0" w:semiHidden="0" w:name="index 9" w:locked="1"/>
    <w:lsdException w:qFormat="1" w:uiPriority="39" w:semiHidden="0" w:name="toc 1" w:locked="1"/>
    <w:lsdException w:qFormat="1" w:unhideWhenUsed="0" w:uiPriority="0" w:semiHidden="0" w:name="toc 2" w:locked="1"/>
    <w:lsdException w:qFormat="1" w:unhideWhenUsed="0" w:uiPriority="0" w:semiHidden="0" w:name="toc 3" w:locked="1"/>
    <w:lsdException w:qFormat="1" w:unhideWhenUsed="0" w:uiPriority="0" w:semiHidden="0" w:name="toc 4" w:locked="1"/>
    <w:lsdException w:qFormat="1" w:unhideWhenUsed="0" w:uiPriority="0" w:semiHidden="0" w:name="toc 5" w:locked="1"/>
    <w:lsdException w:qFormat="1" w:unhideWhenUsed="0" w:uiPriority="0" w:semiHidden="0" w:name="toc 6" w:locked="1"/>
    <w:lsdException w:qFormat="1" w:unhideWhenUsed="0" w:uiPriority="0" w:semiHidden="0" w:name="toc 7" w:locked="1"/>
    <w:lsdException w:qFormat="1" w:unhideWhenUsed="0" w:uiPriority="0" w:semiHidden="0" w:name="toc 8" w:locked="1"/>
    <w:lsdException w:qFormat="1" w:unhideWhenUsed="0" w:uiPriority="0" w:semiHidden="0" w:name="toc 9" w:locked="1"/>
    <w:lsdException w:qFormat="1" w:unhideWhenUsed="0" w:uiPriority="0" w:semiHidden="0" w:name="Normal Indent" w:locked="1"/>
    <w:lsdException w:qFormat="1" w:unhideWhenUsed="0" w:uiPriority="0" w:semiHidden="0" w:name="footnote text" w:locked="1"/>
    <w:lsdException w:qFormat="1" w:unhideWhenUsed="0" w:uiPriority="99" w:semiHidden="0" w:name="annotation text"/>
    <w:lsdException w:qFormat="1" w:unhideWhenUsed="0" w:uiPriority="99" w:semiHidden="0" w:name="header"/>
    <w:lsdException w:qFormat="1" w:unhideWhenUsed="0" w:uiPriority="99" w:semiHidden="0" w:name="footer"/>
    <w:lsdException w:unhideWhenUsed="0" w:uiPriority="0" w:semiHidden="0" w:name="index heading" w:locked="1"/>
    <w:lsdException w:qFormat="1" w:unhideWhenUsed="0" w:uiPriority="0" w:semiHidden="0" w:name="caption" w:locked="1"/>
    <w:lsdException w:qFormat="1" w:unhideWhenUsed="0" w:uiPriority="0" w:semiHidden="0" w:name="table of figures" w:locked="1"/>
    <w:lsdException w:unhideWhenUsed="0" w:uiPriority="0" w:semiHidden="0" w:name="envelope address" w:locked="1"/>
    <w:lsdException w:unhideWhenUsed="0" w:uiPriority="0" w:semiHidden="0" w:name="envelope return" w:locked="1"/>
    <w:lsdException w:qFormat="1" w:unhideWhenUsed="0" w:uiPriority="0" w:semiHidden="0" w:name="footnote reference" w:locked="1"/>
    <w:lsdException w:qFormat="1" w:unhideWhenUsed="0" w:uiPriority="99" w:semiHidden="0" w:name="annotation reference"/>
    <w:lsdException w:unhideWhenUsed="0" w:uiPriority="0" w:semiHidden="0" w:name="line number" w:locked="1"/>
    <w:lsdException w:qFormat="1" w:unhideWhenUsed="0" w:uiPriority="0" w:semiHidden="0" w:name="page number" w:locked="1"/>
    <w:lsdException w:unhideWhenUsed="0" w:uiPriority="0" w:semiHidden="0" w:name="endnote reference" w:locked="1"/>
    <w:lsdException w:unhideWhenUsed="0" w:uiPriority="0" w:semiHidden="0" w:name="endnote text" w:locked="1"/>
    <w:lsdException w:unhideWhenUsed="0" w:uiPriority="0" w:semiHidden="0" w:name="table of authorities" w:locked="1"/>
    <w:lsdException w:unhideWhenUsed="0" w:uiPriority="0" w:semiHidden="0" w:name="macro" w:locked="1"/>
    <w:lsdException w:unhideWhenUsed="0" w:uiPriority="0" w:semiHidden="0" w:name="toa heading" w:locked="1"/>
    <w:lsdException w:qFormat="1" w:unhideWhenUsed="0" w:uiPriority="0" w:semiHidden="0" w:name="List" w:locked="1"/>
    <w:lsdException w:unhideWhenUsed="0" w:uiPriority="0" w:semiHidden="0" w:name="List Bullet" w:locked="1"/>
    <w:lsdException w:unhideWhenUsed="0" w:uiPriority="0" w:semiHidden="0" w:name="List Number" w:locked="1"/>
    <w:lsdException w:unhideWhenUsed="0" w:uiPriority="0" w:semiHidden="0" w:name="List 2" w:locked="1"/>
    <w:lsdException w:qFormat="1" w:unhideWhenUsed="0" w:uiPriority="0" w:semiHidden="0" w:name="List 3" w:locked="1"/>
    <w:lsdException w:unhideWhenUsed="0" w:uiPriority="0" w:semiHidden="0" w:name="List 4" w:locked="1"/>
    <w:lsdException w:unhideWhenUsed="0" w:uiPriority="0" w:semiHidden="0" w:name="List 5" w:locked="1"/>
    <w:lsdException w:unhideWhenUsed="0" w:uiPriority="0" w:semiHidden="0" w:name="List Bullet 2" w:locked="1"/>
    <w:lsdException w:unhideWhenUsed="0" w:uiPriority="0" w:semiHidden="0" w:name="List Bullet 3" w:locked="1"/>
    <w:lsdException w:unhideWhenUsed="0" w:uiPriority="0" w:semiHidden="0" w:name="List Bullet 4" w:locked="1"/>
    <w:lsdException w:qFormat="1" w:unhideWhenUsed="0" w:uiPriority="0" w:semiHidden="0" w:name="List Bullet 5" w:locked="1"/>
    <w:lsdException w:unhideWhenUsed="0" w:uiPriority="0" w:semiHidden="0" w:name="List Number 2" w:locked="1"/>
    <w:lsdException w:unhideWhenUsed="0" w:uiPriority="0" w:semiHidden="0" w:name="List Number 3" w:locked="1"/>
    <w:lsdException w:unhideWhenUsed="0" w:uiPriority="0" w:semiHidden="0" w:name="List Number 4" w:locked="1"/>
    <w:lsdException w:unhideWhenUsed="0" w:uiPriority="0" w:semiHidden="0" w:name="List Number 5" w:locked="1"/>
    <w:lsdException w:qFormat="1" w:unhideWhenUsed="0" w:uiPriority="0" w:semiHidden="0" w:name="Title" w:locked="1"/>
    <w:lsdException w:unhideWhenUsed="0" w:uiPriority="0" w:semiHidden="0" w:name="Closing" w:locked="1"/>
    <w:lsdException w:unhideWhenUsed="0" w:uiPriority="0" w:semiHidden="0" w:name="Signature" w:locked="1"/>
    <w:lsdException w:qFormat="1" w:uiPriority="1" w:semiHidden="0" w:name="Default Paragraph Font"/>
    <w:lsdException w:qFormat="1" w:unhideWhenUsed="0" w:uiPriority="99" w:semiHidden="0" w:name="Body Text"/>
    <w:lsdException w:qFormat="1" w:unhideWhenUsed="0" w:uiPriority="0" w:semiHidden="0" w:name="Body Text Indent"/>
    <w:lsdException w:unhideWhenUsed="0" w:uiPriority="0" w:semiHidden="0" w:name="List Continue" w:locked="1"/>
    <w:lsdException w:unhideWhenUsed="0" w:uiPriority="0" w:semiHidden="0" w:name="List Continue 2" w:locked="1"/>
    <w:lsdException w:unhideWhenUsed="0" w:uiPriority="0" w:semiHidden="0" w:name="List Continue 3" w:locked="1"/>
    <w:lsdException w:unhideWhenUsed="0" w:uiPriority="0" w:semiHidden="0" w:name="List Continue 4" w:locked="1"/>
    <w:lsdException w:unhideWhenUsed="0" w:uiPriority="0" w:semiHidden="0" w:name="List Continue 5" w:locked="1"/>
    <w:lsdException w:unhideWhenUsed="0" w:uiPriority="0" w:semiHidden="0" w:name="Message Header" w:locked="1"/>
    <w:lsdException w:qFormat="1" w:unhideWhenUsed="0" w:uiPriority="0" w:semiHidden="0" w:name="Subtitle" w:locked="1"/>
    <w:lsdException w:unhideWhenUsed="0" w:uiPriority="0" w:semiHidden="0" w:name="Salutation" w:locked="1"/>
    <w:lsdException w:qFormat="1" w:unhideWhenUsed="0" w:uiPriority="0" w:semiHidden="0" w:name="Date"/>
    <w:lsdException w:qFormat="1" w:unhideWhenUsed="0" w:uiPriority="0" w:semiHidden="0" w:name="Body Text First Indent" w:locked="1"/>
    <w:lsdException w:qFormat="1" w:uiPriority="99" w:semiHidden="0" w:name="Body Text First Indent 2" w:locked="1"/>
    <w:lsdException w:qFormat="1" w:unhideWhenUsed="0" w:uiPriority="0" w:semiHidden="0" w:name="Note Heading" w:locked="1"/>
    <w:lsdException w:qFormat="1" w:unhideWhenUsed="0" w:uiPriority="0" w:semiHidden="0" w:name="Body Text 2" w:locked="1"/>
    <w:lsdException w:qFormat="1" w:unhideWhenUsed="0" w:uiPriority="0" w:semiHidden="0" w:name="Body Text 3" w:locked="1"/>
    <w:lsdException w:qFormat="1" w:unhideWhenUsed="0" w:uiPriority="0" w:semiHidden="0" w:name="Body Text Indent 2" w:locked="1"/>
    <w:lsdException w:qFormat="1" w:unhideWhenUsed="0" w:uiPriority="0" w:semiHidden="0" w:name="Body Text Indent 3" w:locked="1"/>
    <w:lsdException w:unhideWhenUsed="0" w:uiPriority="0" w:semiHidden="0" w:name="Block Text" w:locked="1"/>
    <w:lsdException w:qFormat="1" w:unhideWhenUsed="0" w:uiPriority="99" w:semiHidden="0" w:name="Hyperlink" w:locked="1"/>
    <w:lsdException w:qFormat="1" w:unhideWhenUsed="0" w:uiPriority="0" w:semiHidden="0" w:name="FollowedHyperlink" w:locked="1"/>
    <w:lsdException w:qFormat="1" w:unhideWhenUsed="0" w:uiPriority="22" w:semiHidden="0" w:name="Strong" w:locked="1"/>
    <w:lsdException w:qFormat="1" w:unhideWhenUsed="0" w:uiPriority="20" w:semiHidden="0" w:name="Emphasis" w:locked="1"/>
    <w:lsdException w:qFormat="1" w:unhideWhenUsed="0" w:uiPriority="0" w:semiHidden="0" w:name="Document Map" w:locked="1"/>
    <w:lsdException w:qFormat="1" w:unhideWhenUsed="0" w:uiPriority="0" w:semiHidden="0" w:name="Plain Text" w:locked="1"/>
    <w:lsdException w:unhideWhenUsed="0" w:uiPriority="0" w:semiHidden="0" w:name="E-mail Signature" w:locked="1"/>
    <w:lsdException w:qFormat="1" w:unhideWhenUsed="0" w:uiPriority="99" w:semiHidden="0" w:name="Normal (Web)"/>
    <w:lsdException w:unhideWhenUsed="0" w:uiPriority="0" w:semiHidden="0" w:name="HTML Acronym" w:locked="1"/>
    <w:lsdException w:unhideWhenUsed="0" w:uiPriority="0" w:semiHidden="0" w:name="HTML Address" w:locked="1"/>
    <w:lsdException w:unhideWhenUsed="0" w:uiPriority="0" w:semiHidden="0" w:name="HTML Cite" w:locked="1"/>
    <w:lsdException w:qFormat="1" w:unhideWhenUsed="0" w:uiPriority="0" w:semiHidden="0" w:name="HTML Code" w:locked="1"/>
    <w:lsdException w:unhideWhenUsed="0" w:uiPriority="0" w:semiHidden="0" w:name="HTML Definition" w:locked="1"/>
    <w:lsdException w:unhideWhenUsed="0" w:uiPriority="0" w:semiHidden="0" w:name="HTML Keyboard" w:locked="1"/>
    <w:lsdException w:qFormat="1" w:uiPriority="99" w:semiHidden="0" w:name="HTML Preformatted" w:locked="1"/>
    <w:lsdException w:unhideWhenUsed="0" w:uiPriority="0" w:semiHidden="0" w:name="HTML Sample" w:locked="1"/>
    <w:lsdException w:unhideWhenUsed="0" w:uiPriority="0" w:semiHidden="0" w:name="HTML Typewriter" w:locked="1"/>
    <w:lsdException w:unhideWhenUsed="0" w:uiPriority="0" w:semiHidden="0" w:name="HTML Variable" w:locked="1"/>
    <w:lsdException w:qFormat="1" w:uiPriority="99" w:name="Normal Table"/>
    <w:lsdException w:qFormat="1" w:unhideWhenUsed="0" w:uiPriority="99" w:semiHidden="0" w:name="annotation subject"/>
    <w:lsdException w:uiPriority="0" w:name="Table Simple 1" w:locked="1"/>
    <w:lsdException w:uiPriority="0" w:name="Table Simple 2" w:locked="1"/>
    <w:lsdException w:uiPriority="0" w:name="Table Simple 3" w:locked="1"/>
    <w:lsdException w:uiPriority="0" w:name="Table Classic 1" w:locked="1"/>
    <w:lsdException w:uiPriority="0" w:name="Table Classic 2" w:locked="1"/>
    <w:lsdException w:uiPriority="0" w:name="Table Classic 3" w:locked="1"/>
    <w:lsdException w:uiPriority="0" w:name="Table Classic 4" w:locked="1"/>
    <w:lsdException w:uiPriority="0" w:name="Table Colorful 1" w:locked="1"/>
    <w:lsdException w:uiPriority="0" w:name="Table Colorful 2" w:locked="1"/>
    <w:lsdException w:uiPriority="0" w:name="Table Colorful 3" w:locked="1"/>
    <w:lsdException w:uiPriority="0" w:name="Table Columns 1" w:locked="1"/>
    <w:lsdException w:uiPriority="0" w:name="Table Columns 2" w:locked="1"/>
    <w:lsdException w:uiPriority="0" w:name="Table Columns 3" w:locked="1"/>
    <w:lsdException w:uiPriority="0" w:name="Table Columns 4" w:locked="1"/>
    <w:lsdException w:uiPriority="0" w:name="Table Columns 5" w:locked="1"/>
    <w:lsdException w:uiPriority="0" w:name="Table Grid 1" w:locked="1"/>
    <w:lsdException w:uiPriority="0" w:name="Table Grid 2" w:locked="1"/>
    <w:lsdException w:uiPriority="0" w:name="Table Grid 3" w:locked="1"/>
    <w:lsdException w:uiPriority="0" w:name="Table Grid 4" w:locked="1"/>
    <w:lsdException w:uiPriority="0" w:name="Table Grid 5" w:locked="1"/>
    <w:lsdException w:uiPriority="0" w:name="Table Grid 6" w:locked="1"/>
    <w:lsdException w:uiPriority="0" w:name="Table Grid 7" w:locked="1"/>
    <w:lsdException w:uiPriority="0" w:name="Table Grid 8" w:locked="1"/>
    <w:lsdException w:uiPriority="0" w:name="Table List 1" w:locked="1"/>
    <w:lsdException w:uiPriority="0" w:name="Table List 2" w:locked="1"/>
    <w:lsdException w:uiPriority="0" w:name="Table List 3" w:locked="1"/>
    <w:lsdException w:uiPriority="0" w:name="Table List 4" w:locked="1"/>
    <w:lsdException w:uiPriority="0" w:name="Table List 5" w:locked="1"/>
    <w:lsdException w:uiPriority="0" w:name="Table List 6" w:locked="1"/>
    <w:lsdException w:uiPriority="0" w:name="Table List 7" w:locked="1"/>
    <w:lsdException w:uiPriority="0" w:name="Table List 8" w:locked="1"/>
    <w:lsdException w:uiPriority="0" w:name="Table 3D effects 1" w:locked="1"/>
    <w:lsdException w:uiPriority="0" w:name="Table 3D effects 2" w:locked="1"/>
    <w:lsdException w:uiPriority="0" w:name="Table 3D effects 3" w:locked="1"/>
    <w:lsdException w:uiPriority="0" w:name="Table Contemporary" w:locked="1"/>
    <w:lsdException w:uiPriority="0" w:name="Table Elegant" w:locked="1"/>
    <w:lsdException w:uiPriority="0" w:name="Table Professional" w:locked="1"/>
    <w:lsdException w:uiPriority="0" w:name="Table Subtle 1" w:locked="1"/>
    <w:lsdException w:uiPriority="0" w:name="Table Subtle 2" w:locked="1"/>
    <w:lsdException w:uiPriority="0" w:name="Table Web 1" w:locked="1"/>
    <w:lsdException w:uiPriority="0" w:name="Table Web 2" w:locked="1"/>
    <w:lsdException w:uiPriority="0" w:name="Table Web 3" w:locked="1"/>
    <w:lsdException w:qFormat="1" w:unhideWhenUsed="0" w:uiPriority="99" w:semiHidden="0" w:name="Balloon Text"/>
    <w:lsdException w:qFormat="1" w:unhideWhenUsed="0" w:uiPriority="0" w:semiHidden="0" w:name="Table Grid"/>
    <w:lsdException w:uiPriority="0"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link w:val="60"/>
    <w:qFormat/>
    <w:locked/>
    <w:uiPriority w:val="0"/>
    <w:pPr>
      <w:keepNext/>
      <w:overflowPunct w:val="0"/>
      <w:snapToGrid w:val="0"/>
      <w:spacing w:before="120" w:after="160" w:line="259" w:lineRule="auto"/>
      <w:ind w:left="432" w:hanging="432"/>
      <w:outlineLvl w:val="0"/>
    </w:pPr>
    <w:rPr>
      <w:rFonts w:eastAsia="黑体"/>
      <w:b/>
      <w:bCs/>
      <w:color w:val="000000"/>
      <w:kern w:val="44"/>
      <w:sz w:val="30"/>
      <w:szCs w:val="30"/>
    </w:rPr>
  </w:style>
  <w:style w:type="paragraph" w:styleId="5">
    <w:name w:val="heading 2"/>
    <w:basedOn w:val="1"/>
    <w:next w:val="1"/>
    <w:link w:val="61"/>
    <w:qFormat/>
    <w:locked/>
    <w:uiPriority w:val="9"/>
    <w:pPr>
      <w:keepNext/>
      <w:keepLines/>
      <w:adjustRightInd w:val="0"/>
      <w:spacing w:line="360" w:lineRule="auto"/>
      <w:textAlignment w:val="baseline"/>
      <w:outlineLvl w:val="1"/>
    </w:pPr>
    <w:rPr>
      <w:rFonts w:ascii="Arial" w:hAnsi="Arial" w:eastAsia="黑体"/>
      <w:b/>
      <w:kern w:val="0"/>
      <w:sz w:val="24"/>
      <w:szCs w:val="20"/>
    </w:rPr>
  </w:style>
  <w:style w:type="paragraph" w:styleId="6">
    <w:name w:val="heading 3"/>
    <w:basedOn w:val="1"/>
    <w:next w:val="1"/>
    <w:link w:val="62"/>
    <w:qFormat/>
    <w:locked/>
    <w:uiPriority w:val="9"/>
    <w:pPr>
      <w:keepNext/>
      <w:autoSpaceDE w:val="0"/>
      <w:autoSpaceDN w:val="0"/>
      <w:adjustRightInd w:val="0"/>
      <w:snapToGrid w:val="0"/>
      <w:spacing w:before="120" w:after="120" w:line="360" w:lineRule="auto"/>
      <w:jc w:val="left"/>
      <w:textAlignment w:val="baseline"/>
      <w:outlineLvl w:val="2"/>
    </w:pPr>
    <w:rPr>
      <w:rFonts w:ascii="宋体"/>
      <w:spacing w:val="4"/>
      <w:kern w:val="0"/>
      <w:sz w:val="24"/>
      <w:szCs w:val="20"/>
    </w:rPr>
  </w:style>
  <w:style w:type="paragraph" w:styleId="7">
    <w:name w:val="heading 4"/>
    <w:basedOn w:val="1"/>
    <w:next w:val="1"/>
    <w:link w:val="63"/>
    <w:qFormat/>
    <w:locked/>
    <w:uiPriority w:val="9"/>
    <w:pPr>
      <w:keepNext/>
      <w:jc w:val="center"/>
      <w:outlineLvl w:val="3"/>
    </w:pPr>
    <w:rPr>
      <w:rFonts w:ascii="仿宋_GB2312" w:hAnsi="宋体" w:eastAsia="仿宋_GB2312"/>
      <w:b/>
      <w:w w:val="90"/>
      <w:sz w:val="24"/>
      <w:szCs w:val="20"/>
    </w:rPr>
  </w:style>
  <w:style w:type="paragraph" w:styleId="8">
    <w:name w:val="heading 5"/>
    <w:basedOn w:val="1"/>
    <w:next w:val="1"/>
    <w:link w:val="64"/>
    <w:qFormat/>
    <w:locked/>
    <w:uiPriority w:val="0"/>
    <w:pPr>
      <w:keepNext/>
      <w:spacing w:line="360" w:lineRule="auto"/>
      <w:ind w:firstLine="480"/>
      <w:outlineLvl w:val="4"/>
    </w:pPr>
    <w:rPr>
      <w:rFonts w:ascii="宋体" w:hAnsi="宋体"/>
      <w:b/>
      <w:sz w:val="24"/>
      <w:szCs w:val="20"/>
    </w:rPr>
  </w:style>
  <w:style w:type="character" w:default="1" w:styleId="47">
    <w:name w:val="Default Paragraph Font"/>
    <w:unhideWhenUsed/>
    <w:qFormat/>
    <w:uiPriority w:val="1"/>
  </w:style>
  <w:style w:type="table" w:default="1" w:styleId="45">
    <w:name w:val="Normal Table"/>
    <w:semiHidden/>
    <w:unhideWhenUsed/>
    <w:qFormat/>
    <w:uiPriority w:val="99"/>
    <w:tblPr>
      <w:tblCellMar>
        <w:top w:w="0" w:type="dxa"/>
        <w:left w:w="108" w:type="dxa"/>
        <w:bottom w:w="0" w:type="dxa"/>
        <w:right w:w="108" w:type="dxa"/>
      </w:tblCellMar>
    </w:tblPr>
  </w:style>
  <w:style w:type="paragraph" w:customStyle="1" w:styleId="2">
    <w:name w:val="Default1"/>
    <w:basedOn w:val="3"/>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3">
    <w:name w:val="List"/>
    <w:basedOn w:val="1"/>
    <w:qFormat/>
    <w:locked/>
    <w:uiPriority w:val="0"/>
    <w:pPr>
      <w:adjustRightInd w:val="0"/>
      <w:spacing w:line="360" w:lineRule="auto"/>
      <w:ind w:firstLine="576" w:firstLineChars="200"/>
      <w:jc w:val="center"/>
    </w:pPr>
    <w:rPr>
      <w:rFonts w:ascii="仿宋_GB2312" w:eastAsia="仿宋_GB2312"/>
      <w:spacing w:val="4"/>
      <w:kern w:val="18"/>
      <w:sz w:val="28"/>
      <w:szCs w:val="21"/>
    </w:rPr>
  </w:style>
  <w:style w:type="paragraph" w:styleId="9">
    <w:name w:val="List 3"/>
    <w:basedOn w:val="1"/>
    <w:qFormat/>
    <w:locked/>
    <w:uiPriority w:val="0"/>
    <w:pPr>
      <w:ind w:left="100" w:leftChars="400" w:hanging="200" w:hangingChars="200"/>
      <w:contextualSpacing/>
    </w:pPr>
  </w:style>
  <w:style w:type="paragraph" w:styleId="10">
    <w:name w:val="toc 7"/>
    <w:basedOn w:val="1"/>
    <w:next w:val="1"/>
    <w:qFormat/>
    <w:locked/>
    <w:uiPriority w:val="0"/>
    <w:pPr>
      <w:spacing w:line="360" w:lineRule="auto"/>
      <w:ind w:left="1440"/>
      <w:jc w:val="left"/>
    </w:pPr>
    <w:rPr>
      <w:sz w:val="18"/>
      <w:szCs w:val="18"/>
    </w:rPr>
  </w:style>
  <w:style w:type="paragraph" w:styleId="11">
    <w:name w:val="Note Heading"/>
    <w:basedOn w:val="1"/>
    <w:next w:val="1"/>
    <w:link w:val="65"/>
    <w:qFormat/>
    <w:locked/>
    <w:uiPriority w:val="0"/>
    <w:pPr>
      <w:spacing w:line="360" w:lineRule="auto"/>
      <w:jc w:val="center"/>
    </w:pPr>
    <w:rPr>
      <w:rFonts w:ascii="宋体" w:hAnsi="宋体"/>
      <w:sz w:val="28"/>
      <w:szCs w:val="20"/>
    </w:rPr>
  </w:style>
  <w:style w:type="paragraph" w:styleId="12">
    <w:name w:val="Normal Indent"/>
    <w:basedOn w:val="1"/>
    <w:link w:val="66"/>
    <w:qFormat/>
    <w:locked/>
    <w:uiPriority w:val="0"/>
    <w:pPr>
      <w:adjustRightInd w:val="0"/>
      <w:spacing w:line="312" w:lineRule="atLeast"/>
      <w:ind w:firstLine="420" w:firstLineChars="200"/>
      <w:textAlignment w:val="baseline"/>
    </w:pPr>
    <w:rPr>
      <w:kern w:val="0"/>
      <w:szCs w:val="20"/>
    </w:rPr>
  </w:style>
  <w:style w:type="paragraph" w:styleId="13">
    <w:name w:val="caption"/>
    <w:basedOn w:val="1"/>
    <w:next w:val="1"/>
    <w:qFormat/>
    <w:locked/>
    <w:uiPriority w:val="0"/>
    <w:pPr>
      <w:tabs>
        <w:tab w:val="left" w:pos="0"/>
        <w:tab w:val="left" w:pos="2040"/>
      </w:tabs>
      <w:autoSpaceDE w:val="0"/>
      <w:autoSpaceDN w:val="0"/>
      <w:ind w:left="2040" w:hanging="360"/>
      <w:jc w:val="center"/>
    </w:pPr>
    <w:rPr>
      <w:rFonts w:ascii="Arial" w:hAnsi="Arial" w:cs="Arial"/>
      <w:kern w:val="0"/>
      <w:sz w:val="24"/>
      <w:szCs w:val="20"/>
      <w:lang w:eastAsia="en-US"/>
    </w:rPr>
  </w:style>
  <w:style w:type="paragraph" w:styleId="14">
    <w:name w:val="Document Map"/>
    <w:basedOn w:val="1"/>
    <w:link w:val="67"/>
    <w:qFormat/>
    <w:locked/>
    <w:uiPriority w:val="0"/>
    <w:pPr>
      <w:shd w:val="clear" w:color="auto" w:fill="000080"/>
      <w:adjustRightInd w:val="0"/>
      <w:spacing w:line="312" w:lineRule="atLeast"/>
      <w:textAlignment w:val="baseline"/>
    </w:pPr>
    <w:rPr>
      <w:kern w:val="0"/>
      <w:szCs w:val="20"/>
    </w:rPr>
  </w:style>
  <w:style w:type="paragraph" w:styleId="15">
    <w:name w:val="annotation text"/>
    <w:basedOn w:val="1"/>
    <w:link w:val="68"/>
    <w:qFormat/>
    <w:uiPriority w:val="99"/>
    <w:pPr>
      <w:jc w:val="left"/>
    </w:pPr>
    <w:rPr>
      <w:kern w:val="0"/>
      <w:sz w:val="24"/>
      <w:szCs w:val="20"/>
    </w:rPr>
  </w:style>
  <w:style w:type="paragraph" w:styleId="16">
    <w:name w:val="Body Text 3"/>
    <w:basedOn w:val="1"/>
    <w:link w:val="69"/>
    <w:qFormat/>
    <w:locked/>
    <w:uiPriority w:val="0"/>
    <w:pPr>
      <w:spacing w:before="120" w:line="360" w:lineRule="auto"/>
    </w:pPr>
    <w:rPr>
      <w:b/>
      <w:kern w:val="10"/>
      <w:sz w:val="24"/>
      <w:szCs w:val="20"/>
    </w:rPr>
  </w:style>
  <w:style w:type="paragraph" w:styleId="17">
    <w:name w:val="Body Text"/>
    <w:basedOn w:val="1"/>
    <w:link w:val="70"/>
    <w:qFormat/>
    <w:uiPriority w:val="99"/>
    <w:pPr>
      <w:widowControl/>
      <w:snapToGrid w:val="0"/>
      <w:spacing w:before="60" w:after="160" w:line="259" w:lineRule="auto"/>
      <w:ind w:right="113"/>
    </w:pPr>
    <w:rPr>
      <w:kern w:val="0"/>
      <w:sz w:val="18"/>
      <w:szCs w:val="20"/>
    </w:rPr>
  </w:style>
  <w:style w:type="paragraph" w:styleId="18">
    <w:name w:val="Body Text Indent"/>
    <w:basedOn w:val="1"/>
    <w:next w:val="19"/>
    <w:link w:val="58"/>
    <w:qFormat/>
    <w:uiPriority w:val="0"/>
    <w:pPr>
      <w:spacing w:after="120"/>
      <w:ind w:left="420" w:leftChars="200"/>
    </w:pPr>
    <w:rPr>
      <w:kern w:val="0"/>
      <w:sz w:val="24"/>
      <w:szCs w:val="20"/>
    </w:rPr>
  </w:style>
  <w:style w:type="paragraph" w:styleId="19">
    <w:name w:val="Body Text First Indent 2"/>
    <w:basedOn w:val="18"/>
    <w:next w:val="1"/>
    <w:link w:val="59"/>
    <w:unhideWhenUsed/>
    <w:qFormat/>
    <w:locked/>
    <w:uiPriority w:val="99"/>
    <w:pPr>
      <w:numPr>
        <w:ilvl w:val="0"/>
        <w:numId w:val="1"/>
      </w:numPr>
      <w:tabs>
        <w:tab w:val="clear" w:pos="2040"/>
      </w:tabs>
      <w:adjustRightInd w:val="0"/>
      <w:spacing w:line="312" w:lineRule="atLeast"/>
      <w:ind w:firstLine="200" w:firstLineChars="200"/>
      <w:textAlignment w:val="baseline"/>
    </w:pPr>
    <w:rPr>
      <w:rFonts w:ascii="宋体"/>
      <w:sz w:val="21"/>
    </w:rPr>
  </w:style>
  <w:style w:type="paragraph" w:styleId="20">
    <w:name w:val="toc 5"/>
    <w:basedOn w:val="1"/>
    <w:next w:val="1"/>
    <w:qFormat/>
    <w:locked/>
    <w:uiPriority w:val="0"/>
    <w:pPr>
      <w:spacing w:line="360" w:lineRule="auto"/>
      <w:ind w:left="960"/>
      <w:jc w:val="left"/>
    </w:pPr>
    <w:rPr>
      <w:sz w:val="18"/>
      <w:szCs w:val="18"/>
    </w:rPr>
  </w:style>
  <w:style w:type="paragraph" w:styleId="21">
    <w:name w:val="toc 3"/>
    <w:basedOn w:val="1"/>
    <w:next w:val="1"/>
    <w:qFormat/>
    <w:locked/>
    <w:uiPriority w:val="0"/>
    <w:pPr>
      <w:adjustRightInd w:val="0"/>
      <w:snapToGrid w:val="0"/>
      <w:spacing w:line="360" w:lineRule="auto"/>
      <w:ind w:left="480" w:firstLine="200" w:firstLineChars="200"/>
      <w:jc w:val="left"/>
      <w:textAlignment w:val="baseline"/>
    </w:pPr>
    <w:rPr>
      <w:i/>
      <w:snapToGrid w:val="0"/>
      <w:spacing w:val="4"/>
      <w:kern w:val="0"/>
      <w:sz w:val="24"/>
      <w:szCs w:val="20"/>
    </w:rPr>
  </w:style>
  <w:style w:type="paragraph" w:styleId="22">
    <w:name w:val="Plain Text"/>
    <w:basedOn w:val="1"/>
    <w:link w:val="71"/>
    <w:qFormat/>
    <w:locked/>
    <w:uiPriority w:val="0"/>
    <w:rPr>
      <w:rFonts w:ascii="宋体" w:hAnsi="Courier New"/>
      <w:szCs w:val="20"/>
    </w:rPr>
  </w:style>
  <w:style w:type="paragraph" w:styleId="23">
    <w:name w:val="List Bullet 5"/>
    <w:basedOn w:val="1"/>
    <w:autoRedefine/>
    <w:qFormat/>
    <w:locked/>
    <w:uiPriority w:val="0"/>
    <w:pPr>
      <w:numPr>
        <w:ilvl w:val="0"/>
        <w:numId w:val="2"/>
      </w:numPr>
      <w:tabs>
        <w:tab w:val="clear" w:pos="2040"/>
      </w:tabs>
      <w:spacing w:line="360" w:lineRule="auto"/>
      <w:ind w:left="0" w:firstLine="0" w:firstLineChars="200"/>
      <w:jc w:val="left"/>
    </w:pPr>
    <w:rPr>
      <w:sz w:val="24"/>
    </w:rPr>
  </w:style>
  <w:style w:type="paragraph" w:styleId="24">
    <w:name w:val="toc 8"/>
    <w:basedOn w:val="1"/>
    <w:next w:val="1"/>
    <w:qFormat/>
    <w:locked/>
    <w:uiPriority w:val="0"/>
    <w:pPr>
      <w:spacing w:line="360" w:lineRule="auto"/>
      <w:ind w:left="1680"/>
      <w:jc w:val="left"/>
    </w:pPr>
    <w:rPr>
      <w:sz w:val="18"/>
      <w:szCs w:val="18"/>
    </w:rPr>
  </w:style>
  <w:style w:type="paragraph" w:styleId="25">
    <w:name w:val="Date"/>
    <w:basedOn w:val="1"/>
    <w:next w:val="1"/>
    <w:link w:val="72"/>
    <w:qFormat/>
    <w:uiPriority w:val="0"/>
    <w:pPr>
      <w:ind w:left="100" w:leftChars="2500"/>
    </w:pPr>
    <w:rPr>
      <w:kern w:val="0"/>
      <w:sz w:val="24"/>
      <w:szCs w:val="20"/>
    </w:rPr>
  </w:style>
  <w:style w:type="paragraph" w:styleId="26">
    <w:name w:val="Body Text Indent 2"/>
    <w:basedOn w:val="1"/>
    <w:link w:val="73"/>
    <w:qFormat/>
    <w:locked/>
    <w:uiPriority w:val="0"/>
    <w:pPr>
      <w:spacing w:line="500" w:lineRule="exact"/>
      <w:ind w:firstLine="556"/>
    </w:pPr>
    <w:rPr>
      <w:rFonts w:ascii="仿宋_GB2312" w:eastAsia="仿宋_GB2312"/>
      <w:sz w:val="28"/>
      <w:szCs w:val="20"/>
    </w:rPr>
  </w:style>
  <w:style w:type="paragraph" w:styleId="27">
    <w:name w:val="Balloon Text"/>
    <w:basedOn w:val="1"/>
    <w:link w:val="74"/>
    <w:qFormat/>
    <w:uiPriority w:val="99"/>
    <w:rPr>
      <w:kern w:val="0"/>
      <w:sz w:val="18"/>
      <w:szCs w:val="20"/>
    </w:rPr>
  </w:style>
  <w:style w:type="paragraph" w:styleId="28">
    <w:name w:val="footer"/>
    <w:basedOn w:val="1"/>
    <w:link w:val="75"/>
    <w:qFormat/>
    <w:uiPriority w:val="99"/>
    <w:pPr>
      <w:tabs>
        <w:tab w:val="center" w:pos="4153"/>
        <w:tab w:val="right" w:pos="8306"/>
      </w:tabs>
      <w:snapToGrid w:val="0"/>
      <w:jc w:val="left"/>
    </w:pPr>
    <w:rPr>
      <w:kern w:val="0"/>
      <w:sz w:val="18"/>
      <w:szCs w:val="20"/>
    </w:rPr>
  </w:style>
  <w:style w:type="paragraph" w:styleId="29">
    <w:name w:val="header"/>
    <w:basedOn w:val="1"/>
    <w:link w:val="76"/>
    <w:qFormat/>
    <w:uiPriority w:val="99"/>
    <w:pPr>
      <w:pBdr>
        <w:bottom w:val="single" w:color="auto" w:sz="6" w:space="1"/>
      </w:pBdr>
      <w:tabs>
        <w:tab w:val="center" w:pos="4153"/>
        <w:tab w:val="right" w:pos="8306"/>
      </w:tabs>
      <w:snapToGrid w:val="0"/>
      <w:jc w:val="center"/>
    </w:pPr>
    <w:rPr>
      <w:kern w:val="0"/>
      <w:sz w:val="18"/>
      <w:szCs w:val="20"/>
    </w:rPr>
  </w:style>
  <w:style w:type="paragraph" w:styleId="30">
    <w:name w:val="toc 1"/>
    <w:basedOn w:val="1"/>
    <w:next w:val="1"/>
    <w:unhideWhenUsed/>
    <w:qFormat/>
    <w:locked/>
    <w:uiPriority w:val="39"/>
    <w:pPr>
      <w:adjustRightInd w:val="0"/>
      <w:spacing w:line="312" w:lineRule="atLeast"/>
      <w:textAlignment w:val="baseline"/>
    </w:pPr>
    <w:rPr>
      <w:kern w:val="0"/>
      <w:szCs w:val="20"/>
    </w:rPr>
  </w:style>
  <w:style w:type="paragraph" w:styleId="31">
    <w:name w:val="toc 4"/>
    <w:basedOn w:val="1"/>
    <w:next w:val="1"/>
    <w:qFormat/>
    <w:locked/>
    <w:uiPriority w:val="0"/>
    <w:pPr>
      <w:spacing w:line="360" w:lineRule="auto"/>
      <w:ind w:left="720"/>
      <w:jc w:val="left"/>
    </w:pPr>
    <w:rPr>
      <w:sz w:val="18"/>
      <w:szCs w:val="18"/>
    </w:rPr>
  </w:style>
  <w:style w:type="paragraph" w:styleId="32">
    <w:name w:val="footnote text"/>
    <w:basedOn w:val="1"/>
    <w:link w:val="77"/>
    <w:qFormat/>
    <w:locked/>
    <w:uiPriority w:val="0"/>
    <w:pPr>
      <w:snapToGrid w:val="0"/>
      <w:spacing w:line="360" w:lineRule="auto"/>
      <w:jc w:val="left"/>
    </w:pPr>
    <w:rPr>
      <w:rFonts w:ascii="宋体" w:hAnsi="宋体"/>
      <w:sz w:val="18"/>
      <w:szCs w:val="18"/>
    </w:rPr>
  </w:style>
  <w:style w:type="paragraph" w:styleId="33">
    <w:name w:val="toc 6"/>
    <w:basedOn w:val="1"/>
    <w:next w:val="1"/>
    <w:qFormat/>
    <w:locked/>
    <w:uiPriority w:val="0"/>
    <w:pPr>
      <w:spacing w:line="360" w:lineRule="auto"/>
      <w:ind w:left="1200"/>
      <w:jc w:val="left"/>
    </w:pPr>
    <w:rPr>
      <w:sz w:val="18"/>
      <w:szCs w:val="18"/>
    </w:rPr>
  </w:style>
  <w:style w:type="paragraph" w:styleId="34">
    <w:name w:val="Body Text Indent 3"/>
    <w:basedOn w:val="1"/>
    <w:link w:val="78"/>
    <w:qFormat/>
    <w:locked/>
    <w:uiPriority w:val="0"/>
    <w:pPr>
      <w:spacing w:line="360" w:lineRule="auto"/>
      <w:ind w:firstLine="560" w:firstLineChars="200"/>
    </w:pPr>
    <w:rPr>
      <w:rFonts w:ascii="仿宋_GB2312" w:hAnsi="宋体" w:eastAsia="仿宋_GB2312"/>
      <w:color w:val="000000"/>
      <w:sz w:val="28"/>
      <w:szCs w:val="20"/>
    </w:rPr>
  </w:style>
  <w:style w:type="paragraph" w:styleId="35">
    <w:name w:val="table of figures"/>
    <w:basedOn w:val="1"/>
    <w:next w:val="1"/>
    <w:qFormat/>
    <w:locked/>
    <w:uiPriority w:val="0"/>
    <w:pPr>
      <w:spacing w:line="360" w:lineRule="auto"/>
      <w:ind w:left="480" w:hanging="480"/>
      <w:jc w:val="left"/>
    </w:pPr>
    <w:rPr>
      <w:caps/>
      <w:sz w:val="20"/>
      <w:szCs w:val="20"/>
    </w:rPr>
  </w:style>
  <w:style w:type="paragraph" w:styleId="36">
    <w:name w:val="toc 2"/>
    <w:basedOn w:val="1"/>
    <w:next w:val="1"/>
    <w:qFormat/>
    <w:locked/>
    <w:uiPriority w:val="0"/>
    <w:pPr>
      <w:spacing w:line="360" w:lineRule="auto"/>
      <w:ind w:left="240"/>
      <w:jc w:val="left"/>
    </w:pPr>
    <w:rPr>
      <w:smallCaps/>
      <w:sz w:val="20"/>
      <w:szCs w:val="20"/>
    </w:rPr>
  </w:style>
  <w:style w:type="paragraph" w:styleId="37">
    <w:name w:val="toc 9"/>
    <w:basedOn w:val="1"/>
    <w:next w:val="1"/>
    <w:qFormat/>
    <w:locked/>
    <w:uiPriority w:val="0"/>
    <w:pPr>
      <w:spacing w:line="360" w:lineRule="auto"/>
      <w:ind w:left="1920"/>
      <w:jc w:val="left"/>
    </w:pPr>
    <w:rPr>
      <w:sz w:val="18"/>
      <w:szCs w:val="18"/>
    </w:rPr>
  </w:style>
  <w:style w:type="paragraph" w:styleId="38">
    <w:name w:val="Body Text 2"/>
    <w:basedOn w:val="1"/>
    <w:link w:val="79"/>
    <w:qFormat/>
    <w:locked/>
    <w:uiPriority w:val="0"/>
    <w:pPr>
      <w:adjustRightInd w:val="0"/>
      <w:spacing w:line="312" w:lineRule="atLeast"/>
      <w:textAlignment w:val="baseline"/>
    </w:pPr>
    <w:rPr>
      <w:rFonts w:eastAsia="仿宋_GB2312"/>
      <w:kern w:val="0"/>
      <w:sz w:val="28"/>
      <w:szCs w:val="20"/>
    </w:rPr>
  </w:style>
  <w:style w:type="paragraph" w:styleId="39">
    <w:name w:val="HTML Preformatted"/>
    <w:basedOn w:val="1"/>
    <w:link w:val="80"/>
    <w:unhideWhenUsed/>
    <w:qFormat/>
    <w:locked/>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200" w:firstLineChars="200"/>
      <w:jc w:val="left"/>
    </w:pPr>
    <w:rPr>
      <w:rFonts w:ascii="宋体" w:hAnsi="宋体"/>
      <w:spacing w:val="4"/>
      <w:kern w:val="0"/>
      <w:sz w:val="24"/>
    </w:rPr>
  </w:style>
  <w:style w:type="paragraph" w:styleId="40">
    <w:name w:val="Normal (Web)"/>
    <w:basedOn w:val="1"/>
    <w:link w:val="81"/>
    <w:qFormat/>
    <w:uiPriority w:val="99"/>
    <w:pPr>
      <w:widowControl/>
      <w:spacing w:before="100" w:beforeAutospacing="1" w:after="100" w:afterAutospacing="1"/>
      <w:jc w:val="left"/>
    </w:pPr>
    <w:rPr>
      <w:rFonts w:ascii="宋体" w:hAnsi="宋体"/>
      <w:kern w:val="0"/>
      <w:sz w:val="24"/>
      <w:szCs w:val="20"/>
    </w:rPr>
  </w:style>
  <w:style w:type="paragraph" w:styleId="41">
    <w:name w:val="index 1"/>
    <w:basedOn w:val="1"/>
    <w:next w:val="1"/>
    <w:qFormat/>
    <w:locked/>
    <w:uiPriority w:val="0"/>
    <w:pPr>
      <w:adjustRightInd w:val="0"/>
      <w:jc w:val="center"/>
      <w:textAlignment w:val="baseline"/>
    </w:pPr>
    <w:rPr>
      <w:rFonts w:ascii="仿宋_GB2312" w:hAnsi="宋体" w:eastAsia="仿宋_GB2312"/>
      <w:color w:val="000000"/>
      <w:kern w:val="0"/>
      <w:sz w:val="24"/>
      <w:szCs w:val="20"/>
    </w:rPr>
  </w:style>
  <w:style w:type="paragraph" w:styleId="42">
    <w:name w:val="Title"/>
    <w:basedOn w:val="1"/>
    <w:next w:val="1"/>
    <w:link w:val="82"/>
    <w:qFormat/>
    <w:locked/>
    <w:uiPriority w:val="0"/>
    <w:pPr>
      <w:spacing w:before="240" w:after="60"/>
      <w:ind w:firstLine="200" w:firstLineChars="200"/>
      <w:outlineLvl w:val="0"/>
    </w:pPr>
    <w:rPr>
      <w:rFonts w:ascii="Cambria" w:hAnsi="Cambria"/>
      <w:b/>
      <w:kern w:val="0"/>
      <w:sz w:val="30"/>
      <w:szCs w:val="20"/>
    </w:rPr>
  </w:style>
  <w:style w:type="paragraph" w:styleId="43">
    <w:name w:val="annotation subject"/>
    <w:basedOn w:val="15"/>
    <w:next w:val="15"/>
    <w:link w:val="83"/>
    <w:qFormat/>
    <w:uiPriority w:val="99"/>
    <w:rPr>
      <w:b/>
    </w:rPr>
  </w:style>
  <w:style w:type="paragraph" w:styleId="44">
    <w:name w:val="Body Text First Indent"/>
    <w:basedOn w:val="17"/>
    <w:link w:val="84"/>
    <w:qFormat/>
    <w:locked/>
    <w:uiPriority w:val="0"/>
    <w:pPr>
      <w:widowControl w:val="0"/>
      <w:snapToGrid/>
      <w:spacing w:before="0" w:after="120" w:line="360" w:lineRule="auto"/>
      <w:ind w:right="0" w:firstLine="420" w:firstLineChars="100"/>
    </w:pPr>
    <w:rPr>
      <w:rFonts w:ascii="宋体" w:hAnsi="宋体"/>
      <w:kern w:val="2"/>
      <w:sz w:val="24"/>
    </w:rPr>
  </w:style>
  <w:style w:type="table" w:styleId="46">
    <w:name w:val="Table Grid"/>
    <w:basedOn w:val="4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8">
    <w:name w:val="Strong"/>
    <w:qFormat/>
    <w:locked/>
    <w:uiPriority w:val="22"/>
    <w:rPr>
      <w:b/>
    </w:rPr>
  </w:style>
  <w:style w:type="character" w:styleId="49">
    <w:name w:val="page number"/>
    <w:qFormat/>
    <w:locked/>
    <w:uiPriority w:val="0"/>
  </w:style>
  <w:style w:type="character" w:styleId="50">
    <w:name w:val="FollowedHyperlink"/>
    <w:qFormat/>
    <w:locked/>
    <w:uiPriority w:val="0"/>
    <w:rPr>
      <w:color w:val="800080"/>
      <w:u w:val="single"/>
    </w:rPr>
  </w:style>
  <w:style w:type="character" w:styleId="51">
    <w:name w:val="Emphasis"/>
    <w:qFormat/>
    <w:locked/>
    <w:uiPriority w:val="20"/>
    <w:rPr>
      <w:i/>
    </w:rPr>
  </w:style>
  <w:style w:type="character" w:styleId="52">
    <w:name w:val="Hyperlink"/>
    <w:qFormat/>
    <w:locked/>
    <w:uiPriority w:val="99"/>
    <w:rPr>
      <w:color w:val="000000"/>
      <w:u w:val="single"/>
    </w:rPr>
  </w:style>
  <w:style w:type="character" w:styleId="53">
    <w:name w:val="HTML Code"/>
    <w:qFormat/>
    <w:locked/>
    <w:uiPriority w:val="0"/>
    <w:rPr>
      <w:rFonts w:ascii="黑体" w:hAnsi="Courier New" w:eastAsia="黑体"/>
      <w:sz w:val="24"/>
    </w:rPr>
  </w:style>
  <w:style w:type="character" w:styleId="54">
    <w:name w:val="annotation reference"/>
    <w:qFormat/>
    <w:uiPriority w:val="99"/>
    <w:rPr>
      <w:sz w:val="21"/>
    </w:rPr>
  </w:style>
  <w:style w:type="character" w:styleId="55">
    <w:name w:val="footnote reference"/>
    <w:qFormat/>
    <w:locked/>
    <w:uiPriority w:val="0"/>
    <w:rPr>
      <w:vertAlign w:val="superscript"/>
    </w:rPr>
  </w:style>
  <w:style w:type="paragraph" w:customStyle="1" w:styleId="56">
    <w:name w:val="Default"/>
    <w:basedOn w:val="57"/>
    <w:next w:val="19"/>
    <w:qFormat/>
    <w:uiPriority w:val="0"/>
    <w:pPr>
      <w:autoSpaceDE w:val="0"/>
      <w:autoSpaceDN w:val="0"/>
      <w:adjustRightInd w:val="0"/>
    </w:pPr>
    <w:rPr>
      <w:rFonts w:ascii="宋体" w:cs="宋体"/>
      <w:sz w:val="24"/>
    </w:rPr>
  </w:style>
  <w:style w:type="paragraph" w:customStyle="1" w:styleId="57">
    <w:name w:val="批注文字1"/>
    <w:qFormat/>
    <w:uiPriority w:val="0"/>
    <w:pPr>
      <w:widowControl w:val="0"/>
    </w:pPr>
    <w:rPr>
      <w:rFonts w:ascii="Times New Roman" w:hAnsi="Times New Roman" w:eastAsia="Times New Roman" w:cs="Times New Roman"/>
      <w:color w:val="000000"/>
      <w:kern w:val="2"/>
      <w:sz w:val="21"/>
      <w:szCs w:val="24"/>
      <w:lang w:val="en-US" w:eastAsia="zh-CN" w:bidi="ar-SA"/>
    </w:rPr>
  </w:style>
  <w:style w:type="character" w:customStyle="1" w:styleId="58">
    <w:name w:val="正文文本缩进 字符2"/>
    <w:link w:val="18"/>
    <w:semiHidden/>
    <w:qFormat/>
    <w:locked/>
    <w:uiPriority w:val="0"/>
    <w:rPr>
      <w:rFonts w:ascii="Times New Roman" w:hAnsi="Times New Roman" w:eastAsia="宋体"/>
      <w:sz w:val="24"/>
    </w:rPr>
  </w:style>
  <w:style w:type="character" w:customStyle="1" w:styleId="59">
    <w:name w:val="正文文本首行缩进 2 字符"/>
    <w:link w:val="19"/>
    <w:qFormat/>
    <w:uiPriority w:val="99"/>
    <w:rPr>
      <w:rFonts w:ascii="宋体"/>
      <w:sz w:val="21"/>
    </w:rPr>
  </w:style>
  <w:style w:type="character" w:customStyle="1" w:styleId="60">
    <w:name w:val="标题 1 字符"/>
    <w:link w:val="4"/>
    <w:qFormat/>
    <w:uiPriority w:val="0"/>
    <w:rPr>
      <w:rFonts w:eastAsia="黑体"/>
      <w:b/>
      <w:bCs/>
      <w:color w:val="000000"/>
      <w:kern w:val="44"/>
      <w:sz w:val="30"/>
      <w:szCs w:val="30"/>
    </w:rPr>
  </w:style>
  <w:style w:type="character" w:customStyle="1" w:styleId="61">
    <w:name w:val="标题 2 字符"/>
    <w:link w:val="5"/>
    <w:qFormat/>
    <w:uiPriority w:val="9"/>
    <w:rPr>
      <w:rFonts w:ascii="Arial" w:hAnsi="Arial" w:eastAsia="黑体"/>
      <w:b/>
      <w:sz w:val="24"/>
    </w:rPr>
  </w:style>
  <w:style w:type="character" w:customStyle="1" w:styleId="62">
    <w:name w:val="标题 3 字符"/>
    <w:link w:val="6"/>
    <w:qFormat/>
    <w:uiPriority w:val="9"/>
    <w:rPr>
      <w:rFonts w:ascii="宋体"/>
      <w:spacing w:val="4"/>
      <w:sz w:val="24"/>
    </w:rPr>
  </w:style>
  <w:style w:type="character" w:customStyle="1" w:styleId="63">
    <w:name w:val="标题 4 字符"/>
    <w:link w:val="7"/>
    <w:qFormat/>
    <w:uiPriority w:val="9"/>
    <w:rPr>
      <w:rFonts w:ascii="仿宋_GB2312" w:hAnsi="宋体" w:eastAsia="仿宋_GB2312"/>
      <w:b/>
      <w:w w:val="90"/>
      <w:kern w:val="2"/>
      <w:sz w:val="24"/>
    </w:rPr>
  </w:style>
  <w:style w:type="character" w:customStyle="1" w:styleId="64">
    <w:name w:val="标题 5 字符"/>
    <w:link w:val="8"/>
    <w:qFormat/>
    <w:uiPriority w:val="0"/>
    <w:rPr>
      <w:rFonts w:ascii="宋体" w:hAnsi="宋体"/>
      <w:b/>
      <w:kern w:val="2"/>
      <w:sz w:val="24"/>
    </w:rPr>
  </w:style>
  <w:style w:type="character" w:customStyle="1" w:styleId="65">
    <w:name w:val="注释标题 字符"/>
    <w:link w:val="11"/>
    <w:qFormat/>
    <w:uiPriority w:val="0"/>
    <w:rPr>
      <w:rFonts w:ascii="宋体" w:hAnsi="宋体"/>
      <w:kern w:val="2"/>
      <w:sz w:val="28"/>
    </w:rPr>
  </w:style>
  <w:style w:type="character" w:customStyle="1" w:styleId="66">
    <w:name w:val="正文缩进 字符"/>
    <w:link w:val="12"/>
    <w:qFormat/>
    <w:uiPriority w:val="0"/>
    <w:rPr>
      <w:sz w:val="21"/>
    </w:rPr>
  </w:style>
  <w:style w:type="character" w:customStyle="1" w:styleId="67">
    <w:name w:val="文档结构图 字符"/>
    <w:link w:val="14"/>
    <w:qFormat/>
    <w:uiPriority w:val="0"/>
    <w:rPr>
      <w:sz w:val="21"/>
      <w:shd w:val="clear" w:color="auto" w:fill="000080"/>
    </w:rPr>
  </w:style>
  <w:style w:type="character" w:customStyle="1" w:styleId="68">
    <w:name w:val="批注文字 字符2"/>
    <w:link w:val="15"/>
    <w:qFormat/>
    <w:locked/>
    <w:uiPriority w:val="99"/>
    <w:rPr>
      <w:rFonts w:ascii="Times New Roman" w:hAnsi="Times New Roman" w:eastAsia="宋体"/>
      <w:sz w:val="24"/>
    </w:rPr>
  </w:style>
  <w:style w:type="character" w:customStyle="1" w:styleId="69">
    <w:name w:val="正文文本 3 字符"/>
    <w:link w:val="16"/>
    <w:qFormat/>
    <w:uiPriority w:val="0"/>
    <w:rPr>
      <w:b/>
      <w:kern w:val="10"/>
      <w:sz w:val="24"/>
    </w:rPr>
  </w:style>
  <w:style w:type="character" w:customStyle="1" w:styleId="70">
    <w:name w:val="正文文本 字符2"/>
    <w:link w:val="17"/>
    <w:qFormat/>
    <w:locked/>
    <w:uiPriority w:val="99"/>
    <w:rPr>
      <w:sz w:val="18"/>
    </w:rPr>
  </w:style>
  <w:style w:type="character" w:customStyle="1" w:styleId="71">
    <w:name w:val="纯文本 字符"/>
    <w:link w:val="22"/>
    <w:qFormat/>
    <w:uiPriority w:val="0"/>
    <w:rPr>
      <w:rFonts w:ascii="宋体" w:hAnsi="Courier New"/>
      <w:kern w:val="2"/>
      <w:sz w:val="21"/>
    </w:rPr>
  </w:style>
  <w:style w:type="character" w:customStyle="1" w:styleId="72">
    <w:name w:val="日期 字符2"/>
    <w:link w:val="25"/>
    <w:qFormat/>
    <w:locked/>
    <w:uiPriority w:val="0"/>
    <w:rPr>
      <w:rFonts w:ascii="Times New Roman" w:hAnsi="Times New Roman" w:eastAsia="宋体"/>
      <w:sz w:val="24"/>
    </w:rPr>
  </w:style>
  <w:style w:type="character" w:customStyle="1" w:styleId="73">
    <w:name w:val="正文文本缩进 2 字符"/>
    <w:link w:val="26"/>
    <w:qFormat/>
    <w:uiPriority w:val="0"/>
    <w:rPr>
      <w:rFonts w:ascii="仿宋_GB2312" w:eastAsia="仿宋_GB2312"/>
      <w:kern w:val="2"/>
      <w:sz w:val="28"/>
    </w:rPr>
  </w:style>
  <w:style w:type="character" w:customStyle="1" w:styleId="74">
    <w:name w:val="批注框文本 字符2"/>
    <w:link w:val="27"/>
    <w:semiHidden/>
    <w:qFormat/>
    <w:locked/>
    <w:uiPriority w:val="0"/>
    <w:rPr>
      <w:rFonts w:ascii="Times New Roman" w:hAnsi="Times New Roman" w:eastAsia="宋体"/>
      <w:sz w:val="18"/>
    </w:rPr>
  </w:style>
  <w:style w:type="character" w:customStyle="1" w:styleId="75">
    <w:name w:val="页脚 字符2"/>
    <w:link w:val="28"/>
    <w:qFormat/>
    <w:locked/>
    <w:uiPriority w:val="99"/>
    <w:rPr>
      <w:sz w:val="18"/>
    </w:rPr>
  </w:style>
  <w:style w:type="character" w:customStyle="1" w:styleId="76">
    <w:name w:val="页眉 字符2"/>
    <w:link w:val="29"/>
    <w:qFormat/>
    <w:locked/>
    <w:uiPriority w:val="0"/>
    <w:rPr>
      <w:sz w:val="18"/>
    </w:rPr>
  </w:style>
  <w:style w:type="character" w:customStyle="1" w:styleId="77">
    <w:name w:val="脚注文本 字符"/>
    <w:link w:val="32"/>
    <w:qFormat/>
    <w:uiPriority w:val="0"/>
    <w:rPr>
      <w:rFonts w:ascii="宋体" w:hAnsi="宋体"/>
      <w:kern w:val="2"/>
      <w:sz w:val="18"/>
      <w:szCs w:val="18"/>
    </w:rPr>
  </w:style>
  <w:style w:type="character" w:customStyle="1" w:styleId="78">
    <w:name w:val="正文文本缩进 3 字符"/>
    <w:link w:val="34"/>
    <w:qFormat/>
    <w:uiPriority w:val="0"/>
    <w:rPr>
      <w:rFonts w:ascii="仿宋_GB2312" w:hAnsi="宋体" w:eastAsia="仿宋_GB2312"/>
      <w:color w:val="000000"/>
      <w:kern w:val="2"/>
      <w:sz w:val="28"/>
    </w:rPr>
  </w:style>
  <w:style w:type="character" w:customStyle="1" w:styleId="79">
    <w:name w:val="正文文本 2 字符"/>
    <w:link w:val="38"/>
    <w:qFormat/>
    <w:uiPriority w:val="0"/>
    <w:rPr>
      <w:rFonts w:eastAsia="仿宋_GB2312"/>
      <w:sz w:val="28"/>
    </w:rPr>
  </w:style>
  <w:style w:type="character" w:customStyle="1" w:styleId="80">
    <w:name w:val="HTML 预设格式 字符"/>
    <w:link w:val="39"/>
    <w:qFormat/>
    <w:uiPriority w:val="99"/>
    <w:rPr>
      <w:rFonts w:ascii="宋体" w:hAnsi="宋体"/>
      <w:spacing w:val="4"/>
      <w:sz w:val="24"/>
      <w:szCs w:val="24"/>
    </w:rPr>
  </w:style>
  <w:style w:type="character" w:customStyle="1" w:styleId="81">
    <w:name w:val="普通(网站) 字符"/>
    <w:link w:val="40"/>
    <w:qFormat/>
    <w:locked/>
    <w:uiPriority w:val="99"/>
    <w:rPr>
      <w:rFonts w:ascii="宋体" w:hAnsi="宋体" w:eastAsia="宋体"/>
      <w:sz w:val="24"/>
    </w:rPr>
  </w:style>
  <w:style w:type="character" w:customStyle="1" w:styleId="82">
    <w:name w:val="标题 字符"/>
    <w:link w:val="42"/>
    <w:qFormat/>
    <w:uiPriority w:val="0"/>
    <w:rPr>
      <w:rFonts w:ascii="Cambria" w:hAnsi="Cambria"/>
      <w:b/>
      <w:sz w:val="30"/>
    </w:rPr>
  </w:style>
  <w:style w:type="character" w:customStyle="1" w:styleId="83">
    <w:name w:val="批注主题 字符2"/>
    <w:link w:val="43"/>
    <w:semiHidden/>
    <w:qFormat/>
    <w:locked/>
    <w:uiPriority w:val="0"/>
    <w:rPr>
      <w:rFonts w:ascii="Times New Roman" w:hAnsi="Times New Roman" w:eastAsia="宋体"/>
      <w:b/>
      <w:kern w:val="2"/>
      <w:sz w:val="24"/>
    </w:rPr>
  </w:style>
  <w:style w:type="character" w:customStyle="1" w:styleId="84">
    <w:name w:val="正文文本首行缩进 字符"/>
    <w:link w:val="44"/>
    <w:qFormat/>
    <w:uiPriority w:val="0"/>
    <w:rPr>
      <w:rFonts w:ascii="宋体" w:hAnsi="宋体"/>
      <w:kern w:val="2"/>
      <w:sz w:val="24"/>
    </w:rPr>
  </w:style>
  <w:style w:type="character" w:customStyle="1" w:styleId="85">
    <w:name w:val="fontstyle01"/>
    <w:qFormat/>
    <w:uiPriority w:val="0"/>
    <w:rPr>
      <w:rFonts w:hint="eastAsia" w:ascii="宋体" w:hAnsi="宋体" w:eastAsia="宋体" w:cs="宋体"/>
      <w:color w:val="000000"/>
      <w:sz w:val="48"/>
      <w:szCs w:val="48"/>
    </w:rPr>
  </w:style>
  <w:style w:type="character" w:customStyle="1" w:styleId="86">
    <w:name w:val="fontstyle11"/>
    <w:qFormat/>
    <w:uiPriority w:val="0"/>
    <w:rPr>
      <w:rFonts w:ascii="TimesNewRomanPSMT" w:hAnsi="TimesNewRomanPSMT" w:eastAsia="TimesNewRomanPSMT" w:cs="TimesNewRomanPSMT"/>
      <w:color w:val="000000"/>
      <w:sz w:val="24"/>
      <w:szCs w:val="24"/>
    </w:rPr>
  </w:style>
  <w:style w:type="character" w:customStyle="1" w:styleId="87">
    <w:name w:val="yt表内 Char"/>
    <w:link w:val="88"/>
    <w:qFormat/>
    <w:locked/>
    <w:uiPriority w:val="0"/>
    <w:rPr>
      <w:kern w:val="2"/>
      <w:sz w:val="21"/>
      <w:szCs w:val="21"/>
    </w:rPr>
  </w:style>
  <w:style w:type="paragraph" w:customStyle="1" w:styleId="88">
    <w:name w:val="yt表内"/>
    <w:link w:val="87"/>
    <w:qFormat/>
    <w:uiPriority w:val="0"/>
    <w:pPr>
      <w:widowControl w:val="0"/>
      <w:spacing w:line="240" w:lineRule="atLeast"/>
      <w:jc w:val="center"/>
    </w:pPr>
    <w:rPr>
      <w:rFonts w:ascii="Times New Roman" w:hAnsi="Times New Roman" w:eastAsia="宋体" w:cs="Times New Roman"/>
      <w:kern w:val="2"/>
      <w:sz w:val="21"/>
      <w:szCs w:val="21"/>
      <w:lang w:val="en-US" w:eastAsia="zh-CN" w:bidi="ar-SA"/>
    </w:rPr>
  </w:style>
  <w:style w:type="character" w:customStyle="1" w:styleId="89">
    <w:name w:val="ca-0"/>
    <w:qFormat/>
    <w:uiPriority w:val="0"/>
  </w:style>
  <w:style w:type="character" w:customStyle="1" w:styleId="90">
    <w:name w:val="infodetail1"/>
    <w:qFormat/>
    <w:uiPriority w:val="0"/>
    <w:rPr>
      <w:rFonts w:hint="default" w:ascii="ˎ̥" w:hAnsi="ˎ̥"/>
      <w:sz w:val="22"/>
      <w:szCs w:val="22"/>
    </w:rPr>
  </w:style>
  <w:style w:type="character" w:customStyle="1" w:styleId="91">
    <w:name w:val="五号"/>
    <w:qFormat/>
    <w:uiPriority w:val="0"/>
    <w:rPr>
      <w:w w:val="80"/>
      <w:kern w:val="18"/>
      <w:sz w:val="21"/>
    </w:rPr>
  </w:style>
  <w:style w:type="character" w:customStyle="1" w:styleId="92">
    <w:name w:val="表内文字3 字符"/>
    <w:link w:val="93"/>
    <w:qFormat/>
    <w:uiPriority w:val="0"/>
    <w:rPr>
      <w:sz w:val="24"/>
      <w:szCs w:val="24"/>
    </w:rPr>
  </w:style>
  <w:style w:type="paragraph" w:customStyle="1" w:styleId="93">
    <w:name w:val="表内文字3"/>
    <w:basedOn w:val="1"/>
    <w:link w:val="92"/>
    <w:qFormat/>
    <w:uiPriority w:val="0"/>
    <w:pPr>
      <w:autoSpaceDE w:val="0"/>
      <w:autoSpaceDN w:val="0"/>
      <w:adjustRightInd w:val="0"/>
      <w:spacing w:line="360" w:lineRule="auto"/>
      <w:jc w:val="left"/>
    </w:pPr>
    <w:rPr>
      <w:kern w:val="0"/>
      <w:sz w:val="24"/>
    </w:rPr>
  </w:style>
  <w:style w:type="character" w:customStyle="1" w:styleId="94">
    <w:name w:val="正文对的 Char Char"/>
    <w:link w:val="95"/>
    <w:qFormat/>
    <w:uiPriority w:val="0"/>
    <w:rPr>
      <w:rFonts w:ascii="宋体" w:hAnsi="宋体"/>
      <w:color w:val="000000"/>
      <w:kern w:val="2"/>
      <w:sz w:val="24"/>
      <w:szCs w:val="24"/>
    </w:rPr>
  </w:style>
  <w:style w:type="paragraph" w:customStyle="1" w:styleId="95">
    <w:name w:val="正文对的"/>
    <w:basedOn w:val="18"/>
    <w:link w:val="94"/>
    <w:qFormat/>
    <w:uiPriority w:val="0"/>
    <w:pPr>
      <w:widowControl/>
      <w:snapToGrid w:val="0"/>
      <w:spacing w:after="0" w:line="500" w:lineRule="exact"/>
      <w:ind w:left="0" w:leftChars="0" w:firstLine="482"/>
    </w:pPr>
    <w:rPr>
      <w:rFonts w:ascii="宋体" w:hAnsi="宋体"/>
      <w:color w:val="000000"/>
      <w:kern w:val="2"/>
      <w:szCs w:val="24"/>
    </w:rPr>
  </w:style>
  <w:style w:type="character" w:customStyle="1" w:styleId="96">
    <w:name w:val="环科院正文 Char Char"/>
    <w:link w:val="97"/>
    <w:qFormat/>
    <w:locked/>
    <w:uiPriority w:val="99"/>
    <w:rPr>
      <w:kern w:val="2"/>
      <w:sz w:val="24"/>
    </w:rPr>
  </w:style>
  <w:style w:type="paragraph" w:customStyle="1" w:styleId="97">
    <w:name w:val="环科院正文"/>
    <w:basedOn w:val="1"/>
    <w:link w:val="96"/>
    <w:qFormat/>
    <w:uiPriority w:val="99"/>
    <w:pPr>
      <w:spacing w:line="300" w:lineRule="auto"/>
      <w:ind w:left="58" w:firstLine="420" w:firstLineChars="175"/>
    </w:pPr>
    <w:rPr>
      <w:sz w:val="24"/>
      <w:szCs w:val="20"/>
    </w:rPr>
  </w:style>
  <w:style w:type="character" w:customStyle="1" w:styleId="98">
    <w:name w:val="环评正文 Char"/>
    <w:link w:val="99"/>
    <w:qFormat/>
    <w:uiPriority w:val="0"/>
    <w:rPr>
      <w:bCs/>
      <w:sz w:val="24"/>
      <w:szCs w:val="24"/>
    </w:rPr>
  </w:style>
  <w:style w:type="paragraph" w:customStyle="1" w:styleId="99">
    <w:name w:val="环评正文"/>
    <w:basedOn w:val="1"/>
    <w:link w:val="98"/>
    <w:qFormat/>
    <w:uiPriority w:val="0"/>
    <w:pPr>
      <w:spacing w:line="360" w:lineRule="auto"/>
      <w:ind w:firstLine="200" w:firstLineChars="200"/>
    </w:pPr>
    <w:rPr>
      <w:bCs/>
      <w:kern w:val="0"/>
      <w:sz w:val="24"/>
    </w:rPr>
  </w:style>
  <w:style w:type="character" w:customStyle="1" w:styleId="100">
    <w:name w:val="正文文本 字符"/>
    <w:qFormat/>
    <w:uiPriority w:val="0"/>
    <w:rPr>
      <w:rFonts w:eastAsia="宋体"/>
      <w:sz w:val="21"/>
      <w:lang w:val="en-US" w:eastAsia="zh-CN" w:bidi="ar-SA"/>
    </w:rPr>
  </w:style>
  <w:style w:type="character" w:customStyle="1" w:styleId="101">
    <w:name w:val="页眉 字符1"/>
    <w:qFormat/>
    <w:uiPriority w:val="99"/>
    <w:rPr>
      <w:rFonts w:hint="default" w:ascii="Times New Roman" w:hAnsi="Times New Roman" w:eastAsia="宋体" w:cs="Times New Roman"/>
      <w:kern w:val="0"/>
      <w:sz w:val="18"/>
      <w:szCs w:val="18"/>
      <w:lang w:bidi="ar-SA"/>
    </w:rPr>
  </w:style>
  <w:style w:type="character" w:customStyle="1" w:styleId="102">
    <w:name w:val="fontstyle21"/>
    <w:qFormat/>
    <w:uiPriority w:val="0"/>
    <w:rPr>
      <w:rFonts w:hint="default" w:ascii="Times New Roman" w:hAnsi="Times New Roman" w:cs="Times New Roman"/>
      <w:color w:val="000000"/>
      <w:sz w:val="30"/>
      <w:szCs w:val="30"/>
    </w:rPr>
  </w:style>
  <w:style w:type="character" w:customStyle="1" w:styleId="103">
    <w:name w:val="表头 Char Char"/>
    <w:qFormat/>
    <w:uiPriority w:val="0"/>
    <w:rPr>
      <w:rFonts w:hint="eastAsia" w:ascii="宋体" w:hAnsi="宋体" w:eastAsia="宋体"/>
      <w:snapToGrid/>
      <w:spacing w:val="6"/>
      <w:kern w:val="10"/>
      <w:sz w:val="24"/>
      <w:szCs w:val="24"/>
    </w:rPr>
  </w:style>
  <w:style w:type="character" w:customStyle="1" w:styleId="104">
    <w:name w:val="报告 Char Char"/>
    <w:link w:val="105"/>
    <w:qFormat/>
    <w:uiPriority w:val="0"/>
    <w:rPr>
      <w:rFonts w:ascii="TimesNewRoman" w:hAnsi="TimesNewRoman"/>
      <w:sz w:val="24"/>
    </w:rPr>
  </w:style>
  <w:style w:type="paragraph" w:customStyle="1" w:styleId="105">
    <w:name w:val="报告"/>
    <w:basedOn w:val="1"/>
    <w:link w:val="104"/>
    <w:qFormat/>
    <w:uiPriority w:val="0"/>
    <w:pPr>
      <w:adjustRightInd w:val="0"/>
      <w:spacing w:line="360" w:lineRule="auto"/>
      <w:ind w:firstLine="505"/>
      <w:textAlignment w:val="center"/>
    </w:pPr>
    <w:rPr>
      <w:rFonts w:ascii="TimesNewRoman" w:hAnsi="TimesNewRoman"/>
      <w:kern w:val="0"/>
      <w:sz w:val="24"/>
      <w:szCs w:val="20"/>
    </w:rPr>
  </w:style>
  <w:style w:type="character" w:customStyle="1" w:styleId="106">
    <w:name w:val="正文格式 字符"/>
    <w:link w:val="107"/>
    <w:qFormat/>
    <w:uiPriority w:val="0"/>
    <w:rPr>
      <w:color w:val="000000"/>
      <w:kern w:val="2"/>
      <w:sz w:val="24"/>
      <w:szCs w:val="36"/>
    </w:rPr>
  </w:style>
  <w:style w:type="paragraph" w:customStyle="1" w:styleId="107">
    <w:name w:val="正文格式"/>
    <w:basedOn w:val="108"/>
    <w:link w:val="106"/>
    <w:qFormat/>
    <w:uiPriority w:val="0"/>
    <w:pPr>
      <w:spacing w:line="360" w:lineRule="auto"/>
      <w:ind w:firstLine="200" w:firstLineChars="200"/>
      <w:jc w:val="left"/>
    </w:pPr>
    <w:rPr>
      <w:sz w:val="24"/>
    </w:rPr>
  </w:style>
  <w:style w:type="paragraph" w:customStyle="1" w:styleId="108">
    <w:name w:val="一级标题"/>
    <w:basedOn w:val="1"/>
    <w:link w:val="109"/>
    <w:qFormat/>
    <w:uiPriority w:val="0"/>
    <w:pPr>
      <w:adjustRightInd w:val="0"/>
      <w:snapToGrid w:val="0"/>
      <w:spacing w:line="288" w:lineRule="auto"/>
      <w:jc w:val="center"/>
    </w:pPr>
    <w:rPr>
      <w:color w:val="000000"/>
      <w:sz w:val="30"/>
      <w:szCs w:val="36"/>
    </w:rPr>
  </w:style>
  <w:style w:type="character" w:customStyle="1" w:styleId="109">
    <w:name w:val="一级标题 字符"/>
    <w:link w:val="108"/>
    <w:qFormat/>
    <w:uiPriority w:val="0"/>
    <w:rPr>
      <w:color w:val="000000"/>
      <w:kern w:val="2"/>
      <w:sz w:val="30"/>
      <w:szCs w:val="36"/>
    </w:rPr>
  </w:style>
  <w:style w:type="character" w:customStyle="1" w:styleId="110">
    <w:name w:val="正文文字 Char"/>
    <w:qFormat/>
    <w:uiPriority w:val="0"/>
    <w:rPr>
      <w:rFonts w:eastAsia="宋体"/>
      <w:kern w:val="2"/>
      <w:sz w:val="24"/>
      <w:lang w:val="en-US" w:eastAsia="zh-CN"/>
    </w:rPr>
  </w:style>
  <w:style w:type="character" w:customStyle="1" w:styleId="111">
    <w:name w:val="表格正文 Char1"/>
    <w:link w:val="112"/>
    <w:qFormat/>
    <w:uiPriority w:val="0"/>
    <w:rPr>
      <w:rFonts w:ascii="宋体"/>
      <w:snapToGrid/>
      <w:spacing w:val="4"/>
      <w:w w:val="90"/>
      <w:sz w:val="24"/>
    </w:rPr>
  </w:style>
  <w:style w:type="paragraph" w:customStyle="1" w:styleId="112">
    <w:name w:val="表格正文"/>
    <w:basedOn w:val="1"/>
    <w:next w:val="1"/>
    <w:link w:val="111"/>
    <w:qFormat/>
    <w:uiPriority w:val="0"/>
    <w:pPr>
      <w:adjustRightInd w:val="0"/>
      <w:snapToGrid w:val="0"/>
      <w:jc w:val="center"/>
      <w:textAlignment w:val="baseline"/>
    </w:pPr>
    <w:rPr>
      <w:rFonts w:ascii="宋体"/>
      <w:snapToGrid w:val="0"/>
      <w:spacing w:val="4"/>
      <w:w w:val="90"/>
      <w:kern w:val="0"/>
      <w:sz w:val="24"/>
      <w:szCs w:val="20"/>
    </w:rPr>
  </w:style>
  <w:style w:type="character" w:customStyle="1" w:styleId="113">
    <w:name w:val="font41"/>
    <w:qFormat/>
    <w:uiPriority w:val="0"/>
    <w:rPr>
      <w:rFonts w:hint="eastAsia" w:ascii="宋体" w:hAnsi="宋体" w:eastAsia="宋体" w:cs="宋体"/>
      <w:color w:val="000000"/>
      <w:sz w:val="21"/>
      <w:szCs w:val="21"/>
      <w:u w:val="none"/>
    </w:rPr>
  </w:style>
  <w:style w:type="character" w:customStyle="1" w:styleId="114">
    <w:name w:val="正文文本首行缩进 2 字符1"/>
    <w:qFormat/>
    <w:uiPriority w:val="99"/>
    <w:rPr>
      <w:rFonts w:ascii="Times New Roman" w:hAnsi="Times New Roman" w:eastAsia="宋体"/>
      <w:kern w:val="2"/>
      <w:sz w:val="21"/>
      <w:szCs w:val="24"/>
    </w:rPr>
  </w:style>
  <w:style w:type="character" w:customStyle="1" w:styleId="115">
    <w:name w:val="表头 Char1"/>
    <w:link w:val="116"/>
    <w:qFormat/>
    <w:uiPriority w:val="0"/>
    <w:rPr>
      <w:rFonts w:ascii="宋体" w:hAnsi="宋体"/>
      <w:spacing w:val="6"/>
      <w:kern w:val="10"/>
      <w:sz w:val="24"/>
    </w:rPr>
  </w:style>
  <w:style w:type="paragraph" w:customStyle="1" w:styleId="116">
    <w:name w:val="表头"/>
    <w:basedOn w:val="1"/>
    <w:link w:val="115"/>
    <w:qFormat/>
    <w:uiPriority w:val="0"/>
    <w:pPr>
      <w:adjustRightInd w:val="0"/>
      <w:snapToGrid w:val="0"/>
      <w:spacing w:line="360" w:lineRule="auto"/>
      <w:jc w:val="center"/>
      <w:textAlignment w:val="baseline"/>
    </w:pPr>
    <w:rPr>
      <w:rFonts w:ascii="宋体" w:hAnsi="宋体"/>
      <w:spacing w:val="6"/>
      <w:kern w:val="10"/>
      <w:sz w:val="24"/>
      <w:szCs w:val="20"/>
    </w:rPr>
  </w:style>
  <w:style w:type="character" w:customStyle="1" w:styleId="117">
    <w:name w:val="正文（YHY-GDB) Char"/>
    <w:link w:val="118"/>
    <w:qFormat/>
    <w:uiPriority w:val="0"/>
    <w:rPr>
      <w:kern w:val="2"/>
      <w:sz w:val="24"/>
      <w:szCs w:val="24"/>
    </w:rPr>
  </w:style>
  <w:style w:type="paragraph" w:customStyle="1" w:styleId="118">
    <w:name w:val="正文（YHY-GDB)"/>
    <w:basedOn w:val="1"/>
    <w:link w:val="117"/>
    <w:qFormat/>
    <w:uiPriority w:val="0"/>
    <w:pPr>
      <w:spacing w:before="50" w:beforeLines="50" w:after="50" w:afterLines="50" w:line="360" w:lineRule="auto"/>
      <w:ind w:firstLine="200" w:firstLineChars="200"/>
    </w:pPr>
    <w:rPr>
      <w:sz w:val="24"/>
    </w:rPr>
  </w:style>
  <w:style w:type="character" w:customStyle="1" w:styleId="119">
    <w:name w:val="正文1-1 Char Char"/>
    <w:link w:val="120"/>
    <w:qFormat/>
    <w:uiPriority w:val="0"/>
    <w:rPr>
      <w:rFonts w:ascii="宋体" w:hAnsi="宋体" w:eastAsia="仿宋_GB2312" w:cs="宋体"/>
      <w:sz w:val="28"/>
      <w:szCs w:val="24"/>
    </w:rPr>
  </w:style>
  <w:style w:type="paragraph" w:customStyle="1" w:styleId="120">
    <w:name w:val="正文1-1"/>
    <w:basedOn w:val="1"/>
    <w:link w:val="119"/>
    <w:qFormat/>
    <w:uiPriority w:val="0"/>
    <w:pPr>
      <w:widowControl/>
      <w:snapToGrid w:val="0"/>
      <w:spacing w:line="360" w:lineRule="auto"/>
      <w:ind w:firstLine="200" w:firstLineChars="200"/>
      <w:jc w:val="left"/>
    </w:pPr>
    <w:rPr>
      <w:rFonts w:ascii="宋体" w:hAnsi="宋体" w:eastAsia="仿宋_GB2312" w:cs="宋体"/>
      <w:kern w:val="0"/>
      <w:sz w:val="28"/>
    </w:rPr>
  </w:style>
  <w:style w:type="character" w:customStyle="1" w:styleId="121">
    <w:name w:val="自定表格 Char"/>
    <w:link w:val="122"/>
    <w:qFormat/>
    <w:uiPriority w:val="0"/>
    <w:rPr>
      <w:sz w:val="21"/>
    </w:rPr>
  </w:style>
  <w:style w:type="paragraph" w:customStyle="1" w:styleId="122">
    <w:name w:val="自定表格"/>
    <w:basedOn w:val="1"/>
    <w:link w:val="121"/>
    <w:qFormat/>
    <w:uiPriority w:val="0"/>
    <w:pPr>
      <w:autoSpaceDE w:val="0"/>
      <w:autoSpaceDN w:val="0"/>
      <w:adjustRightInd w:val="0"/>
      <w:jc w:val="center"/>
      <w:textAlignment w:val="baseline"/>
    </w:pPr>
    <w:rPr>
      <w:kern w:val="0"/>
      <w:szCs w:val="20"/>
    </w:rPr>
  </w:style>
  <w:style w:type="character" w:customStyle="1" w:styleId="123">
    <w:name w:val="正文1"/>
    <w:qFormat/>
    <w:uiPriority w:val="0"/>
    <w:rPr>
      <w:rFonts w:hint="eastAsia" w:ascii="宋体" w:hAnsi="宋体" w:eastAsia="宋体"/>
      <w:color w:val="000000"/>
      <w:sz w:val="22"/>
      <w:szCs w:val="22"/>
    </w:rPr>
  </w:style>
  <w:style w:type="character" w:customStyle="1" w:styleId="124">
    <w:name w:val="正文文本缩进 2 字符1"/>
    <w:qFormat/>
    <w:uiPriority w:val="0"/>
    <w:rPr>
      <w:kern w:val="2"/>
      <w:sz w:val="21"/>
      <w:szCs w:val="24"/>
    </w:rPr>
  </w:style>
  <w:style w:type="character" w:customStyle="1" w:styleId="125">
    <w:name w:val="font31"/>
    <w:qFormat/>
    <w:uiPriority w:val="0"/>
    <w:rPr>
      <w:rFonts w:hint="eastAsia" w:ascii="宋体" w:hAnsi="宋体" w:eastAsia="宋体" w:cs="宋体"/>
      <w:color w:val="FF0000"/>
      <w:sz w:val="21"/>
      <w:szCs w:val="21"/>
      <w:u w:val="none"/>
    </w:rPr>
  </w:style>
  <w:style w:type="character" w:customStyle="1" w:styleId="126">
    <w:name w:val="表内文字1 字符"/>
    <w:link w:val="127"/>
    <w:qFormat/>
    <w:uiPriority w:val="0"/>
    <w:rPr>
      <w:color w:val="000000"/>
      <w:kern w:val="2"/>
      <w:sz w:val="24"/>
      <w:szCs w:val="52"/>
    </w:rPr>
  </w:style>
  <w:style w:type="paragraph" w:customStyle="1" w:styleId="127">
    <w:name w:val="表内文字1"/>
    <w:basedOn w:val="128"/>
    <w:link w:val="126"/>
    <w:qFormat/>
    <w:uiPriority w:val="0"/>
    <w:rPr>
      <w:color w:val="auto"/>
      <w:sz w:val="24"/>
      <w:szCs w:val="52"/>
    </w:rPr>
  </w:style>
  <w:style w:type="paragraph" w:customStyle="1" w:styleId="128">
    <w:name w:val="表内文字"/>
    <w:basedOn w:val="107"/>
    <w:link w:val="129"/>
    <w:qFormat/>
    <w:uiPriority w:val="0"/>
    <w:pPr>
      <w:spacing w:line="240" w:lineRule="auto"/>
      <w:ind w:firstLine="0" w:firstLineChars="0"/>
      <w:jc w:val="center"/>
    </w:pPr>
    <w:rPr>
      <w:sz w:val="18"/>
    </w:rPr>
  </w:style>
  <w:style w:type="character" w:customStyle="1" w:styleId="129">
    <w:name w:val="表内文字 字符"/>
    <w:link w:val="128"/>
    <w:qFormat/>
    <w:uiPriority w:val="0"/>
    <w:rPr>
      <w:color w:val="000000"/>
      <w:kern w:val="2"/>
      <w:sz w:val="18"/>
      <w:szCs w:val="36"/>
    </w:rPr>
  </w:style>
  <w:style w:type="character" w:customStyle="1" w:styleId="130">
    <w:name w:val="WW-编号"/>
    <w:qFormat/>
    <w:uiPriority w:val="0"/>
  </w:style>
  <w:style w:type="character" w:customStyle="1" w:styleId="131">
    <w:name w:val="yt正文 Char"/>
    <w:link w:val="132"/>
    <w:qFormat/>
    <w:locked/>
    <w:uiPriority w:val="0"/>
    <w:rPr>
      <w:kern w:val="2"/>
      <w:sz w:val="24"/>
      <w:szCs w:val="24"/>
    </w:rPr>
  </w:style>
  <w:style w:type="paragraph" w:customStyle="1" w:styleId="132">
    <w:name w:val="yt正文"/>
    <w:basedOn w:val="12"/>
    <w:next w:val="26"/>
    <w:link w:val="131"/>
    <w:qFormat/>
    <w:uiPriority w:val="0"/>
    <w:pPr>
      <w:adjustRightInd/>
      <w:spacing w:line="360" w:lineRule="auto"/>
      <w:ind w:firstLine="200"/>
      <w:textAlignment w:val="auto"/>
    </w:pPr>
    <w:rPr>
      <w:kern w:val="2"/>
      <w:sz w:val="24"/>
      <w:szCs w:val="24"/>
    </w:rPr>
  </w:style>
  <w:style w:type="character" w:customStyle="1" w:styleId="133">
    <w:name w:val="工艺方框 Char Char"/>
    <w:link w:val="134"/>
    <w:qFormat/>
    <w:uiPriority w:val="0"/>
    <w:rPr>
      <w:rFonts w:ascii="宋体"/>
      <w:snapToGrid/>
      <w:spacing w:val="4"/>
      <w:kern w:val="2"/>
      <w:sz w:val="21"/>
      <w:szCs w:val="21"/>
    </w:rPr>
  </w:style>
  <w:style w:type="paragraph" w:customStyle="1" w:styleId="134">
    <w:name w:val="工艺方框"/>
    <w:basedOn w:val="116"/>
    <w:link w:val="133"/>
    <w:qFormat/>
    <w:uiPriority w:val="0"/>
    <w:pPr>
      <w:spacing w:before="156" w:beforeLines="50" w:line="240" w:lineRule="auto"/>
    </w:pPr>
    <w:rPr>
      <w:rFonts w:hAnsi="Times New Roman"/>
      <w:snapToGrid w:val="0"/>
      <w:spacing w:val="4"/>
      <w:kern w:val="2"/>
      <w:sz w:val="21"/>
      <w:szCs w:val="21"/>
    </w:rPr>
  </w:style>
  <w:style w:type="character" w:customStyle="1" w:styleId="135">
    <w:name w:val="正文(首行缩进) Char"/>
    <w:link w:val="136"/>
    <w:qFormat/>
    <w:uiPriority w:val="0"/>
    <w:rPr>
      <w:rFonts w:ascii="宋体" w:hAnsi="宋体"/>
      <w:sz w:val="24"/>
    </w:rPr>
  </w:style>
  <w:style w:type="paragraph" w:customStyle="1" w:styleId="136">
    <w:name w:val="正文(首行缩进)"/>
    <w:basedOn w:val="1"/>
    <w:link w:val="135"/>
    <w:qFormat/>
    <w:uiPriority w:val="0"/>
    <w:pPr>
      <w:spacing w:line="360" w:lineRule="auto"/>
      <w:ind w:firstLine="510"/>
    </w:pPr>
    <w:rPr>
      <w:rFonts w:ascii="宋体" w:hAnsi="宋体"/>
      <w:kern w:val="0"/>
      <w:sz w:val="24"/>
      <w:szCs w:val="20"/>
    </w:rPr>
  </w:style>
  <w:style w:type="character" w:customStyle="1" w:styleId="137">
    <w:name w:val="font01"/>
    <w:qFormat/>
    <w:uiPriority w:val="0"/>
    <w:rPr>
      <w:rFonts w:hint="default" w:ascii="Times New Roman" w:hAnsi="Times New Roman" w:cs="Times New Roman"/>
      <w:color w:val="000000"/>
      <w:sz w:val="18"/>
      <w:szCs w:val="18"/>
      <w:u w:val="none"/>
    </w:rPr>
  </w:style>
  <w:style w:type="character" w:customStyle="1" w:styleId="138">
    <w:name w:val="批注文字 字符1"/>
    <w:qFormat/>
    <w:uiPriority w:val="99"/>
    <w:rPr>
      <w:rFonts w:ascii="Times New Roman" w:hAnsi="Times New Roman" w:eastAsia="宋体"/>
      <w:sz w:val="24"/>
    </w:rPr>
  </w:style>
  <w:style w:type="character" w:customStyle="1" w:styleId="139">
    <w:name w:val="表格居中 Char Char"/>
    <w:link w:val="140"/>
    <w:qFormat/>
    <w:uiPriority w:val="0"/>
    <w:rPr>
      <w:rFonts w:ascii="宋体" w:hAnsi="宋体"/>
      <w:w w:val="90"/>
      <w:sz w:val="24"/>
      <w:szCs w:val="24"/>
    </w:rPr>
  </w:style>
  <w:style w:type="paragraph" w:customStyle="1" w:styleId="140">
    <w:name w:val="表格居中 Char"/>
    <w:basedOn w:val="1"/>
    <w:link w:val="139"/>
    <w:qFormat/>
    <w:uiPriority w:val="0"/>
    <w:pPr>
      <w:jc w:val="center"/>
    </w:pPr>
    <w:rPr>
      <w:rFonts w:ascii="宋体" w:hAnsi="宋体"/>
      <w:w w:val="90"/>
      <w:kern w:val="0"/>
      <w:sz w:val="24"/>
    </w:rPr>
  </w:style>
  <w:style w:type="character" w:customStyle="1" w:styleId="141">
    <w:name w:val="表头 Char"/>
    <w:qFormat/>
    <w:uiPriority w:val="0"/>
    <w:rPr>
      <w:rFonts w:ascii="宋体"/>
      <w:spacing w:val="4"/>
      <w:sz w:val="24"/>
    </w:rPr>
  </w:style>
  <w:style w:type="character" w:customStyle="1" w:styleId="142">
    <w:name w:val="表格文字 Char"/>
    <w:link w:val="143"/>
    <w:qFormat/>
    <w:uiPriority w:val="0"/>
    <w:rPr>
      <w:rFonts w:ascii="仿宋_GB2312" w:hAnsi="Arial Black" w:eastAsia="仿宋_GB2312"/>
      <w:kern w:val="44"/>
      <w:sz w:val="24"/>
    </w:rPr>
  </w:style>
  <w:style w:type="paragraph" w:customStyle="1" w:styleId="143">
    <w:name w:val="表格文字"/>
    <w:basedOn w:val="1"/>
    <w:link w:val="142"/>
    <w:qFormat/>
    <w:uiPriority w:val="0"/>
    <w:pPr>
      <w:jc w:val="center"/>
    </w:pPr>
    <w:rPr>
      <w:rFonts w:ascii="仿宋_GB2312" w:hAnsi="Arial Black" w:eastAsia="仿宋_GB2312"/>
      <w:kern w:val="44"/>
      <w:sz w:val="24"/>
      <w:szCs w:val="20"/>
    </w:rPr>
  </w:style>
  <w:style w:type="character" w:customStyle="1" w:styleId="144">
    <w:name w:val="批注主题 字符1"/>
    <w:qFormat/>
    <w:uiPriority w:val="99"/>
    <w:rPr>
      <w:rFonts w:hint="default" w:ascii="Times New Roman" w:hAnsi="Times New Roman" w:eastAsia="宋体" w:cs="Times New Roman"/>
      <w:b/>
      <w:bCs/>
      <w:kern w:val="0"/>
      <w:szCs w:val="20"/>
      <w:lang w:bidi="ar-SA"/>
    </w:rPr>
  </w:style>
  <w:style w:type="character" w:customStyle="1" w:styleId="145">
    <w:name w:val="unnamed11"/>
    <w:qFormat/>
    <w:uiPriority w:val="0"/>
  </w:style>
  <w:style w:type="character" w:customStyle="1" w:styleId="146">
    <w:name w:val="页脚 字符1"/>
    <w:qFormat/>
    <w:uiPriority w:val="0"/>
    <w:rPr>
      <w:rFonts w:hint="default" w:ascii="Times New Roman" w:hAnsi="Times New Roman" w:eastAsia="宋体" w:cs="Times New Roman"/>
      <w:kern w:val="0"/>
      <w:sz w:val="18"/>
      <w:szCs w:val="18"/>
      <w:lang w:bidi="ar-SA"/>
    </w:rPr>
  </w:style>
  <w:style w:type="character" w:customStyle="1" w:styleId="147">
    <w:name w:val="正文文本缩进 3 字符1"/>
    <w:qFormat/>
    <w:uiPriority w:val="0"/>
    <w:rPr>
      <w:kern w:val="2"/>
      <w:sz w:val="16"/>
      <w:szCs w:val="16"/>
    </w:rPr>
  </w:style>
  <w:style w:type="character" w:customStyle="1" w:styleId="148">
    <w:name w:val="hh1"/>
    <w:qFormat/>
    <w:uiPriority w:val="0"/>
    <w:rPr>
      <w:u w:val="none"/>
    </w:rPr>
  </w:style>
  <w:style w:type="character" w:customStyle="1" w:styleId="149">
    <w:name w:val="正文缩进 字符1"/>
    <w:qFormat/>
    <w:uiPriority w:val="0"/>
    <w:rPr>
      <w:rFonts w:ascii="宋体" w:hAnsi="宋体" w:cs="宋体"/>
      <w:sz w:val="22"/>
      <w:szCs w:val="22"/>
      <w:lang w:eastAsia="en-US"/>
    </w:rPr>
  </w:style>
  <w:style w:type="character" w:customStyle="1" w:styleId="150">
    <w:name w:val="表、图名宋旭峰 Char Char"/>
    <w:link w:val="151"/>
    <w:qFormat/>
    <w:uiPriority w:val="0"/>
    <w:rPr>
      <w:rFonts w:ascii="宋体" w:hAnsi="宋体"/>
      <w:b/>
      <w:snapToGrid/>
      <w:sz w:val="24"/>
      <w:szCs w:val="24"/>
    </w:rPr>
  </w:style>
  <w:style w:type="paragraph" w:customStyle="1" w:styleId="151">
    <w:name w:val="表、图名宋旭峰"/>
    <w:basedOn w:val="1"/>
    <w:link w:val="150"/>
    <w:qFormat/>
    <w:uiPriority w:val="0"/>
    <w:pPr>
      <w:ind w:firstLine="472" w:firstLineChars="196"/>
      <w:jc w:val="left"/>
    </w:pPr>
    <w:rPr>
      <w:rFonts w:ascii="宋体" w:hAnsi="宋体"/>
      <w:b/>
      <w:snapToGrid w:val="0"/>
      <w:kern w:val="0"/>
      <w:sz w:val="24"/>
    </w:rPr>
  </w:style>
  <w:style w:type="character" w:customStyle="1" w:styleId="152">
    <w:name w:val="页眉 字符"/>
    <w:qFormat/>
    <w:uiPriority w:val="99"/>
    <w:rPr>
      <w:sz w:val="18"/>
    </w:rPr>
  </w:style>
  <w:style w:type="character" w:customStyle="1" w:styleId="153">
    <w:name w:val="文档结构图 字符1"/>
    <w:qFormat/>
    <w:uiPriority w:val="0"/>
    <w:rPr>
      <w:rFonts w:ascii="Microsoft YaHei UI" w:eastAsia="Microsoft YaHei UI"/>
      <w:kern w:val="2"/>
      <w:sz w:val="18"/>
      <w:szCs w:val="18"/>
    </w:rPr>
  </w:style>
  <w:style w:type="character" w:customStyle="1" w:styleId="154">
    <w:name w:val="正文文本 2 字符1"/>
    <w:qFormat/>
    <w:uiPriority w:val="0"/>
    <w:rPr>
      <w:kern w:val="2"/>
      <w:sz w:val="21"/>
      <w:szCs w:val="24"/>
    </w:rPr>
  </w:style>
  <w:style w:type="character" w:customStyle="1" w:styleId="155">
    <w:name w:val="D图表内容 字符"/>
    <w:link w:val="156"/>
    <w:qFormat/>
    <w:uiPriority w:val="0"/>
    <w:rPr>
      <w:rFonts w:cs="宋体"/>
      <w:kern w:val="2"/>
      <w:sz w:val="21"/>
      <w:szCs w:val="18"/>
    </w:rPr>
  </w:style>
  <w:style w:type="paragraph" w:customStyle="1" w:styleId="156">
    <w:name w:val="D图表内容"/>
    <w:basedOn w:val="1"/>
    <w:next w:val="1"/>
    <w:link w:val="155"/>
    <w:qFormat/>
    <w:uiPriority w:val="0"/>
    <w:pPr>
      <w:widowControl/>
      <w:jc w:val="center"/>
    </w:pPr>
    <w:rPr>
      <w:rFonts w:cs="宋体"/>
      <w:szCs w:val="18"/>
    </w:rPr>
  </w:style>
  <w:style w:type="character" w:customStyle="1" w:styleId="157">
    <w:name w:val="正文01 Char Char"/>
    <w:link w:val="158"/>
    <w:qFormat/>
    <w:uiPriority w:val="0"/>
    <w:rPr>
      <w:snapToGrid/>
      <w:sz w:val="24"/>
    </w:rPr>
  </w:style>
  <w:style w:type="paragraph" w:customStyle="1" w:styleId="158">
    <w:name w:val="正文01"/>
    <w:basedOn w:val="1"/>
    <w:link w:val="157"/>
    <w:qFormat/>
    <w:uiPriority w:val="0"/>
    <w:pPr>
      <w:spacing w:before="60" w:line="460" w:lineRule="exact"/>
      <w:ind w:firstLine="200" w:firstLineChars="200"/>
    </w:pPr>
    <w:rPr>
      <w:snapToGrid w:val="0"/>
      <w:kern w:val="0"/>
      <w:sz w:val="24"/>
      <w:szCs w:val="20"/>
    </w:rPr>
  </w:style>
  <w:style w:type="character" w:customStyle="1" w:styleId="159">
    <w:name w:val="正本文字 Char"/>
    <w:link w:val="160"/>
    <w:qFormat/>
    <w:locked/>
    <w:uiPriority w:val="0"/>
    <w:rPr>
      <w:rFonts w:cs="宋体"/>
      <w:kern w:val="18"/>
      <w:sz w:val="24"/>
      <w:szCs w:val="24"/>
    </w:rPr>
  </w:style>
  <w:style w:type="paragraph" w:customStyle="1" w:styleId="160">
    <w:name w:val="正本文字"/>
    <w:basedOn w:val="1"/>
    <w:link w:val="159"/>
    <w:qFormat/>
    <w:uiPriority w:val="0"/>
    <w:pPr>
      <w:adjustRightInd w:val="0"/>
      <w:snapToGrid w:val="0"/>
      <w:spacing w:line="360" w:lineRule="auto"/>
      <w:ind w:firstLine="200" w:firstLineChars="200"/>
      <w:jc w:val="left"/>
    </w:pPr>
    <w:rPr>
      <w:rFonts w:cs="宋体"/>
      <w:kern w:val="18"/>
      <w:sz w:val="24"/>
    </w:rPr>
  </w:style>
  <w:style w:type="character" w:customStyle="1" w:styleId="161">
    <w:name w:val="居中正文 Char Char"/>
    <w:link w:val="162"/>
    <w:qFormat/>
    <w:uiPriority w:val="0"/>
    <w:rPr>
      <w:rFonts w:ascii="宋体"/>
      <w:kern w:val="28"/>
      <w:sz w:val="24"/>
    </w:rPr>
  </w:style>
  <w:style w:type="paragraph" w:customStyle="1" w:styleId="162">
    <w:name w:val="居中正文"/>
    <w:basedOn w:val="44"/>
    <w:link w:val="161"/>
    <w:qFormat/>
    <w:uiPriority w:val="0"/>
    <w:pPr>
      <w:adjustRightInd w:val="0"/>
      <w:spacing w:before="120" w:after="0"/>
      <w:ind w:firstLine="0" w:firstLineChars="0"/>
      <w:jc w:val="center"/>
      <w:textAlignment w:val="baseline"/>
    </w:pPr>
    <w:rPr>
      <w:rFonts w:hAnsi="Times New Roman"/>
      <w:kern w:val="28"/>
    </w:rPr>
  </w:style>
  <w:style w:type="character" w:customStyle="1" w:styleId="163">
    <w:name w:val="正文文本缩进 字符1"/>
    <w:qFormat/>
    <w:uiPriority w:val="99"/>
    <w:rPr>
      <w:sz w:val="21"/>
    </w:rPr>
  </w:style>
  <w:style w:type="character" w:customStyle="1" w:styleId="164">
    <w:name w:val="标题 1 Char Char"/>
    <w:qFormat/>
    <w:uiPriority w:val="0"/>
    <w:rPr>
      <w:rFonts w:ascii="宋体" w:hAnsi="宋体" w:eastAsia="宋体"/>
      <w:b/>
      <w:bCs/>
      <w:kern w:val="36"/>
      <w:sz w:val="32"/>
      <w:szCs w:val="32"/>
      <w:lang w:val="en-US" w:eastAsia="zh-CN" w:bidi="ar-SA"/>
    </w:rPr>
  </w:style>
  <w:style w:type="character" w:customStyle="1" w:styleId="165">
    <w:name w:val="A9"/>
    <w:qFormat/>
    <w:uiPriority w:val="0"/>
    <w:rPr>
      <w:rFonts w:cs="HYKaiTiJ"/>
      <w:color w:val="000000"/>
      <w:sz w:val="18"/>
      <w:szCs w:val="18"/>
    </w:rPr>
  </w:style>
  <w:style w:type="character" w:customStyle="1" w:styleId="166">
    <w:name w:val="headline-content2"/>
    <w:qFormat/>
    <w:uiPriority w:val="0"/>
  </w:style>
  <w:style w:type="character" w:customStyle="1" w:styleId="167">
    <w:name w:val="_B五号图表加粗 字符"/>
    <w:link w:val="168"/>
    <w:qFormat/>
    <w:locked/>
    <w:uiPriority w:val="0"/>
    <w:rPr>
      <w:rFonts w:ascii="宋体" w:cs="宋体"/>
      <w:b/>
      <w:kern w:val="2"/>
      <w:sz w:val="21"/>
      <w:szCs w:val="18"/>
    </w:rPr>
  </w:style>
  <w:style w:type="paragraph" w:customStyle="1" w:styleId="168">
    <w:name w:val="_B五号图表加粗"/>
    <w:basedOn w:val="169"/>
    <w:link w:val="167"/>
    <w:qFormat/>
    <w:uiPriority w:val="0"/>
    <w:rPr>
      <w:b/>
    </w:rPr>
  </w:style>
  <w:style w:type="paragraph" w:customStyle="1" w:styleId="169">
    <w:name w:val="_B五号图表内容"/>
    <w:basedOn w:val="1"/>
    <w:next w:val="1"/>
    <w:link w:val="170"/>
    <w:qFormat/>
    <w:uiPriority w:val="0"/>
    <w:pPr>
      <w:widowControl/>
      <w:spacing w:line="240" w:lineRule="atLeast"/>
      <w:jc w:val="center"/>
    </w:pPr>
    <w:rPr>
      <w:rFonts w:ascii="宋体" w:cs="宋体"/>
      <w:szCs w:val="18"/>
    </w:rPr>
  </w:style>
  <w:style w:type="character" w:customStyle="1" w:styleId="170">
    <w:name w:val="_B五号图表内容 字符"/>
    <w:link w:val="169"/>
    <w:qFormat/>
    <w:locked/>
    <w:uiPriority w:val="0"/>
    <w:rPr>
      <w:rFonts w:ascii="宋体" w:cs="宋体"/>
      <w:kern w:val="2"/>
      <w:sz w:val="21"/>
      <w:szCs w:val="18"/>
    </w:rPr>
  </w:style>
  <w:style w:type="character" w:customStyle="1" w:styleId="171">
    <w:name w:val="正文文本 字符1"/>
    <w:qFormat/>
    <w:uiPriority w:val="99"/>
    <w:rPr>
      <w:rFonts w:ascii="Times New Roman" w:hAnsi="Times New Roman" w:eastAsia="宋体"/>
      <w:sz w:val="24"/>
    </w:rPr>
  </w:style>
  <w:style w:type="character" w:customStyle="1" w:styleId="172">
    <w:name w:val="表内文字2 字符"/>
    <w:link w:val="173"/>
    <w:qFormat/>
    <w:uiPriority w:val="0"/>
    <w:rPr>
      <w:b/>
      <w:bCs/>
      <w:color w:val="000000"/>
      <w:kern w:val="2"/>
      <w:sz w:val="24"/>
      <w:szCs w:val="24"/>
    </w:rPr>
  </w:style>
  <w:style w:type="paragraph" w:customStyle="1" w:styleId="173">
    <w:name w:val="表内文字2"/>
    <w:basedOn w:val="1"/>
    <w:link w:val="172"/>
    <w:qFormat/>
    <w:uiPriority w:val="0"/>
    <w:pPr>
      <w:adjustRightInd w:val="0"/>
      <w:snapToGrid w:val="0"/>
      <w:jc w:val="center"/>
    </w:pPr>
    <w:rPr>
      <w:b/>
      <w:bCs/>
      <w:color w:val="000000"/>
      <w:sz w:val="24"/>
    </w:rPr>
  </w:style>
  <w:style w:type="character" w:customStyle="1" w:styleId="174">
    <w:name w:val="znspantitle"/>
    <w:qFormat/>
    <w:uiPriority w:val="0"/>
    <w:rPr>
      <w:b/>
      <w:color w:val="333333"/>
    </w:rPr>
  </w:style>
  <w:style w:type="character" w:customStyle="1" w:styleId="175">
    <w:name w:val="正文格式1 字符"/>
    <w:link w:val="176"/>
    <w:qFormat/>
    <w:uiPriority w:val="0"/>
    <w:rPr>
      <w:b/>
      <w:bCs/>
      <w:kern w:val="2"/>
      <w:sz w:val="24"/>
      <w:szCs w:val="24"/>
    </w:rPr>
  </w:style>
  <w:style w:type="paragraph" w:customStyle="1" w:styleId="176">
    <w:name w:val="正文格式1"/>
    <w:basedOn w:val="1"/>
    <w:link w:val="175"/>
    <w:qFormat/>
    <w:uiPriority w:val="0"/>
    <w:pPr>
      <w:tabs>
        <w:tab w:val="left" w:pos="0"/>
      </w:tabs>
      <w:spacing w:line="360" w:lineRule="auto"/>
      <w:ind w:firstLine="482" w:firstLineChars="200"/>
      <w:jc w:val="left"/>
    </w:pPr>
    <w:rPr>
      <w:b/>
      <w:bCs/>
      <w:sz w:val="24"/>
    </w:rPr>
  </w:style>
  <w:style w:type="character" w:customStyle="1" w:styleId="177">
    <w:name w:val="图标准 Char Char"/>
    <w:link w:val="178"/>
    <w:qFormat/>
    <w:uiPriority w:val="0"/>
    <w:rPr>
      <w:rFonts w:ascii="仿宋_GB2312" w:eastAsia="黑体"/>
      <w:b/>
      <w:snapToGrid/>
      <w:spacing w:val="4"/>
      <w:kern w:val="18"/>
      <w:sz w:val="24"/>
      <w:szCs w:val="28"/>
    </w:rPr>
  </w:style>
  <w:style w:type="paragraph" w:customStyle="1" w:styleId="178">
    <w:name w:val="图标准"/>
    <w:basedOn w:val="179"/>
    <w:link w:val="177"/>
    <w:qFormat/>
    <w:uiPriority w:val="0"/>
    <w:pPr>
      <w:tabs>
        <w:tab w:val="left" w:pos="0"/>
      </w:tabs>
      <w:spacing w:before="312" w:beforeLines="100" w:line="360" w:lineRule="auto"/>
    </w:pPr>
    <w:rPr>
      <w:szCs w:val="28"/>
    </w:rPr>
  </w:style>
  <w:style w:type="paragraph" w:customStyle="1" w:styleId="179">
    <w:name w:val="表格标题新"/>
    <w:basedOn w:val="180"/>
    <w:link w:val="182"/>
    <w:qFormat/>
    <w:uiPriority w:val="0"/>
    <w:pPr>
      <w:tabs>
        <w:tab w:val="left" w:pos="0"/>
      </w:tabs>
      <w:spacing w:before="156" w:beforeLines="50"/>
      <w:ind w:firstLine="562"/>
    </w:pPr>
    <w:rPr>
      <w:rFonts w:eastAsia="黑体"/>
      <w:b/>
      <w:snapToGrid w:val="0"/>
    </w:rPr>
  </w:style>
  <w:style w:type="paragraph" w:customStyle="1" w:styleId="180">
    <w:name w:val="表格内文字"/>
    <w:basedOn w:val="1"/>
    <w:link w:val="181"/>
    <w:qFormat/>
    <w:uiPriority w:val="0"/>
    <w:pPr>
      <w:tabs>
        <w:tab w:val="left" w:pos="0"/>
      </w:tabs>
      <w:adjustRightInd w:val="0"/>
      <w:snapToGrid w:val="0"/>
      <w:jc w:val="center"/>
    </w:pPr>
    <w:rPr>
      <w:rFonts w:ascii="仿宋_GB2312" w:eastAsia="仿宋_GB2312"/>
      <w:spacing w:val="4"/>
      <w:kern w:val="18"/>
      <w:sz w:val="24"/>
    </w:rPr>
  </w:style>
  <w:style w:type="character" w:customStyle="1" w:styleId="181">
    <w:name w:val="表格内文字 Char Char"/>
    <w:link w:val="180"/>
    <w:qFormat/>
    <w:uiPriority w:val="0"/>
    <w:rPr>
      <w:rFonts w:ascii="仿宋_GB2312" w:eastAsia="仿宋_GB2312"/>
      <w:spacing w:val="4"/>
      <w:kern w:val="18"/>
      <w:sz w:val="24"/>
      <w:szCs w:val="24"/>
    </w:rPr>
  </w:style>
  <w:style w:type="character" w:customStyle="1" w:styleId="182">
    <w:name w:val="表格标题新 Char Char"/>
    <w:link w:val="179"/>
    <w:qFormat/>
    <w:uiPriority w:val="0"/>
    <w:rPr>
      <w:rFonts w:ascii="仿宋_GB2312" w:eastAsia="黑体"/>
      <w:b/>
      <w:snapToGrid/>
      <w:spacing w:val="4"/>
      <w:kern w:val="18"/>
      <w:sz w:val="24"/>
      <w:szCs w:val="24"/>
    </w:rPr>
  </w:style>
  <w:style w:type="character" w:customStyle="1" w:styleId="183">
    <w:name w:val="批注框文本 字符1"/>
    <w:qFormat/>
    <w:uiPriority w:val="99"/>
    <w:rPr>
      <w:rFonts w:hint="default" w:ascii="Times New Roman" w:hAnsi="Times New Roman" w:eastAsia="宋体" w:cs="Times New Roman"/>
      <w:kern w:val="0"/>
      <w:sz w:val="18"/>
      <w:szCs w:val="18"/>
      <w:lang w:bidi="ar-SA"/>
    </w:rPr>
  </w:style>
  <w:style w:type="character" w:customStyle="1" w:styleId="184">
    <w:name w:val="正文格式2 字符"/>
    <w:link w:val="185"/>
    <w:qFormat/>
    <w:uiPriority w:val="0"/>
    <w:rPr>
      <w:b/>
      <w:bCs/>
      <w:kern w:val="2"/>
      <w:sz w:val="24"/>
      <w:szCs w:val="36"/>
    </w:rPr>
  </w:style>
  <w:style w:type="paragraph" w:customStyle="1" w:styleId="185">
    <w:name w:val="正文格式2"/>
    <w:basedOn w:val="107"/>
    <w:link w:val="184"/>
    <w:qFormat/>
    <w:uiPriority w:val="0"/>
    <w:pPr>
      <w:ind w:firstLine="482"/>
    </w:pPr>
    <w:rPr>
      <w:b/>
      <w:bCs/>
      <w:color w:val="auto"/>
    </w:rPr>
  </w:style>
  <w:style w:type="character" w:customStyle="1" w:styleId="186">
    <w:name w:val="标题 3 Char1"/>
    <w:qFormat/>
    <w:uiPriority w:val="0"/>
    <w:rPr>
      <w:rFonts w:ascii="Arial" w:hAnsi="Arial" w:eastAsia="宋体"/>
      <w:b/>
      <w:bCs/>
      <w:kern w:val="2"/>
      <w:sz w:val="32"/>
      <w:szCs w:val="32"/>
      <w:lang w:val="en-US" w:eastAsia="zh-CN" w:bidi="ar-SA"/>
    </w:rPr>
  </w:style>
  <w:style w:type="character" w:customStyle="1" w:styleId="187">
    <w:name w:val="Body text + Arial Unicode MS"/>
    <w:qFormat/>
    <w:uiPriority w:val="0"/>
    <w:rPr>
      <w:rFonts w:ascii="Arial Unicode MS" w:hAnsi="Arial Unicode MS" w:eastAsia="Arial Unicode MS" w:cs="Arial Unicode MS"/>
      <w:color w:val="000000"/>
      <w:spacing w:val="10"/>
      <w:w w:val="100"/>
      <w:kern w:val="0"/>
      <w:position w:val="0"/>
      <w:sz w:val="19"/>
      <w:szCs w:val="19"/>
      <w:shd w:val="clear" w:color="auto" w:fill="FFFFFF"/>
      <w:lang w:val="en-US"/>
    </w:rPr>
  </w:style>
  <w:style w:type="character" w:customStyle="1" w:styleId="188">
    <w:name w:val="正文文本 3 字符1"/>
    <w:qFormat/>
    <w:uiPriority w:val="0"/>
    <w:rPr>
      <w:kern w:val="2"/>
      <w:sz w:val="16"/>
      <w:szCs w:val="16"/>
    </w:rPr>
  </w:style>
  <w:style w:type="character" w:customStyle="1" w:styleId="189">
    <w:name w:val="HTML 预设格式 字符1"/>
    <w:qFormat/>
    <w:uiPriority w:val="99"/>
    <w:rPr>
      <w:rFonts w:ascii="Courier New" w:hAnsi="Courier New" w:cs="Courier New"/>
      <w:kern w:val="2"/>
    </w:rPr>
  </w:style>
  <w:style w:type="character" w:customStyle="1" w:styleId="190">
    <w:name w:val="表格正文 Char Char Char"/>
    <w:link w:val="191"/>
    <w:qFormat/>
    <w:uiPriority w:val="0"/>
    <w:rPr>
      <w:rFonts w:ascii="宋体"/>
      <w:snapToGrid/>
      <w:spacing w:val="4"/>
      <w:w w:val="90"/>
      <w:kern w:val="18"/>
      <w:sz w:val="24"/>
    </w:rPr>
  </w:style>
  <w:style w:type="paragraph" w:customStyle="1" w:styleId="191">
    <w:name w:val="表格正文 Char Char"/>
    <w:basedOn w:val="1"/>
    <w:next w:val="1"/>
    <w:link w:val="190"/>
    <w:qFormat/>
    <w:uiPriority w:val="0"/>
    <w:pPr>
      <w:adjustRightInd w:val="0"/>
      <w:snapToGrid w:val="0"/>
      <w:jc w:val="center"/>
      <w:textAlignment w:val="baseline"/>
    </w:pPr>
    <w:rPr>
      <w:rFonts w:ascii="宋体"/>
      <w:snapToGrid w:val="0"/>
      <w:spacing w:val="4"/>
      <w:w w:val="90"/>
      <w:kern w:val="18"/>
      <w:sz w:val="24"/>
      <w:szCs w:val="20"/>
    </w:rPr>
  </w:style>
  <w:style w:type="character" w:customStyle="1" w:styleId="192">
    <w:name w:val="日期 字符1"/>
    <w:qFormat/>
    <w:uiPriority w:val="99"/>
    <w:rPr>
      <w:rFonts w:hint="default" w:ascii="Times New Roman" w:hAnsi="Times New Roman" w:eastAsia="宋体" w:cs="Times New Roman"/>
      <w:kern w:val="0"/>
      <w:szCs w:val="20"/>
      <w:lang w:bidi="ar-SA"/>
    </w:rPr>
  </w:style>
  <w:style w:type="character" w:customStyle="1" w:styleId="193">
    <w:name w:val="表格标题标题 Char"/>
    <w:link w:val="194"/>
    <w:qFormat/>
    <w:uiPriority w:val="0"/>
    <w:rPr>
      <w:rFonts w:eastAsia="黑体" w:cs="宋体"/>
      <w:kern w:val="18"/>
      <w:sz w:val="24"/>
    </w:rPr>
  </w:style>
  <w:style w:type="paragraph" w:customStyle="1" w:styleId="194">
    <w:name w:val="表格标题标题"/>
    <w:basedOn w:val="160"/>
    <w:link w:val="193"/>
    <w:qFormat/>
    <w:uiPriority w:val="0"/>
    <w:pPr>
      <w:spacing w:line="240" w:lineRule="auto"/>
      <w:ind w:firstLine="0" w:firstLineChars="0"/>
      <w:jc w:val="center"/>
    </w:pPr>
    <w:rPr>
      <w:rFonts w:eastAsia="黑体"/>
      <w:szCs w:val="20"/>
    </w:rPr>
  </w:style>
  <w:style w:type="character" w:customStyle="1" w:styleId="195">
    <w:name w:val="报告 Char"/>
    <w:qFormat/>
    <w:uiPriority w:val="0"/>
    <w:rPr>
      <w:rFonts w:eastAsia="宋体"/>
      <w:sz w:val="24"/>
      <w:lang w:val="en-US" w:eastAsia="zh-CN" w:bidi="ar-SA"/>
    </w:rPr>
  </w:style>
  <w:style w:type="character" w:customStyle="1" w:styleId="196">
    <w:name w:val="font11"/>
    <w:qFormat/>
    <w:uiPriority w:val="0"/>
    <w:rPr>
      <w:rFonts w:hint="default" w:ascii="Times New Roman" w:hAnsi="Times New Roman" w:cs="Times New Roman"/>
      <w:color w:val="000000"/>
      <w:sz w:val="21"/>
      <w:szCs w:val="21"/>
      <w:u w:val="none"/>
    </w:rPr>
  </w:style>
  <w:style w:type="character" w:customStyle="1" w:styleId="197">
    <w:name w:val="正文一级标题 字符"/>
    <w:link w:val="198"/>
    <w:qFormat/>
    <w:uiPriority w:val="0"/>
    <w:rPr>
      <w:b/>
      <w:color w:val="000000"/>
      <w:kern w:val="2"/>
      <w:sz w:val="24"/>
      <w:szCs w:val="24"/>
    </w:rPr>
  </w:style>
  <w:style w:type="paragraph" w:customStyle="1" w:styleId="198">
    <w:name w:val="正文一级标题"/>
    <w:basedOn w:val="1"/>
    <w:link w:val="197"/>
    <w:qFormat/>
    <w:uiPriority w:val="0"/>
    <w:pPr>
      <w:adjustRightInd w:val="0"/>
      <w:snapToGrid w:val="0"/>
      <w:spacing w:line="360" w:lineRule="auto"/>
      <w:ind w:firstLine="200" w:firstLineChars="200"/>
      <w:jc w:val="left"/>
    </w:pPr>
    <w:rPr>
      <w:b/>
      <w:color w:val="000000"/>
      <w:sz w:val="24"/>
    </w:rPr>
  </w:style>
  <w:style w:type="character" w:customStyle="1" w:styleId="199">
    <w:name w:val="正文文本1"/>
    <w:qFormat/>
    <w:uiPriority w:val="0"/>
    <w:rPr>
      <w:rFonts w:ascii="MingLiU" w:hAnsi="MingLiU" w:eastAsia="MingLiU" w:cs="MingLiU"/>
      <w:color w:val="000000"/>
      <w:spacing w:val="0"/>
      <w:w w:val="100"/>
      <w:kern w:val="0"/>
      <w:position w:val="0"/>
      <w:sz w:val="19"/>
      <w:szCs w:val="19"/>
      <w:shd w:val="clear" w:color="auto" w:fill="FFFFFF"/>
      <w:lang w:val="zh-TW"/>
    </w:rPr>
  </w:style>
  <w:style w:type="character" w:customStyle="1" w:styleId="200">
    <w:name w:val="表格内正文 Char1"/>
    <w:link w:val="201"/>
    <w:qFormat/>
    <w:uiPriority w:val="0"/>
    <w:rPr>
      <w:rFonts w:ascii="宋体" w:hAnsi="宋体"/>
      <w:spacing w:val="4"/>
      <w:kern w:val="18"/>
      <w:sz w:val="24"/>
      <w:szCs w:val="24"/>
    </w:rPr>
  </w:style>
  <w:style w:type="paragraph" w:customStyle="1" w:styleId="201">
    <w:name w:val="表格内正文"/>
    <w:basedOn w:val="1"/>
    <w:link w:val="200"/>
    <w:qFormat/>
    <w:uiPriority w:val="0"/>
    <w:pPr>
      <w:spacing w:line="360" w:lineRule="auto"/>
      <w:ind w:firstLine="493"/>
    </w:pPr>
    <w:rPr>
      <w:rFonts w:ascii="宋体" w:hAnsi="宋体"/>
      <w:spacing w:val="4"/>
      <w:kern w:val="18"/>
      <w:sz w:val="24"/>
    </w:rPr>
  </w:style>
  <w:style w:type="character" w:customStyle="1" w:styleId="202">
    <w:name w:val="文本正文 Char1"/>
    <w:link w:val="203"/>
    <w:qFormat/>
    <w:uiPriority w:val="0"/>
    <w:rPr>
      <w:rFonts w:ascii="宋体"/>
      <w:spacing w:val="4"/>
      <w:kern w:val="24"/>
      <w:sz w:val="24"/>
      <w:szCs w:val="24"/>
      <w:lang w:val="zh-CN"/>
    </w:rPr>
  </w:style>
  <w:style w:type="paragraph" w:customStyle="1" w:styleId="203">
    <w:name w:val="文本正文"/>
    <w:basedOn w:val="1"/>
    <w:link w:val="202"/>
    <w:qFormat/>
    <w:uiPriority w:val="0"/>
    <w:pPr>
      <w:snapToGrid w:val="0"/>
      <w:spacing w:line="360" w:lineRule="auto"/>
      <w:ind w:firstLine="200" w:firstLineChars="200"/>
      <w:jc w:val="left"/>
    </w:pPr>
    <w:rPr>
      <w:rFonts w:ascii="宋体"/>
      <w:spacing w:val="4"/>
      <w:kern w:val="24"/>
      <w:sz w:val="24"/>
      <w:lang w:val="zh-CN"/>
    </w:rPr>
  </w:style>
  <w:style w:type="character" w:customStyle="1" w:styleId="204">
    <w:name w:val="正文文本2"/>
    <w:qFormat/>
    <w:uiPriority w:val="0"/>
    <w:rPr>
      <w:rFonts w:ascii="MingLiU" w:hAnsi="MingLiU" w:eastAsia="MingLiU" w:cs="MingLiU"/>
      <w:color w:val="000000"/>
      <w:spacing w:val="0"/>
      <w:w w:val="100"/>
      <w:position w:val="0"/>
      <w:sz w:val="19"/>
      <w:szCs w:val="19"/>
      <w:shd w:val="clear" w:color="auto" w:fill="FFFFFF"/>
      <w:lang w:val="zh-TW"/>
    </w:rPr>
  </w:style>
  <w:style w:type="character" w:customStyle="1" w:styleId="205">
    <w:name w:val="标题 字符1"/>
    <w:qFormat/>
    <w:uiPriority w:val="0"/>
    <w:rPr>
      <w:rFonts w:ascii="等线 Light" w:hAnsi="等线 Light" w:cs="Times New Roman"/>
      <w:b/>
      <w:bCs/>
      <w:kern w:val="2"/>
      <w:sz w:val="32"/>
      <w:szCs w:val="32"/>
    </w:rPr>
  </w:style>
  <w:style w:type="character" w:customStyle="1" w:styleId="206">
    <w:name w:val="批注文字 字符"/>
    <w:qFormat/>
    <w:uiPriority w:val="99"/>
    <w:rPr>
      <w:sz w:val="21"/>
    </w:rPr>
  </w:style>
  <w:style w:type="character" w:customStyle="1" w:styleId="207">
    <w:name w:val="apple-style-span"/>
    <w:qFormat/>
    <w:uiPriority w:val="0"/>
    <w:rPr>
      <w:kern w:val="2"/>
      <w:sz w:val="21"/>
    </w:rPr>
  </w:style>
  <w:style w:type="character" w:customStyle="1" w:styleId="208">
    <w:name w:val="表格中文字 Char"/>
    <w:link w:val="209"/>
    <w:qFormat/>
    <w:uiPriority w:val="0"/>
    <w:rPr>
      <w:rFonts w:ascii="宋体" w:hAnsi="宋体"/>
      <w:kern w:val="18"/>
      <w:sz w:val="21"/>
      <w:szCs w:val="21"/>
    </w:rPr>
  </w:style>
  <w:style w:type="paragraph" w:customStyle="1" w:styleId="209">
    <w:name w:val="表格中文字"/>
    <w:basedOn w:val="1"/>
    <w:link w:val="208"/>
    <w:qFormat/>
    <w:uiPriority w:val="0"/>
    <w:pPr>
      <w:adjustRightInd w:val="0"/>
      <w:snapToGrid w:val="0"/>
      <w:jc w:val="center"/>
    </w:pPr>
    <w:rPr>
      <w:rFonts w:ascii="宋体" w:hAnsi="宋体"/>
      <w:kern w:val="18"/>
      <w:szCs w:val="21"/>
    </w:rPr>
  </w:style>
  <w:style w:type="character" w:customStyle="1" w:styleId="210">
    <w:name w:val="纯文本 字符1"/>
    <w:qFormat/>
    <w:uiPriority w:val="99"/>
    <w:rPr>
      <w:rFonts w:ascii="宋体" w:hAnsi="Courier New" w:cs="Courier New"/>
      <w:kern w:val="2"/>
      <w:sz w:val="21"/>
      <w:szCs w:val="21"/>
    </w:rPr>
  </w:style>
  <w:style w:type="character" w:customStyle="1" w:styleId="211">
    <w:name w:val="正文(首行缩进)宋旭峰 Char Char"/>
    <w:link w:val="212"/>
    <w:qFormat/>
    <w:uiPriority w:val="0"/>
    <w:rPr>
      <w:snapToGrid/>
      <w:sz w:val="24"/>
      <w:szCs w:val="24"/>
    </w:rPr>
  </w:style>
  <w:style w:type="paragraph" w:customStyle="1" w:styleId="212">
    <w:name w:val="正文(首行缩进)宋旭峰"/>
    <w:basedOn w:val="12"/>
    <w:link w:val="211"/>
    <w:qFormat/>
    <w:uiPriority w:val="0"/>
    <w:pPr>
      <w:adjustRightInd/>
      <w:spacing w:line="360" w:lineRule="auto"/>
      <w:ind w:firstLine="480"/>
      <w:contextualSpacing/>
      <w:textAlignment w:val="auto"/>
    </w:pPr>
    <w:rPr>
      <w:snapToGrid w:val="0"/>
      <w:sz w:val="24"/>
      <w:szCs w:val="24"/>
    </w:rPr>
  </w:style>
  <w:style w:type="character" w:customStyle="1" w:styleId="213">
    <w:name w:val="font21"/>
    <w:qFormat/>
    <w:uiPriority w:val="0"/>
    <w:rPr>
      <w:rFonts w:hint="default" w:ascii="Times New Roman" w:hAnsi="Times New Roman" w:cs="Times New Roman"/>
      <w:color w:val="FF0000"/>
      <w:sz w:val="21"/>
      <w:szCs w:val="21"/>
      <w:u w:val="none"/>
    </w:rPr>
  </w:style>
  <w:style w:type="character" w:customStyle="1" w:styleId="214">
    <w:name w:val="样式1 Char"/>
    <w:link w:val="215"/>
    <w:qFormat/>
    <w:uiPriority w:val="0"/>
    <w:rPr>
      <w:kern w:val="2"/>
      <w:sz w:val="24"/>
    </w:rPr>
  </w:style>
  <w:style w:type="paragraph" w:customStyle="1" w:styleId="215">
    <w:name w:val="样式1"/>
    <w:basedOn w:val="1"/>
    <w:link w:val="214"/>
    <w:qFormat/>
    <w:uiPriority w:val="0"/>
    <w:pPr>
      <w:spacing w:line="360" w:lineRule="auto"/>
      <w:ind w:firstLine="510"/>
    </w:pPr>
    <w:rPr>
      <w:sz w:val="24"/>
      <w:szCs w:val="20"/>
    </w:rPr>
  </w:style>
  <w:style w:type="character" w:customStyle="1" w:styleId="216">
    <w:name w:val="f12_0000_1"/>
    <w:qFormat/>
    <w:uiPriority w:val="0"/>
  </w:style>
  <w:style w:type="character" w:customStyle="1" w:styleId="217">
    <w:name w:val="样式 宋体 小四"/>
    <w:qFormat/>
    <w:uiPriority w:val="0"/>
    <w:rPr>
      <w:rFonts w:ascii="宋体" w:hAnsi="宋体" w:eastAsia="宋体"/>
      <w:sz w:val="24"/>
    </w:rPr>
  </w:style>
  <w:style w:type="character" w:customStyle="1" w:styleId="218">
    <w:name w:val="正文文本缩进 字符"/>
    <w:qFormat/>
    <w:uiPriority w:val="0"/>
    <w:rPr>
      <w:rFonts w:ascii="宋体"/>
      <w:sz w:val="24"/>
    </w:rPr>
  </w:style>
  <w:style w:type="character" w:customStyle="1" w:styleId="219">
    <w:name w:val="t_tag"/>
    <w:qFormat/>
    <w:uiPriority w:val="0"/>
  </w:style>
  <w:style w:type="character" w:customStyle="1" w:styleId="220">
    <w:name w:val="p-type"/>
    <w:qFormat/>
    <w:uiPriority w:val="0"/>
  </w:style>
  <w:style w:type="character" w:customStyle="1" w:styleId="221">
    <w:name w:val="正文(邵) Char Char"/>
    <w:link w:val="222"/>
    <w:qFormat/>
    <w:uiPriority w:val="0"/>
    <w:rPr>
      <w:color w:val="000000"/>
      <w:sz w:val="24"/>
      <w:szCs w:val="24"/>
    </w:rPr>
  </w:style>
  <w:style w:type="paragraph" w:customStyle="1" w:styleId="222">
    <w:name w:val="正文(邵)"/>
    <w:basedOn w:val="1"/>
    <w:link w:val="221"/>
    <w:qFormat/>
    <w:uiPriority w:val="0"/>
    <w:pPr>
      <w:widowControl/>
      <w:autoSpaceDE w:val="0"/>
      <w:autoSpaceDN w:val="0"/>
      <w:adjustRightInd w:val="0"/>
      <w:spacing w:line="324" w:lineRule="auto"/>
      <w:ind w:firstLine="480" w:firstLineChars="200"/>
      <w:textAlignment w:val="baseline"/>
    </w:pPr>
    <w:rPr>
      <w:color w:val="000000"/>
      <w:kern w:val="0"/>
      <w:sz w:val="24"/>
    </w:rPr>
  </w:style>
  <w:style w:type="character" w:customStyle="1" w:styleId="223">
    <w:name w:val="disabled"/>
    <w:qFormat/>
    <w:uiPriority w:val="0"/>
    <w:rPr>
      <w:vanish/>
    </w:rPr>
  </w:style>
  <w:style w:type="character" w:customStyle="1" w:styleId="224">
    <w:name w:val="脚注文本 字符1"/>
    <w:qFormat/>
    <w:uiPriority w:val="99"/>
    <w:rPr>
      <w:kern w:val="2"/>
      <w:sz w:val="18"/>
      <w:szCs w:val="18"/>
    </w:rPr>
  </w:style>
  <w:style w:type="character" w:customStyle="1" w:styleId="225">
    <w:name w:val="注释 Char"/>
    <w:link w:val="226"/>
    <w:qFormat/>
    <w:uiPriority w:val="0"/>
    <w:rPr>
      <w:rFonts w:ascii="宋体" w:cs="宋体"/>
      <w:snapToGrid/>
      <w:spacing w:val="4"/>
      <w:sz w:val="21"/>
      <w:szCs w:val="21"/>
    </w:rPr>
  </w:style>
  <w:style w:type="paragraph" w:customStyle="1" w:styleId="226">
    <w:name w:val="注释"/>
    <w:basedOn w:val="1"/>
    <w:link w:val="225"/>
    <w:qFormat/>
    <w:uiPriority w:val="0"/>
    <w:pPr>
      <w:adjustRightInd w:val="0"/>
      <w:snapToGrid w:val="0"/>
      <w:textAlignment w:val="baseline"/>
    </w:pPr>
    <w:rPr>
      <w:rFonts w:ascii="宋体" w:cs="宋体"/>
      <w:snapToGrid w:val="0"/>
      <w:spacing w:val="4"/>
      <w:kern w:val="0"/>
      <w:szCs w:val="21"/>
    </w:rPr>
  </w:style>
  <w:style w:type="character" w:customStyle="1" w:styleId="227">
    <w:name w:val="表格 Char"/>
    <w:link w:val="228"/>
    <w:qFormat/>
    <w:locked/>
    <w:uiPriority w:val="0"/>
    <w:rPr>
      <w:rFonts w:ascii="宋体"/>
      <w:sz w:val="21"/>
    </w:rPr>
  </w:style>
  <w:style w:type="paragraph" w:customStyle="1" w:styleId="228">
    <w:name w:val="表格"/>
    <w:basedOn w:val="1"/>
    <w:next w:val="1"/>
    <w:link w:val="227"/>
    <w:qFormat/>
    <w:uiPriority w:val="0"/>
    <w:pPr>
      <w:adjustRightInd w:val="0"/>
      <w:snapToGrid w:val="0"/>
      <w:spacing w:beforeLines="10" w:afterLines="10" w:line="259" w:lineRule="auto"/>
      <w:jc w:val="center"/>
    </w:pPr>
    <w:rPr>
      <w:rFonts w:ascii="宋体"/>
      <w:kern w:val="0"/>
      <w:szCs w:val="20"/>
    </w:rPr>
  </w:style>
  <w:style w:type="character" w:customStyle="1" w:styleId="229">
    <w:name w:val="日期 字符"/>
    <w:qFormat/>
    <w:uiPriority w:val="0"/>
    <w:rPr>
      <w:rFonts w:ascii="Times New Roman" w:hAnsi="Times New Roman" w:eastAsia="宋体"/>
      <w:sz w:val="24"/>
    </w:rPr>
  </w:style>
  <w:style w:type="character" w:customStyle="1" w:styleId="230">
    <w:name w:val="Body text + Arial Unicode MS10"/>
    <w:qFormat/>
    <w:uiPriority w:val="0"/>
    <w:rPr>
      <w:rFonts w:ascii="Arial Unicode MS" w:hAnsi="Arial Unicode MS" w:eastAsia="Arial Unicode MS" w:cs="Arial Unicode MS"/>
      <w:color w:val="000000"/>
      <w:spacing w:val="0"/>
      <w:w w:val="100"/>
      <w:position w:val="0"/>
      <w:sz w:val="19"/>
      <w:szCs w:val="19"/>
      <w:shd w:val="clear" w:color="auto" w:fill="FFFFFF"/>
      <w:lang w:val="en-US"/>
    </w:rPr>
  </w:style>
  <w:style w:type="character" w:customStyle="1" w:styleId="231">
    <w:name w:val="页脚 字符"/>
    <w:qFormat/>
    <w:uiPriority w:val="99"/>
  </w:style>
  <w:style w:type="character" w:customStyle="1" w:styleId="232">
    <w:name w:val="普通文字 Char Char Char Char Char Char Char Char Char Char Char Char Char Char Char Char Char Char Char"/>
    <w:qFormat/>
    <w:uiPriority w:val="0"/>
    <w:rPr>
      <w:rFonts w:ascii="宋体" w:hAnsi="Courier New" w:eastAsia="宋体" w:cs="Courier New"/>
      <w:kern w:val="2"/>
      <w:sz w:val="21"/>
      <w:szCs w:val="21"/>
      <w:lang w:val="en-US" w:eastAsia="zh-CN" w:bidi="ar-SA"/>
    </w:rPr>
  </w:style>
  <w:style w:type="character" w:customStyle="1" w:styleId="233">
    <w:name w:val="bsharetext"/>
    <w:qFormat/>
    <w:uiPriority w:val="0"/>
  </w:style>
  <w:style w:type="character" w:customStyle="1" w:styleId="234">
    <w:name w:val="表头文字 字符"/>
    <w:link w:val="235"/>
    <w:qFormat/>
    <w:uiPriority w:val="0"/>
    <w:rPr>
      <w:b/>
      <w:bCs/>
      <w:color w:val="000000"/>
      <w:sz w:val="24"/>
      <w:szCs w:val="18"/>
    </w:rPr>
  </w:style>
  <w:style w:type="paragraph" w:customStyle="1" w:styleId="235">
    <w:name w:val="表头文字"/>
    <w:basedOn w:val="1"/>
    <w:link w:val="234"/>
    <w:qFormat/>
    <w:uiPriority w:val="0"/>
    <w:pPr>
      <w:autoSpaceDE w:val="0"/>
      <w:autoSpaceDN w:val="0"/>
      <w:adjustRightInd w:val="0"/>
      <w:jc w:val="center"/>
    </w:pPr>
    <w:rPr>
      <w:b/>
      <w:bCs/>
      <w:color w:val="000000"/>
      <w:kern w:val="0"/>
      <w:sz w:val="24"/>
      <w:szCs w:val="18"/>
    </w:rPr>
  </w:style>
  <w:style w:type="character" w:customStyle="1" w:styleId="236">
    <w:name w:val="14fz1"/>
    <w:qFormat/>
    <w:uiPriority w:val="0"/>
    <w:rPr>
      <w:rFonts w:hint="default"/>
      <w:color w:val="000000"/>
      <w:sz w:val="32"/>
      <w:szCs w:val="32"/>
    </w:rPr>
  </w:style>
  <w:style w:type="character" w:customStyle="1" w:styleId="237">
    <w:name w:val="批注主题 字符"/>
    <w:qFormat/>
    <w:uiPriority w:val="99"/>
    <w:rPr>
      <w:rFonts w:ascii="宋体" w:hAnsi="Courier New" w:eastAsia="宋体"/>
      <w:b/>
      <w:kern w:val="2"/>
      <w:sz w:val="21"/>
      <w:lang w:val="en-US" w:eastAsia="zh-CN" w:bidi="ar-SA"/>
    </w:rPr>
  </w:style>
  <w:style w:type="character" w:customStyle="1" w:styleId="238">
    <w:name w:val="Body text_"/>
    <w:link w:val="239"/>
    <w:qFormat/>
    <w:uiPriority w:val="0"/>
    <w:rPr>
      <w:rFonts w:ascii="MingLiU" w:hAnsi="MingLiU" w:eastAsia="MingLiU" w:cs="MingLiU"/>
      <w:sz w:val="19"/>
      <w:szCs w:val="19"/>
      <w:shd w:val="clear" w:color="auto" w:fill="FFFFFF"/>
    </w:rPr>
  </w:style>
  <w:style w:type="paragraph" w:customStyle="1" w:styleId="239">
    <w:name w:val="正文文本5"/>
    <w:basedOn w:val="1"/>
    <w:link w:val="238"/>
    <w:qFormat/>
    <w:uiPriority w:val="0"/>
    <w:pPr>
      <w:shd w:val="clear" w:color="auto" w:fill="FFFFFF"/>
      <w:spacing w:after="960" w:line="0" w:lineRule="atLeast"/>
      <w:jc w:val="center"/>
    </w:pPr>
    <w:rPr>
      <w:rFonts w:ascii="MingLiU" w:hAnsi="MingLiU" w:eastAsia="MingLiU" w:cs="MingLiU"/>
      <w:kern w:val="0"/>
      <w:sz w:val="19"/>
      <w:szCs w:val="19"/>
    </w:rPr>
  </w:style>
  <w:style w:type="character" w:customStyle="1" w:styleId="240">
    <w:name w:val="未处理的提及1"/>
    <w:unhideWhenUsed/>
    <w:qFormat/>
    <w:uiPriority w:val="99"/>
    <w:rPr>
      <w:color w:val="605E5C"/>
      <w:shd w:val="clear" w:color="auto" w:fill="E1DFDD"/>
    </w:rPr>
  </w:style>
  <w:style w:type="character" w:customStyle="1" w:styleId="241">
    <w:name w:val="批注框文本 字符"/>
    <w:qFormat/>
    <w:uiPriority w:val="99"/>
    <w:rPr>
      <w:sz w:val="18"/>
    </w:rPr>
  </w:style>
  <w:style w:type="character" w:customStyle="1" w:styleId="242">
    <w:name w:val="样式5 Char1"/>
    <w:link w:val="243"/>
    <w:qFormat/>
    <w:uiPriority w:val="0"/>
    <w:rPr>
      <w:kern w:val="2"/>
      <w:sz w:val="24"/>
      <w:szCs w:val="24"/>
    </w:rPr>
  </w:style>
  <w:style w:type="paragraph" w:customStyle="1" w:styleId="243">
    <w:name w:val="样式5"/>
    <w:basedOn w:val="1"/>
    <w:link w:val="242"/>
    <w:qFormat/>
    <w:uiPriority w:val="0"/>
    <w:pPr>
      <w:snapToGrid w:val="0"/>
      <w:spacing w:line="360" w:lineRule="auto"/>
      <w:ind w:firstLine="510" w:firstLineChars="200"/>
    </w:pPr>
    <w:rPr>
      <w:sz w:val="24"/>
    </w:rPr>
  </w:style>
  <w:style w:type="character" w:customStyle="1" w:styleId="244">
    <w:name w:val="样式 标题 1 + 桔黄 Char Char Char Char"/>
    <w:link w:val="245"/>
    <w:qFormat/>
    <w:uiPriority w:val="0"/>
    <w:rPr>
      <w:rFonts w:ascii="Arial" w:hAnsi="Arial"/>
      <w:b/>
      <w:kern w:val="2"/>
      <w:sz w:val="28"/>
    </w:rPr>
  </w:style>
  <w:style w:type="paragraph" w:customStyle="1" w:styleId="245">
    <w:name w:val="样式 标题 1 + 桔黄 Char"/>
    <w:basedOn w:val="4"/>
    <w:link w:val="244"/>
    <w:qFormat/>
    <w:uiPriority w:val="0"/>
    <w:pPr>
      <w:keepLines/>
      <w:pageBreakBefore/>
      <w:overflowPunct/>
      <w:snapToGrid/>
      <w:spacing w:before="0" w:after="0" w:line="360" w:lineRule="auto"/>
      <w:ind w:left="0" w:firstLine="0"/>
      <w:jc w:val="left"/>
    </w:pPr>
    <w:rPr>
      <w:rFonts w:ascii="Arial" w:hAnsi="Arial" w:eastAsia="宋体"/>
      <w:bCs w:val="0"/>
      <w:color w:val="auto"/>
      <w:kern w:val="2"/>
      <w:sz w:val="28"/>
      <w:szCs w:val="20"/>
    </w:rPr>
  </w:style>
  <w:style w:type="character" w:customStyle="1" w:styleId="246">
    <w:name w:val="CH表头 Char"/>
    <w:link w:val="247"/>
    <w:qFormat/>
    <w:locked/>
    <w:uiPriority w:val="0"/>
    <w:rPr>
      <w:b/>
      <w:kern w:val="2"/>
      <w:sz w:val="21"/>
      <w:szCs w:val="21"/>
    </w:rPr>
  </w:style>
  <w:style w:type="paragraph" w:customStyle="1" w:styleId="247">
    <w:name w:val="CH表头"/>
    <w:basedOn w:val="1"/>
    <w:next w:val="1"/>
    <w:link w:val="246"/>
    <w:qFormat/>
    <w:uiPriority w:val="0"/>
    <w:pPr>
      <w:numPr>
        <w:ilvl w:val="3"/>
        <w:numId w:val="3"/>
      </w:numPr>
      <w:tabs>
        <w:tab w:val="left" w:pos="0"/>
      </w:tabs>
      <w:spacing w:beforeLines="50"/>
      <w:jc w:val="center"/>
    </w:pPr>
    <w:rPr>
      <w:b/>
      <w:szCs w:val="21"/>
    </w:rPr>
  </w:style>
  <w:style w:type="paragraph" w:customStyle="1" w:styleId="248">
    <w:name w:val="xl68"/>
    <w:basedOn w:val="1"/>
    <w:qFormat/>
    <w:uiPriority w:val="0"/>
    <w:pPr>
      <w:widowControl/>
      <w:pBdr>
        <w:bottom w:val="single" w:color="auto" w:sz="12" w:space="0"/>
        <w:right w:val="single" w:color="auto" w:sz="12" w:space="0"/>
      </w:pBdr>
      <w:spacing w:before="100" w:beforeAutospacing="1" w:after="100" w:afterAutospacing="1"/>
      <w:jc w:val="center"/>
      <w:textAlignment w:val="bottom"/>
    </w:pPr>
    <w:rPr>
      <w:kern w:val="0"/>
      <w:sz w:val="18"/>
      <w:szCs w:val="18"/>
    </w:rPr>
  </w:style>
  <w:style w:type="paragraph" w:customStyle="1" w:styleId="249">
    <w:name w:val="表2内容"/>
    <w:basedOn w:val="1"/>
    <w:qFormat/>
    <w:uiPriority w:val="0"/>
    <w:pPr>
      <w:spacing w:line="240" w:lineRule="exact"/>
      <w:jc w:val="center"/>
    </w:pPr>
    <w:rPr>
      <w:rFonts w:ascii="宋体" w:hAnsi="宋体"/>
      <w:szCs w:val="20"/>
    </w:rPr>
  </w:style>
  <w:style w:type="paragraph" w:customStyle="1" w:styleId="250">
    <w:name w:val="font6"/>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251">
    <w:name w:val="三级条标题"/>
    <w:basedOn w:val="252"/>
    <w:next w:val="1"/>
    <w:qFormat/>
    <w:uiPriority w:val="0"/>
    <w:pPr>
      <w:tabs>
        <w:tab w:val="left" w:pos="360"/>
        <w:tab w:val="left" w:pos="903"/>
      </w:tabs>
      <w:outlineLvl w:val="4"/>
    </w:pPr>
  </w:style>
  <w:style w:type="paragraph" w:customStyle="1" w:styleId="252">
    <w:name w:val="二级条标题"/>
    <w:basedOn w:val="253"/>
    <w:next w:val="1"/>
    <w:qFormat/>
    <w:uiPriority w:val="0"/>
    <w:pPr>
      <w:tabs>
        <w:tab w:val="left" w:pos="360"/>
        <w:tab w:val="left" w:pos="903"/>
      </w:tabs>
      <w:ind w:left="0" w:firstLine="0"/>
      <w:outlineLvl w:val="3"/>
    </w:pPr>
  </w:style>
  <w:style w:type="paragraph" w:customStyle="1" w:styleId="253">
    <w:name w:val="一级条标题"/>
    <w:basedOn w:val="1"/>
    <w:next w:val="1"/>
    <w:qFormat/>
    <w:uiPriority w:val="0"/>
    <w:pPr>
      <w:widowControl/>
      <w:tabs>
        <w:tab w:val="left" w:pos="360"/>
        <w:tab w:val="left" w:pos="903"/>
      </w:tabs>
      <w:ind w:left="1860" w:hanging="420"/>
      <w:outlineLvl w:val="2"/>
    </w:pPr>
    <w:rPr>
      <w:rFonts w:ascii="黑体" w:eastAsia="黑体"/>
      <w:kern w:val="0"/>
      <w:szCs w:val="20"/>
    </w:rPr>
  </w:style>
  <w:style w:type="paragraph" w:customStyle="1" w:styleId="254">
    <w:name w:val="Char2"/>
    <w:basedOn w:val="1"/>
    <w:qFormat/>
    <w:uiPriority w:val="0"/>
    <w:pPr>
      <w:spacing w:line="360" w:lineRule="auto"/>
      <w:ind w:firstLine="200" w:firstLineChars="200"/>
    </w:pPr>
    <w:rPr>
      <w:rFonts w:ascii="宋体" w:hAnsi="宋体" w:cs="宋体"/>
      <w:sz w:val="24"/>
    </w:rPr>
  </w:style>
  <w:style w:type="paragraph" w:customStyle="1" w:styleId="255">
    <w:name w:val="表格1"/>
    <w:basedOn w:val="1"/>
    <w:qFormat/>
    <w:uiPriority w:val="0"/>
    <w:pPr>
      <w:snapToGrid w:val="0"/>
      <w:spacing w:before="31" w:beforeLines="10" w:after="31" w:afterLines="10"/>
      <w:jc w:val="center"/>
    </w:pPr>
    <w:rPr>
      <w:sz w:val="18"/>
      <w:szCs w:val="20"/>
    </w:rPr>
  </w:style>
  <w:style w:type="paragraph" w:customStyle="1" w:styleId="256">
    <w:name w:val="样式 自动设置"/>
    <w:basedOn w:val="1"/>
    <w:qFormat/>
    <w:uiPriority w:val="0"/>
    <w:pPr>
      <w:autoSpaceDE w:val="0"/>
      <w:autoSpaceDN w:val="0"/>
      <w:adjustRightInd w:val="0"/>
      <w:snapToGrid w:val="0"/>
      <w:spacing w:beforeLines="50" w:line="288" w:lineRule="auto"/>
      <w:ind w:firstLine="200" w:firstLineChars="200"/>
    </w:pPr>
    <w:rPr>
      <w:rFonts w:ascii="宋体" w:cs="宋体"/>
      <w:sz w:val="24"/>
      <w:szCs w:val="20"/>
    </w:rPr>
  </w:style>
  <w:style w:type="paragraph" w:customStyle="1" w:styleId="257">
    <w:name w:val="Char1 Char Char Char"/>
    <w:basedOn w:val="1"/>
    <w:qFormat/>
    <w:uiPriority w:val="0"/>
    <w:rPr>
      <w:szCs w:val="20"/>
    </w:rPr>
  </w:style>
  <w:style w:type="paragraph" w:customStyle="1" w:styleId="258">
    <w:name w:val="Normal Indent1"/>
    <w:basedOn w:val="1"/>
    <w:qFormat/>
    <w:uiPriority w:val="0"/>
    <w:pPr>
      <w:snapToGrid w:val="0"/>
      <w:spacing w:line="300" w:lineRule="auto"/>
      <w:ind w:firstLine="200" w:firstLineChars="200"/>
    </w:pPr>
    <w:rPr>
      <w:rFonts w:ascii="仿宋_GB2312" w:eastAsia="仿宋_GB2312"/>
      <w:sz w:val="28"/>
    </w:rPr>
  </w:style>
  <w:style w:type="paragraph" w:customStyle="1" w:styleId="259">
    <w:name w:val="正文表标题"/>
    <w:next w:val="260"/>
    <w:qFormat/>
    <w:uiPriority w:val="0"/>
    <w:pPr>
      <w:numPr>
        <w:ilvl w:val="0"/>
        <w:numId w:val="4"/>
      </w:numPr>
      <w:spacing w:before="156" w:beforeLines="50" w:after="156" w:afterLines="50"/>
      <w:jc w:val="center"/>
    </w:pPr>
    <w:rPr>
      <w:rFonts w:ascii="黑体" w:hAnsi="Times New Roman" w:eastAsia="黑体" w:cs="Times New Roman"/>
      <w:sz w:val="21"/>
      <w:lang w:val="en-US" w:eastAsia="zh-CN" w:bidi="ar-SA"/>
    </w:rPr>
  </w:style>
  <w:style w:type="paragraph" w:customStyle="1" w:styleId="260">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261">
    <w:name w:val="RH-1正文"/>
    <w:unhideWhenUsed/>
    <w:qFormat/>
    <w:uiPriority w:val="99"/>
    <w:pPr>
      <w:spacing w:line="480" w:lineRule="exact"/>
      <w:ind w:firstLine="200" w:firstLineChars="200"/>
      <w:jc w:val="both"/>
    </w:pPr>
    <w:rPr>
      <w:rFonts w:ascii="Times New Roman" w:hAnsi="Times New Roman" w:eastAsia="宋体" w:cs="宋体"/>
      <w:color w:val="000000"/>
      <w:kern w:val="2"/>
      <w:sz w:val="24"/>
      <w:szCs w:val="24"/>
      <w:lang w:val="en-US" w:eastAsia="zh-CN" w:bidi="ar-SA"/>
    </w:rPr>
  </w:style>
  <w:style w:type="paragraph" w:customStyle="1" w:styleId="262">
    <w:name w:val="附录一级条标题"/>
    <w:basedOn w:val="263"/>
    <w:next w:val="260"/>
    <w:qFormat/>
    <w:uiPriority w:val="0"/>
    <w:pPr>
      <w:autoSpaceDN w:val="0"/>
      <w:spacing w:before="0" w:beforeLines="0" w:after="0" w:afterLines="0"/>
      <w:outlineLvl w:val="2"/>
    </w:pPr>
  </w:style>
  <w:style w:type="paragraph" w:customStyle="1" w:styleId="263">
    <w:name w:val="附录章标题"/>
    <w:next w:val="260"/>
    <w:qFormat/>
    <w:uiPriority w:val="0"/>
    <w:pPr>
      <w:wordWrap w:val="0"/>
      <w:overflowPunct w:val="0"/>
      <w:autoSpaceDE w:val="0"/>
      <w:spacing w:before="156" w:beforeLines="50" w:after="156"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264">
    <w:name w:val="xl75"/>
    <w:basedOn w:val="1"/>
    <w:qFormat/>
    <w:uiPriority w:val="0"/>
    <w:pPr>
      <w:widowControl/>
      <w:pBdr>
        <w:left w:val="single" w:color="auto" w:sz="12" w:space="0"/>
        <w:right w:val="single" w:color="auto" w:sz="12" w:space="0"/>
      </w:pBdr>
      <w:spacing w:before="100" w:beforeAutospacing="1" w:after="100" w:afterAutospacing="1"/>
      <w:jc w:val="center"/>
    </w:pPr>
    <w:rPr>
      <w:kern w:val="0"/>
      <w:sz w:val="18"/>
      <w:szCs w:val="18"/>
    </w:rPr>
  </w:style>
  <w:style w:type="paragraph" w:customStyle="1" w:styleId="265">
    <w:name w:val="附录三级条标题"/>
    <w:basedOn w:val="266"/>
    <w:next w:val="260"/>
    <w:qFormat/>
    <w:uiPriority w:val="0"/>
    <w:pPr>
      <w:outlineLvl w:val="4"/>
    </w:pPr>
  </w:style>
  <w:style w:type="paragraph" w:customStyle="1" w:styleId="266">
    <w:name w:val="附录二级条标题"/>
    <w:basedOn w:val="262"/>
    <w:next w:val="260"/>
    <w:qFormat/>
    <w:uiPriority w:val="0"/>
    <w:pPr>
      <w:outlineLvl w:val="3"/>
    </w:pPr>
  </w:style>
  <w:style w:type="paragraph" w:customStyle="1" w:styleId="267">
    <w:name w:val="Char Char1"/>
    <w:basedOn w:val="1"/>
    <w:qFormat/>
    <w:uiPriority w:val="0"/>
    <w:rPr>
      <w:sz w:val="24"/>
    </w:rPr>
  </w:style>
  <w:style w:type="paragraph" w:customStyle="1" w:styleId="268">
    <w:name w:val="xl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FF0000"/>
      <w:kern w:val="0"/>
      <w:sz w:val="18"/>
      <w:szCs w:val="18"/>
    </w:rPr>
  </w:style>
  <w:style w:type="paragraph" w:customStyle="1" w:styleId="269">
    <w:name w:val="a表格居中"/>
    <w:next w:val="44"/>
    <w:qFormat/>
    <w:uiPriority w:val="0"/>
    <w:pPr>
      <w:jc w:val="center"/>
    </w:pPr>
    <w:rPr>
      <w:rFonts w:ascii="Times New Roman" w:hAnsi="Times New Roman" w:eastAsia="宋体" w:cs="Times New Roman"/>
      <w:sz w:val="21"/>
      <w:szCs w:val="24"/>
      <w:lang w:val="en-US" w:eastAsia="zh-CN" w:bidi="ar-SA"/>
    </w:rPr>
  </w:style>
  <w:style w:type="paragraph" w:customStyle="1" w:styleId="270">
    <w:name w:val="附录五级条标题"/>
    <w:basedOn w:val="271"/>
    <w:next w:val="260"/>
    <w:qFormat/>
    <w:uiPriority w:val="0"/>
    <w:pPr>
      <w:outlineLvl w:val="6"/>
    </w:pPr>
  </w:style>
  <w:style w:type="paragraph" w:customStyle="1" w:styleId="271">
    <w:name w:val="附录四级条标题"/>
    <w:basedOn w:val="265"/>
    <w:next w:val="260"/>
    <w:qFormat/>
    <w:uiPriority w:val="0"/>
    <w:pPr>
      <w:outlineLvl w:val="5"/>
    </w:pPr>
  </w:style>
  <w:style w:type="paragraph" w:customStyle="1" w:styleId="272">
    <w:name w:val="xl67"/>
    <w:basedOn w:val="1"/>
    <w:qFormat/>
    <w:uiPriority w:val="0"/>
    <w:pPr>
      <w:widowControl/>
      <w:pBdr>
        <w:bottom w:val="single" w:color="auto" w:sz="12" w:space="0"/>
        <w:right w:val="single" w:color="auto" w:sz="12" w:space="0"/>
      </w:pBdr>
      <w:spacing w:before="100" w:beforeAutospacing="1" w:after="100" w:afterAutospacing="1"/>
      <w:jc w:val="center"/>
      <w:textAlignment w:val="bottom"/>
    </w:pPr>
    <w:rPr>
      <w:rFonts w:ascii="宋体" w:hAnsi="宋体" w:cs="宋体"/>
      <w:kern w:val="0"/>
      <w:sz w:val="18"/>
      <w:szCs w:val="18"/>
    </w:rPr>
  </w:style>
  <w:style w:type="paragraph" w:customStyle="1" w:styleId="273">
    <w:name w:val="正文首行缩进2个字"/>
    <w:basedOn w:val="1"/>
    <w:qFormat/>
    <w:uiPriority w:val="0"/>
    <w:pPr>
      <w:spacing w:line="360" w:lineRule="auto"/>
      <w:ind w:firstLine="480" w:firstLineChars="200"/>
    </w:pPr>
  </w:style>
  <w:style w:type="paragraph" w:customStyle="1" w:styleId="274">
    <w:name w:val="胡奔流-标题6"/>
    <w:basedOn w:val="1"/>
    <w:qFormat/>
    <w:uiPriority w:val="0"/>
    <w:pPr>
      <w:adjustRightInd w:val="0"/>
      <w:snapToGrid w:val="0"/>
      <w:spacing w:line="360" w:lineRule="auto"/>
      <w:textAlignment w:val="baseline"/>
    </w:pPr>
    <w:rPr>
      <w:rFonts w:ascii="宋体"/>
      <w:snapToGrid w:val="0"/>
      <w:spacing w:val="10"/>
      <w:kern w:val="0"/>
      <w:sz w:val="24"/>
      <w:szCs w:val="20"/>
    </w:rPr>
  </w:style>
  <w:style w:type="paragraph" w:customStyle="1" w:styleId="275">
    <w:name w:val="标题2"/>
    <w:basedOn w:val="1"/>
    <w:next w:val="1"/>
    <w:qFormat/>
    <w:uiPriority w:val="0"/>
    <w:pPr>
      <w:adjustRightInd w:val="0"/>
      <w:snapToGrid w:val="0"/>
      <w:spacing w:before="600" w:line="500" w:lineRule="atLeast"/>
    </w:pPr>
    <w:rPr>
      <w:rFonts w:eastAsia="黑体"/>
      <w:sz w:val="28"/>
      <w:szCs w:val="20"/>
    </w:rPr>
  </w:style>
  <w:style w:type="paragraph" w:customStyle="1" w:styleId="276">
    <w:name w:val="表文"/>
    <w:basedOn w:val="1"/>
    <w:qFormat/>
    <w:uiPriority w:val="0"/>
    <w:pPr>
      <w:spacing w:line="480" w:lineRule="exact"/>
      <w:ind w:left="57" w:right="57"/>
      <w:textAlignment w:val="center"/>
    </w:pPr>
    <w:rPr>
      <w:rFonts w:ascii="DFKai-SB" w:eastAsia="DFKai-SB"/>
      <w:sz w:val="26"/>
      <w:szCs w:val="20"/>
      <w:lang w:eastAsia="zh-TW"/>
    </w:rPr>
  </w:style>
  <w:style w:type="paragraph" w:customStyle="1" w:styleId="277">
    <w:name w:val="xl29"/>
    <w:basedOn w:val="1"/>
    <w:qFormat/>
    <w:uiPriority w:val="0"/>
    <w:pPr>
      <w:widowControl/>
      <w:pBdr>
        <w:top w:val="single" w:color="auto" w:sz="4" w:space="0"/>
        <w:left w:val="single" w:color="auto" w:sz="4" w:space="0"/>
        <w:bottom w:val="single" w:color="auto" w:sz="4" w:space="0"/>
        <w:right w:val="single" w:color="auto" w:sz="4" w:space="0"/>
      </w:pBdr>
      <w:shd w:val="clear" w:color="auto" w:fill="FF99CC"/>
      <w:spacing w:before="100" w:beforeAutospacing="1" w:after="100" w:afterAutospacing="1"/>
      <w:jc w:val="center"/>
    </w:pPr>
    <w:rPr>
      <w:rFonts w:ascii="宋体" w:hAnsi="宋体" w:cs="宋体"/>
      <w:kern w:val="0"/>
      <w:sz w:val="18"/>
      <w:szCs w:val="18"/>
    </w:rPr>
  </w:style>
  <w:style w:type="paragraph" w:customStyle="1" w:styleId="278">
    <w:name w:val="修订1"/>
    <w:unhideWhenUsed/>
    <w:qFormat/>
    <w:uiPriority w:val="99"/>
    <w:rPr>
      <w:rFonts w:ascii="Times New Roman" w:hAnsi="Times New Roman" w:eastAsia="宋体" w:cs="Times New Roman"/>
      <w:sz w:val="21"/>
      <w:lang w:val="en-US" w:eastAsia="zh-CN" w:bidi="ar-SA"/>
    </w:rPr>
  </w:style>
  <w:style w:type="paragraph" w:customStyle="1" w:styleId="279">
    <w:name w:val="tmpstr"/>
    <w:basedOn w:val="1"/>
    <w:qFormat/>
    <w:uiPriority w:val="0"/>
    <w:pPr>
      <w:widowControl/>
      <w:spacing w:before="100" w:beforeAutospacing="1" w:after="100" w:afterAutospacing="1"/>
      <w:jc w:val="left"/>
    </w:pPr>
    <w:rPr>
      <w:rFonts w:ascii="宋体" w:hAnsi="宋体"/>
      <w:color w:val="000000"/>
      <w:kern w:val="0"/>
      <w:sz w:val="24"/>
      <w:szCs w:val="20"/>
    </w:rPr>
  </w:style>
  <w:style w:type="paragraph" w:customStyle="1" w:styleId="280">
    <w:name w:val="表图头"/>
    <w:basedOn w:val="1"/>
    <w:qFormat/>
    <w:uiPriority w:val="0"/>
    <w:pPr>
      <w:spacing w:line="240" w:lineRule="exact"/>
      <w:jc w:val="center"/>
    </w:pPr>
    <w:rPr>
      <w:rFonts w:ascii="宋体" w:hAnsi="宋体"/>
      <w:b/>
      <w:szCs w:val="20"/>
    </w:rPr>
  </w:style>
  <w:style w:type="paragraph" w:customStyle="1" w:styleId="281">
    <w:name w:val="Char Char Char1"/>
    <w:basedOn w:val="1"/>
    <w:qFormat/>
    <w:uiPriority w:val="0"/>
    <w:pPr>
      <w:spacing w:line="360" w:lineRule="auto"/>
    </w:pPr>
    <w:rPr>
      <w:rFonts w:ascii="宋体" w:hAnsi="宋体"/>
      <w:sz w:val="24"/>
      <w:szCs w:val="20"/>
    </w:rPr>
  </w:style>
  <w:style w:type="paragraph" w:customStyle="1" w:styleId="282">
    <w:name w:val="内容11"/>
    <w:basedOn w:val="22"/>
    <w:qFormat/>
    <w:uiPriority w:val="0"/>
    <w:pPr>
      <w:spacing w:line="360" w:lineRule="auto"/>
      <w:ind w:right="-92" w:rightChars="-44" w:firstLine="415" w:firstLineChars="179"/>
    </w:pPr>
    <w:rPr>
      <w:rFonts w:hAnsi="宋体" w:cs="Courier New"/>
      <w:spacing w:val="-4"/>
      <w:position w:val="6"/>
      <w:szCs w:val="24"/>
    </w:rPr>
  </w:style>
  <w:style w:type="paragraph" w:customStyle="1" w:styleId="283">
    <w:name w:val="xl85"/>
    <w:basedOn w:val="1"/>
    <w:qFormat/>
    <w:uiPriority w:val="0"/>
    <w:pPr>
      <w:widowControl/>
      <w:pBdr>
        <w:top w:val="single" w:color="auto" w:sz="12" w:space="0"/>
        <w:left w:val="single" w:color="auto" w:sz="12" w:space="0"/>
        <w:right w:val="single" w:color="auto" w:sz="12" w:space="0"/>
      </w:pBdr>
      <w:spacing w:before="100" w:beforeAutospacing="1" w:after="100" w:afterAutospacing="1"/>
      <w:jc w:val="left"/>
      <w:textAlignment w:val="bottom"/>
    </w:pPr>
    <w:rPr>
      <w:kern w:val="0"/>
      <w:sz w:val="18"/>
      <w:szCs w:val="18"/>
    </w:rPr>
  </w:style>
  <w:style w:type="paragraph" w:customStyle="1" w:styleId="284">
    <w:name w:val="正文前"/>
    <w:basedOn w:val="1"/>
    <w:qFormat/>
    <w:uiPriority w:val="0"/>
    <w:pPr>
      <w:spacing w:line="360" w:lineRule="auto"/>
      <w:jc w:val="left"/>
    </w:pPr>
    <w:rPr>
      <w:b/>
      <w:sz w:val="28"/>
    </w:rPr>
  </w:style>
  <w:style w:type="paragraph" w:styleId="285">
    <w:name w:val="List Paragraph"/>
    <w:basedOn w:val="1"/>
    <w:qFormat/>
    <w:uiPriority w:val="34"/>
    <w:pPr>
      <w:ind w:firstLine="420" w:firstLineChars="200"/>
    </w:pPr>
    <w:rPr>
      <w:rFonts w:ascii="Calibri" w:hAnsi="Calibri"/>
      <w:szCs w:val="22"/>
    </w:rPr>
  </w:style>
  <w:style w:type="paragraph" w:customStyle="1" w:styleId="286">
    <w:name w:val="1表格"/>
    <w:basedOn w:val="1"/>
    <w:qFormat/>
    <w:uiPriority w:val="0"/>
    <w:pPr>
      <w:snapToGrid w:val="0"/>
      <w:jc w:val="center"/>
      <w:outlineLvl w:val="4"/>
    </w:pPr>
    <w:rPr>
      <w:spacing w:val="4"/>
    </w:rPr>
  </w:style>
  <w:style w:type="paragraph" w:customStyle="1" w:styleId="287">
    <w:name w:val="正文20110920"/>
    <w:basedOn w:val="1"/>
    <w:qFormat/>
    <w:uiPriority w:val="0"/>
    <w:pPr>
      <w:adjustRightInd w:val="0"/>
      <w:spacing w:line="360" w:lineRule="auto"/>
      <w:ind w:firstLine="200" w:firstLineChars="200"/>
    </w:pPr>
    <w:rPr>
      <w:rFonts w:cs="宋体"/>
      <w:color w:val="000000"/>
      <w:kern w:val="0"/>
      <w:sz w:val="24"/>
      <w:szCs w:val="20"/>
    </w:rPr>
  </w:style>
  <w:style w:type="paragraph" w:customStyle="1" w:styleId="288">
    <w:name w:val="小四+首行缩进"/>
    <w:basedOn w:val="1"/>
    <w:qFormat/>
    <w:uiPriority w:val="0"/>
    <w:pPr>
      <w:spacing w:line="360" w:lineRule="auto"/>
      <w:ind w:firstLine="482"/>
    </w:pPr>
    <w:rPr>
      <w:rFonts w:ascii="宋体" w:hAnsi="宋体" w:cs="宋体"/>
      <w:sz w:val="24"/>
      <w:szCs w:val="20"/>
    </w:rPr>
  </w:style>
  <w:style w:type="paragraph" w:customStyle="1" w:styleId="289">
    <w:name w:val="表格正文4"/>
    <w:basedOn w:val="1"/>
    <w:qFormat/>
    <w:uiPriority w:val="0"/>
    <w:pPr>
      <w:adjustRightInd w:val="0"/>
      <w:snapToGrid w:val="0"/>
      <w:textAlignment w:val="baseline"/>
    </w:pPr>
    <w:rPr>
      <w:rFonts w:ascii="宋体"/>
      <w:snapToGrid w:val="0"/>
      <w:w w:val="90"/>
      <w:kern w:val="0"/>
      <w:sz w:val="24"/>
      <w:szCs w:val="20"/>
    </w:rPr>
  </w:style>
  <w:style w:type="paragraph" w:customStyle="1" w:styleId="290">
    <w:name w:val="正文文本 23"/>
    <w:basedOn w:val="1"/>
    <w:qFormat/>
    <w:uiPriority w:val="0"/>
    <w:pPr>
      <w:adjustRightInd w:val="0"/>
      <w:jc w:val="center"/>
      <w:textAlignment w:val="baseline"/>
    </w:pPr>
    <w:rPr>
      <w:sz w:val="24"/>
      <w:szCs w:val="20"/>
    </w:rPr>
  </w:style>
  <w:style w:type="paragraph" w:customStyle="1" w:styleId="291">
    <w:name w:val="xl24"/>
    <w:basedOn w:val="1"/>
    <w:qFormat/>
    <w:uiPriority w:val="0"/>
    <w:pPr>
      <w:widowControl/>
      <w:spacing w:before="100" w:beforeAutospacing="1" w:after="100" w:afterAutospacing="1" w:line="360" w:lineRule="auto"/>
      <w:jc w:val="center"/>
    </w:pPr>
    <w:rPr>
      <w:rFonts w:ascii="宋体" w:hAnsi="宋体"/>
      <w:b/>
      <w:kern w:val="0"/>
      <w:sz w:val="24"/>
      <w:szCs w:val="20"/>
    </w:rPr>
  </w:style>
  <w:style w:type="paragraph" w:customStyle="1" w:styleId="292">
    <w:name w:val="字元 字元"/>
    <w:basedOn w:val="1"/>
    <w:qFormat/>
    <w:uiPriority w:val="0"/>
    <w:rPr>
      <w:sz w:val="24"/>
      <w:szCs w:val="20"/>
    </w:rPr>
  </w:style>
  <w:style w:type="paragraph" w:customStyle="1" w:styleId="293">
    <w:name w:val="xl83"/>
    <w:basedOn w:val="1"/>
    <w:qFormat/>
    <w:uiPriority w:val="0"/>
    <w:pPr>
      <w:widowControl/>
      <w:pBdr>
        <w:top w:val="single" w:color="000000" w:sz="8" w:space="0"/>
        <w:left w:val="single" w:color="000000" w:sz="8" w:space="0"/>
        <w:bottom w:val="single" w:color="000000" w:sz="8" w:space="0"/>
        <w:right w:val="single" w:color="000000" w:sz="8" w:space="0"/>
      </w:pBdr>
      <w:spacing w:before="100" w:beforeAutospacing="1" w:after="100" w:afterAutospacing="1"/>
      <w:jc w:val="center"/>
    </w:pPr>
    <w:rPr>
      <w:color w:val="000000"/>
      <w:kern w:val="0"/>
      <w:szCs w:val="21"/>
    </w:rPr>
  </w:style>
  <w:style w:type="paragraph" w:customStyle="1" w:styleId="294">
    <w:name w:val="Char Char Char"/>
    <w:basedOn w:val="1"/>
    <w:qFormat/>
    <w:uiPriority w:val="0"/>
    <w:rPr>
      <w:sz w:val="24"/>
      <w:szCs w:val="20"/>
    </w:rPr>
  </w:style>
  <w:style w:type="paragraph" w:customStyle="1" w:styleId="295">
    <w:name w:val="章标题"/>
    <w:next w:val="1"/>
    <w:qFormat/>
    <w:uiPriority w:val="0"/>
    <w:pPr>
      <w:tabs>
        <w:tab w:val="left" w:pos="840"/>
        <w:tab w:val="left" w:pos="903"/>
      </w:tabs>
      <w:spacing w:before="50" w:after="50"/>
      <w:ind w:left="903" w:hanging="315"/>
      <w:jc w:val="both"/>
      <w:outlineLvl w:val="1"/>
    </w:pPr>
    <w:rPr>
      <w:rFonts w:ascii="黑体" w:hAnsi="Times New Roman" w:eastAsia="黑体" w:cs="Times New Roman"/>
      <w:sz w:val="21"/>
      <w:lang w:val="en-US" w:eastAsia="zh-CN" w:bidi="ar-SA"/>
    </w:rPr>
  </w:style>
  <w:style w:type="paragraph" w:customStyle="1" w:styleId="296">
    <w:name w:val="张希柱-正文"/>
    <w:basedOn w:val="1"/>
    <w:qFormat/>
    <w:uiPriority w:val="0"/>
    <w:pPr>
      <w:spacing w:line="360" w:lineRule="auto"/>
      <w:ind w:firstLine="464" w:firstLineChars="200"/>
      <w:jc w:val="left"/>
    </w:pPr>
    <w:rPr>
      <w:rFonts w:ascii="宋体" w:hAnsi="宋体"/>
      <w:snapToGrid w:val="0"/>
      <w:spacing w:val="-4"/>
      <w:kern w:val="0"/>
      <w:sz w:val="24"/>
    </w:rPr>
  </w:style>
  <w:style w:type="paragraph" w:customStyle="1" w:styleId="297">
    <w:name w:val="Char"/>
    <w:basedOn w:val="1"/>
    <w:qFormat/>
    <w:uiPriority w:val="0"/>
  </w:style>
  <w:style w:type="paragraph" w:customStyle="1" w:styleId="298">
    <w:name w:val="Char Char Char Char Char Char Char Char Char1"/>
    <w:basedOn w:val="1"/>
    <w:qFormat/>
    <w:uiPriority w:val="0"/>
    <w:rPr>
      <w:sz w:val="24"/>
    </w:rPr>
  </w:style>
  <w:style w:type="paragraph" w:customStyle="1" w:styleId="299">
    <w:name w:val="前言、引言标题"/>
    <w:next w:val="1"/>
    <w:qFormat/>
    <w:uiPriority w:val="0"/>
    <w:pPr>
      <w:shd w:val="clear" w:color="FFFFFF" w:fill="FFFFFF"/>
      <w:tabs>
        <w:tab w:val="left" w:pos="360"/>
        <w:tab w:val="left" w:pos="903"/>
      </w:tabs>
      <w:spacing w:before="640" w:after="560"/>
      <w:ind w:left="903" w:hanging="315"/>
      <w:jc w:val="center"/>
      <w:outlineLvl w:val="0"/>
    </w:pPr>
    <w:rPr>
      <w:rFonts w:ascii="黑体" w:hAnsi="Times New Roman" w:eastAsia="黑体" w:cs="Times New Roman"/>
      <w:sz w:val="32"/>
      <w:lang w:val="en-US" w:eastAsia="zh-CN" w:bidi="ar-SA"/>
    </w:rPr>
  </w:style>
  <w:style w:type="paragraph" w:customStyle="1" w:styleId="300">
    <w:name w:val="Char Char Char Char Char Char Char Char Char Char Char Char"/>
    <w:basedOn w:val="1"/>
    <w:qFormat/>
    <w:uiPriority w:val="0"/>
    <w:rPr>
      <w:sz w:val="24"/>
      <w:szCs w:val="20"/>
    </w:rPr>
  </w:style>
  <w:style w:type="paragraph" w:customStyle="1" w:styleId="301">
    <w:name w:val="Char Char Char Char Char Char"/>
    <w:basedOn w:val="1"/>
    <w:qFormat/>
    <w:uiPriority w:val="0"/>
    <w:rPr>
      <w:sz w:val="24"/>
    </w:rPr>
  </w:style>
  <w:style w:type="paragraph" w:customStyle="1" w:styleId="302">
    <w:name w:val="正文缩进1"/>
    <w:basedOn w:val="1"/>
    <w:qFormat/>
    <w:uiPriority w:val="99"/>
    <w:pPr>
      <w:adjustRightInd w:val="0"/>
      <w:snapToGrid w:val="0"/>
      <w:spacing w:line="300" w:lineRule="auto"/>
      <w:ind w:firstLine="200" w:firstLineChars="200"/>
    </w:pPr>
    <w:rPr>
      <w:rFonts w:ascii="仿宋_GB2312" w:eastAsia="仿宋_GB2312"/>
      <w:sz w:val="28"/>
    </w:rPr>
  </w:style>
  <w:style w:type="paragraph" w:customStyle="1" w:styleId="303">
    <w:name w:val="正文2"/>
    <w:basedOn w:val="1"/>
    <w:qFormat/>
    <w:uiPriority w:val="0"/>
    <w:pPr>
      <w:adjustRightInd w:val="0"/>
      <w:spacing w:line="360" w:lineRule="auto"/>
      <w:ind w:firstLine="480" w:firstLineChars="200"/>
      <w:textAlignment w:val="baseline"/>
    </w:pPr>
    <w:rPr>
      <w:rFonts w:ascii="宋体" w:hAnsi="宋体" w:cs="宋体"/>
      <w:kern w:val="21"/>
      <w:sz w:val="24"/>
    </w:rPr>
  </w:style>
  <w:style w:type="paragraph" w:customStyle="1" w:styleId="304">
    <w:name w:val="正文20110824"/>
    <w:basedOn w:val="1"/>
    <w:qFormat/>
    <w:uiPriority w:val="0"/>
    <w:pPr>
      <w:adjustRightInd w:val="0"/>
      <w:spacing w:line="360" w:lineRule="auto"/>
      <w:ind w:firstLine="200" w:firstLineChars="200"/>
    </w:pPr>
    <w:rPr>
      <w:color w:val="000000"/>
      <w:kern w:val="0"/>
      <w:sz w:val="24"/>
      <w:szCs w:val="20"/>
    </w:rPr>
  </w:style>
  <w:style w:type="paragraph" w:customStyle="1" w:styleId="305">
    <w:name w:val="四级条标题"/>
    <w:basedOn w:val="251"/>
    <w:next w:val="1"/>
    <w:qFormat/>
    <w:uiPriority w:val="0"/>
    <w:pPr>
      <w:outlineLvl w:val="5"/>
    </w:pPr>
  </w:style>
  <w:style w:type="paragraph" w:customStyle="1" w:styleId="306">
    <w:name w:val="xl80"/>
    <w:basedOn w:val="1"/>
    <w:qFormat/>
    <w:uiPriority w:val="0"/>
    <w:pPr>
      <w:widowControl/>
      <w:pBdr>
        <w:top w:val="single" w:color="auto" w:sz="12" w:space="0"/>
        <w:left w:val="single" w:color="auto" w:sz="12" w:space="0"/>
        <w:right w:val="single" w:color="auto" w:sz="12" w:space="0"/>
      </w:pBdr>
      <w:spacing w:before="100" w:beforeAutospacing="1" w:after="100" w:afterAutospacing="1"/>
      <w:jc w:val="center"/>
    </w:pPr>
    <w:rPr>
      <w:kern w:val="0"/>
      <w:szCs w:val="21"/>
    </w:rPr>
  </w:style>
  <w:style w:type="paragraph" w:customStyle="1" w:styleId="307">
    <w:name w:val="报告表格"/>
    <w:basedOn w:val="1"/>
    <w:qFormat/>
    <w:uiPriority w:val="0"/>
    <w:pPr>
      <w:autoSpaceDE w:val="0"/>
      <w:autoSpaceDN w:val="0"/>
      <w:adjustRightInd w:val="0"/>
      <w:spacing w:before="20" w:after="20"/>
      <w:jc w:val="center"/>
      <w:textAlignment w:val="center"/>
    </w:pPr>
    <w:rPr>
      <w:kern w:val="0"/>
      <w:szCs w:val="21"/>
    </w:rPr>
  </w:style>
  <w:style w:type="paragraph" w:customStyle="1" w:styleId="308">
    <w:name w:val="表内字"/>
    <w:qFormat/>
    <w:uiPriority w:val="0"/>
    <w:pPr>
      <w:spacing w:line="312" w:lineRule="auto"/>
      <w:jc w:val="center"/>
    </w:pPr>
    <w:rPr>
      <w:rFonts w:ascii="Times New Roman" w:hAnsi="Times New Roman" w:eastAsia="宋体" w:cs="Times New Roman"/>
      <w:color w:val="000000"/>
      <w:sz w:val="21"/>
      <w:lang w:val="en-US" w:eastAsia="zh-CN" w:bidi="ar-SA"/>
    </w:rPr>
  </w:style>
  <w:style w:type="paragraph" w:customStyle="1" w:styleId="309">
    <w:name w:val="胡奔流-标题4"/>
    <w:basedOn w:val="1"/>
    <w:qFormat/>
    <w:uiPriority w:val="0"/>
    <w:pPr>
      <w:adjustRightInd w:val="0"/>
      <w:spacing w:before="240" w:after="240" w:line="360" w:lineRule="auto"/>
      <w:textAlignment w:val="baseline"/>
    </w:pPr>
    <w:rPr>
      <w:rFonts w:ascii="宋体"/>
      <w:spacing w:val="10"/>
      <w:kern w:val="21"/>
      <w:sz w:val="24"/>
      <w:szCs w:val="20"/>
    </w:rPr>
  </w:style>
  <w:style w:type="paragraph" w:customStyle="1" w:styleId="310">
    <w:name w:val="Char Char Char Char Char Char Char Char Char"/>
    <w:basedOn w:val="1"/>
    <w:qFormat/>
    <w:uiPriority w:val="0"/>
    <w:rPr>
      <w:sz w:val="24"/>
      <w:szCs w:val="20"/>
    </w:rPr>
  </w:style>
  <w:style w:type="paragraph" w:customStyle="1" w:styleId="311">
    <w:name w:val="Char Char Char1 Char"/>
    <w:basedOn w:val="1"/>
    <w:qFormat/>
    <w:uiPriority w:val="0"/>
    <w:rPr>
      <w:sz w:val="24"/>
    </w:rPr>
  </w:style>
  <w:style w:type="paragraph" w:customStyle="1" w:styleId="312">
    <w:name w:val="Char Char Char1 Char1"/>
    <w:basedOn w:val="1"/>
    <w:qFormat/>
    <w:uiPriority w:val="0"/>
    <w:rPr>
      <w:sz w:val="24"/>
    </w:rPr>
  </w:style>
  <w:style w:type="paragraph" w:customStyle="1" w:styleId="313">
    <w:name w:val="样式 正文2 + 仿宋_GB2312 黑色 首行缩进:  2 字符"/>
    <w:basedOn w:val="1"/>
    <w:qFormat/>
    <w:uiPriority w:val="0"/>
    <w:pPr>
      <w:adjustRightInd w:val="0"/>
      <w:spacing w:line="360" w:lineRule="auto"/>
      <w:ind w:firstLine="496" w:firstLineChars="200"/>
      <w:textAlignment w:val="baseline"/>
    </w:pPr>
    <w:rPr>
      <w:rFonts w:ascii="仿宋_GB2312" w:hAnsi="仿宋_GB2312" w:eastAsia="仿宋_GB2312"/>
      <w:color w:val="000000"/>
      <w:spacing w:val="4"/>
      <w:kern w:val="18"/>
      <w:sz w:val="28"/>
      <w:szCs w:val="20"/>
    </w:rPr>
  </w:style>
  <w:style w:type="paragraph" w:customStyle="1" w:styleId="314">
    <w:name w:val="xl66"/>
    <w:basedOn w:val="1"/>
    <w:qFormat/>
    <w:uiPriority w:val="0"/>
    <w:pPr>
      <w:widowControl/>
      <w:pBdr>
        <w:top w:val="single" w:color="auto" w:sz="12" w:space="0"/>
        <w:bottom w:val="single" w:color="auto" w:sz="12" w:space="0"/>
        <w:right w:val="single" w:color="auto" w:sz="12" w:space="0"/>
      </w:pBdr>
      <w:spacing w:before="100" w:beforeAutospacing="1" w:after="100" w:afterAutospacing="1"/>
      <w:jc w:val="center"/>
    </w:pPr>
    <w:rPr>
      <w:rFonts w:ascii="宋体" w:hAnsi="宋体" w:cs="宋体"/>
      <w:b/>
      <w:bCs/>
      <w:kern w:val="0"/>
      <w:sz w:val="18"/>
      <w:szCs w:val="18"/>
    </w:rPr>
  </w:style>
  <w:style w:type="paragraph" w:customStyle="1" w:styleId="315">
    <w:name w:val="样式"/>
    <w:qFormat/>
    <w:uiPriority w:val="0"/>
    <w:pPr>
      <w:widowControl w:val="0"/>
      <w:autoSpaceDE w:val="0"/>
      <w:autoSpaceDN w:val="0"/>
      <w:adjustRightInd w:val="0"/>
    </w:pPr>
    <w:rPr>
      <w:rFonts w:ascii="宋体" w:hAnsi="Calibri" w:eastAsia="宋体" w:cs="宋体"/>
      <w:sz w:val="24"/>
      <w:szCs w:val="24"/>
      <w:lang w:val="en-US" w:eastAsia="zh-CN" w:bidi="ar-SA"/>
    </w:rPr>
  </w:style>
  <w:style w:type="paragraph" w:customStyle="1" w:styleId="316">
    <w:name w:val="Char Char Char Char Char Char Char Char Char Char Char Char Char 字元 字元"/>
    <w:basedOn w:val="1"/>
    <w:qFormat/>
    <w:uiPriority w:val="0"/>
    <w:rPr>
      <w:sz w:val="24"/>
      <w:szCs w:val="20"/>
    </w:rPr>
  </w:style>
  <w:style w:type="paragraph" w:customStyle="1" w:styleId="317">
    <w:name w:val="Char Char Char Char Char Char1 Char"/>
    <w:basedOn w:val="1"/>
    <w:qFormat/>
    <w:uiPriority w:val="0"/>
    <w:rPr>
      <w:sz w:val="24"/>
    </w:rPr>
  </w:style>
  <w:style w:type="paragraph" w:customStyle="1" w:styleId="318">
    <w:name w:val="xl32"/>
    <w:basedOn w:val="1"/>
    <w:qFormat/>
    <w:uiPriority w:val="0"/>
    <w:pPr>
      <w:widowControl/>
      <w:pBdr>
        <w:top w:val="single" w:color="auto" w:sz="4" w:space="0"/>
        <w:left w:val="single" w:color="auto" w:sz="4" w:space="0"/>
        <w:bottom w:val="single" w:color="auto" w:sz="4" w:space="0"/>
        <w:right w:val="single" w:color="auto" w:sz="4" w:space="0"/>
      </w:pBdr>
      <w:shd w:val="clear" w:color="auto" w:fill="FFCC00"/>
      <w:spacing w:before="100" w:beforeAutospacing="1" w:after="100" w:afterAutospacing="1"/>
      <w:jc w:val="center"/>
    </w:pPr>
    <w:rPr>
      <w:rFonts w:ascii="宋体" w:hAnsi="宋体" w:cs="宋体"/>
      <w:kern w:val="0"/>
      <w:sz w:val="18"/>
      <w:szCs w:val="18"/>
    </w:rPr>
  </w:style>
  <w:style w:type="paragraph" w:customStyle="1" w:styleId="319">
    <w:name w:val="日期1"/>
    <w:basedOn w:val="1"/>
    <w:next w:val="1"/>
    <w:qFormat/>
    <w:uiPriority w:val="0"/>
    <w:pPr>
      <w:adjustRightInd w:val="0"/>
      <w:spacing w:line="312" w:lineRule="atLeast"/>
      <w:textAlignment w:val="baseline"/>
    </w:pPr>
    <w:rPr>
      <w:kern w:val="0"/>
      <w:sz w:val="28"/>
      <w:szCs w:val="20"/>
    </w:rPr>
  </w:style>
  <w:style w:type="paragraph" w:customStyle="1" w:styleId="320">
    <w:name w:val="xl81"/>
    <w:basedOn w:val="1"/>
    <w:qFormat/>
    <w:uiPriority w:val="0"/>
    <w:pPr>
      <w:widowControl/>
      <w:pBdr>
        <w:left w:val="single" w:color="auto" w:sz="12" w:space="0"/>
        <w:right w:val="single" w:color="auto" w:sz="12" w:space="0"/>
      </w:pBdr>
      <w:spacing w:before="100" w:beforeAutospacing="1" w:after="100" w:afterAutospacing="1"/>
      <w:jc w:val="center"/>
    </w:pPr>
    <w:rPr>
      <w:kern w:val="0"/>
      <w:szCs w:val="21"/>
    </w:rPr>
  </w:style>
  <w:style w:type="paragraph" w:customStyle="1" w:styleId="321">
    <w:name w:val="报告正文"/>
    <w:basedOn w:val="1"/>
    <w:qFormat/>
    <w:uiPriority w:val="0"/>
    <w:pPr>
      <w:adjustRightInd w:val="0"/>
      <w:snapToGrid w:val="0"/>
      <w:spacing w:line="360" w:lineRule="auto"/>
      <w:ind w:firstLine="200" w:firstLineChars="200"/>
    </w:pPr>
    <w:rPr>
      <w:rFonts w:ascii="宋体"/>
      <w:sz w:val="24"/>
      <w:szCs w:val="20"/>
    </w:rPr>
  </w:style>
  <w:style w:type="paragraph" w:customStyle="1" w:styleId="322">
    <w:name w:val="五号表格"/>
    <w:basedOn w:val="1"/>
    <w:qFormat/>
    <w:uiPriority w:val="0"/>
    <w:pPr>
      <w:jc w:val="center"/>
    </w:pPr>
    <w:rPr>
      <w:kern w:val="0"/>
      <w:szCs w:val="20"/>
    </w:rPr>
  </w:style>
  <w:style w:type="paragraph" w:customStyle="1" w:styleId="323">
    <w:name w:val="_C正文加粗"/>
    <w:basedOn w:val="324"/>
    <w:qFormat/>
    <w:uiPriority w:val="0"/>
    <w:rPr>
      <w:b/>
    </w:rPr>
  </w:style>
  <w:style w:type="paragraph" w:customStyle="1" w:styleId="324">
    <w:name w:val="_C正文"/>
    <w:qFormat/>
    <w:uiPriority w:val="0"/>
    <w:pPr>
      <w:spacing w:line="360" w:lineRule="auto"/>
      <w:ind w:firstLine="200" w:firstLineChars="200"/>
    </w:pPr>
    <w:rPr>
      <w:rFonts w:ascii="Times New Roman" w:hAnsi="Times New Roman" w:eastAsia="宋体" w:cs="Times New Roman"/>
      <w:kern w:val="2"/>
      <w:sz w:val="24"/>
      <w:lang w:val="en-US" w:eastAsia="zh-CN" w:bidi="ar-SA"/>
    </w:rPr>
  </w:style>
  <w:style w:type="paragraph" w:customStyle="1" w:styleId="325">
    <w:name w:val="Char Char Char Char Char Char Char Char Char Char Char Char1"/>
    <w:basedOn w:val="1"/>
    <w:qFormat/>
    <w:uiPriority w:val="0"/>
    <w:rPr>
      <w:sz w:val="24"/>
      <w:szCs w:val="20"/>
    </w:rPr>
  </w:style>
  <w:style w:type="paragraph" w:customStyle="1" w:styleId="326">
    <w:name w:val="xl36"/>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18"/>
      <w:szCs w:val="18"/>
    </w:rPr>
  </w:style>
  <w:style w:type="paragraph" w:customStyle="1" w:styleId="327">
    <w:name w:val="正文文本 21"/>
    <w:basedOn w:val="1"/>
    <w:qFormat/>
    <w:uiPriority w:val="0"/>
    <w:pPr>
      <w:adjustRightInd w:val="0"/>
      <w:jc w:val="center"/>
      <w:textAlignment w:val="baseline"/>
    </w:pPr>
    <w:rPr>
      <w:sz w:val="24"/>
      <w:szCs w:val="20"/>
    </w:rPr>
  </w:style>
  <w:style w:type="paragraph" w:customStyle="1" w:styleId="328">
    <w:name w:val="表中文字0720"/>
    <w:basedOn w:val="1"/>
    <w:qFormat/>
    <w:uiPriority w:val="0"/>
    <w:pPr>
      <w:adjustRightInd w:val="0"/>
      <w:snapToGrid w:val="0"/>
      <w:spacing w:line="312" w:lineRule="atLeast"/>
      <w:jc w:val="center"/>
      <w:textAlignment w:val="baseline"/>
    </w:pPr>
    <w:rPr>
      <w:snapToGrid w:val="0"/>
      <w:color w:val="000000"/>
      <w:spacing w:val="4"/>
      <w:kern w:val="0"/>
      <w:szCs w:val="21"/>
    </w:rPr>
  </w:style>
  <w:style w:type="paragraph" w:customStyle="1" w:styleId="329">
    <w:name w:val="xl28"/>
    <w:basedOn w:val="1"/>
    <w:qFormat/>
    <w:uiPriority w:val="0"/>
    <w:pPr>
      <w:widowControl/>
      <w:pBdr>
        <w:top w:val="single" w:color="auto" w:sz="4" w:space="0"/>
        <w:left w:val="single" w:color="auto" w:sz="4" w:space="0"/>
        <w:bottom w:val="single" w:color="auto" w:sz="4" w:space="0"/>
        <w:right w:val="single" w:color="auto" w:sz="4" w:space="0"/>
      </w:pBdr>
      <w:shd w:val="clear" w:color="auto" w:fill="FFCC99"/>
      <w:spacing w:before="100" w:beforeAutospacing="1" w:after="100" w:afterAutospacing="1"/>
      <w:jc w:val="center"/>
    </w:pPr>
    <w:rPr>
      <w:rFonts w:ascii="宋体" w:hAnsi="宋体" w:cs="宋体"/>
      <w:kern w:val="0"/>
      <w:sz w:val="18"/>
      <w:szCs w:val="18"/>
    </w:rPr>
  </w:style>
  <w:style w:type="paragraph" w:customStyle="1" w:styleId="330">
    <w:name w:val="Char3"/>
    <w:basedOn w:val="1"/>
    <w:qFormat/>
    <w:uiPriority w:val="0"/>
  </w:style>
  <w:style w:type="paragraph" w:customStyle="1" w:styleId="331">
    <w:name w:val="样式 文本正文 + 仿宋_GB23121"/>
    <w:basedOn w:val="17"/>
    <w:qFormat/>
    <w:uiPriority w:val="0"/>
    <w:pPr>
      <w:widowControl w:val="0"/>
      <w:autoSpaceDE w:val="0"/>
      <w:autoSpaceDN w:val="0"/>
      <w:adjustRightInd w:val="0"/>
      <w:snapToGrid/>
      <w:spacing w:before="0" w:after="0" w:line="360" w:lineRule="auto"/>
      <w:ind w:right="0" w:firstLine="510"/>
      <w:textAlignment w:val="baseline"/>
    </w:pPr>
    <w:rPr>
      <w:rFonts w:ascii="仿宋_GB2312" w:hAnsi="仿宋_GB2312" w:eastAsia="仿宋_GB2312"/>
      <w:snapToGrid w:val="0"/>
      <w:color w:val="000000"/>
      <w:spacing w:val="4"/>
      <w:kern w:val="18"/>
      <w:sz w:val="28"/>
      <w:szCs w:val="24"/>
    </w:rPr>
  </w:style>
  <w:style w:type="paragraph" w:customStyle="1" w:styleId="332">
    <w:name w:val="正文3"/>
    <w:basedOn w:val="1"/>
    <w:qFormat/>
    <w:uiPriority w:val="0"/>
    <w:pPr>
      <w:keepNext/>
      <w:adjustRightInd w:val="0"/>
      <w:jc w:val="center"/>
      <w:textAlignment w:val="baseline"/>
    </w:pPr>
    <w:rPr>
      <w:rFonts w:ascii="Calibri" w:hAnsi="Calibri"/>
      <w:kern w:val="0"/>
      <w:sz w:val="28"/>
      <w:szCs w:val="20"/>
    </w:rPr>
  </w:style>
  <w:style w:type="paragraph" w:customStyle="1" w:styleId="333">
    <w:name w:val="样式 Times 四号 行距: 固定值 24 磅1"/>
    <w:basedOn w:val="1"/>
    <w:qFormat/>
    <w:uiPriority w:val="0"/>
    <w:pPr>
      <w:spacing w:line="480" w:lineRule="exact"/>
      <w:ind w:firstLine="200" w:firstLineChars="200"/>
    </w:pPr>
    <w:rPr>
      <w:rFonts w:ascii="Times" w:hAnsi="Times" w:cs="宋体"/>
      <w:spacing w:val="14"/>
      <w:kern w:val="20"/>
      <w:sz w:val="28"/>
      <w:szCs w:val="20"/>
    </w:rPr>
  </w:style>
  <w:style w:type="paragraph" w:customStyle="1" w:styleId="334">
    <w:name w:val="Char Char Char Char Char Char Char Char Char Char"/>
    <w:basedOn w:val="1"/>
    <w:qFormat/>
    <w:uiPriority w:val="0"/>
    <w:pPr>
      <w:widowControl/>
      <w:spacing w:after="160" w:line="240" w:lineRule="exact"/>
      <w:jc w:val="left"/>
    </w:pPr>
  </w:style>
  <w:style w:type="paragraph" w:customStyle="1" w:styleId="335">
    <w:name w:val="正文001"/>
    <w:basedOn w:val="1"/>
    <w:qFormat/>
    <w:uiPriority w:val="0"/>
    <w:pPr>
      <w:spacing w:line="440" w:lineRule="atLeast"/>
      <w:ind w:firstLine="200" w:firstLineChars="200"/>
    </w:pPr>
    <w:rPr>
      <w:rFonts w:ascii="宋体" w:hAnsi="宋体"/>
      <w:sz w:val="24"/>
      <w:szCs w:val="20"/>
    </w:rPr>
  </w:style>
  <w:style w:type="paragraph" w:customStyle="1" w:styleId="336">
    <w:name w:val="xl35"/>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ascii="宋体" w:hAnsi="宋体" w:cs="宋体"/>
      <w:kern w:val="0"/>
      <w:sz w:val="18"/>
      <w:szCs w:val="18"/>
    </w:rPr>
  </w:style>
  <w:style w:type="paragraph" w:customStyle="1" w:styleId="337">
    <w:name w:val="正本文字0705"/>
    <w:basedOn w:val="1"/>
    <w:qFormat/>
    <w:uiPriority w:val="0"/>
    <w:pPr>
      <w:adjustRightInd w:val="0"/>
      <w:snapToGrid w:val="0"/>
      <w:spacing w:line="360" w:lineRule="auto"/>
      <w:ind w:firstLine="200" w:firstLineChars="200"/>
      <w:textAlignment w:val="baseline"/>
    </w:pPr>
    <w:rPr>
      <w:rFonts w:cs="宋体"/>
      <w:color w:val="000000"/>
      <w:kern w:val="18"/>
      <w:szCs w:val="20"/>
    </w:rPr>
  </w:style>
  <w:style w:type="paragraph" w:customStyle="1" w:styleId="338">
    <w:name w:val="5文章(治)"/>
    <w:basedOn w:val="1"/>
    <w:qFormat/>
    <w:uiPriority w:val="0"/>
    <w:pPr>
      <w:spacing w:line="360" w:lineRule="auto"/>
      <w:ind w:firstLine="560" w:firstLineChars="200"/>
    </w:pPr>
    <w:rPr>
      <w:rFonts w:ascii="宋体" w:hAnsi="宋体" w:eastAsia="楷体_GB2312"/>
      <w:sz w:val="28"/>
      <w:szCs w:val="20"/>
    </w:rPr>
  </w:style>
  <w:style w:type="paragraph" w:customStyle="1" w:styleId="339">
    <w:name w:val="项目编号"/>
    <w:basedOn w:val="1"/>
    <w:next w:val="1"/>
    <w:qFormat/>
    <w:uiPriority w:val="0"/>
    <w:pPr>
      <w:spacing w:before="120" w:after="120" w:line="360" w:lineRule="auto"/>
    </w:pPr>
    <w:rPr>
      <w:sz w:val="24"/>
      <w:szCs w:val="20"/>
    </w:rPr>
  </w:style>
  <w:style w:type="paragraph" w:customStyle="1" w:styleId="340">
    <w:name w:val="BG"/>
    <w:basedOn w:val="1"/>
    <w:qFormat/>
    <w:uiPriority w:val="0"/>
    <w:pPr>
      <w:autoSpaceDE w:val="0"/>
      <w:autoSpaceDN w:val="0"/>
      <w:snapToGrid w:val="0"/>
      <w:jc w:val="center"/>
    </w:pPr>
    <w:rPr>
      <w:kern w:val="0"/>
      <w:sz w:val="22"/>
      <w:szCs w:val="22"/>
      <w:lang w:eastAsia="en-US"/>
    </w:rPr>
  </w:style>
  <w:style w:type="paragraph" w:customStyle="1" w:styleId="341">
    <w:name w:val="zxz5"/>
    <w:next w:val="1"/>
    <w:qFormat/>
    <w:uiPriority w:val="0"/>
    <w:pPr>
      <w:tabs>
        <w:tab w:val="left" w:pos="0"/>
      </w:tabs>
      <w:jc w:val="center"/>
    </w:pPr>
    <w:rPr>
      <w:rFonts w:ascii="宋体" w:hAnsi="宋体" w:eastAsia="Times New Roman" w:cs="宋体"/>
      <w:bCs/>
      <w:kern w:val="2"/>
      <w:sz w:val="18"/>
      <w:szCs w:val="18"/>
      <w:lang w:val="en-US" w:eastAsia="zh-CN" w:bidi="ar-SA"/>
    </w:rPr>
  </w:style>
  <w:style w:type="paragraph" w:customStyle="1" w:styleId="342">
    <w:name w:val="正文文本 22"/>
    <w:basedOn w:val="1"/>
    <w:qFormat/>
    <w:uiPriority w:val="0"/>
    <w:pPr>
      <w:adjustRightInd w:val="0"/>
      <w:jc w:val="center"/>
      <w:textAlignment w:val="baseline"/>
    </w:pPr>
    <w:rPr>
      <w:sz w:val="24"/>
      <w:szCs w:val="20"/>
    </w:rPr>
  </w:style>
  <w:style w:type="paragraph" w:customStyle="1" w:styleId="343">
    <w:name w:val="标题4"/>
    <w:basedOn w:val="1"/>
    <w:qFormat/>
    <w:uiPriority w:val="0"/>
    <w:pPr>
      <w:adjustRightInd w:val="0"/>
      <w:snapToGrid w:val="0"/>
      <w:spacing w:line="360" w:lineRule="auto"/>
      <w:ind w:left="496" w:leftChars="200"/>
    </w:pPr>
    <w:rPr>
      <w:rFonts w:ascii="宋体" w:hAnsi="宋体"/>
      <w:snapToGrid w:val="0"/>
      <w:spacing w:val="4"/>
      <w:kern w:val="0"/>
      <w:sz w:val="24"/>
      <w:szCs w:val="20"/>
    </w:rPr>
  </w:style>
  <w:style w:type="paragraph" w:customStyle="1" w:styleId="344">
    <w:name w:val="样式 文本正文 + 首行缩进:  2 字符3"/>
    <w:basedOn w:val="1"/>
    <w:qFormat/>
    <w:uiPriority w:val="0"/>
    <w:pPr>
      <w:autoSpaceDE w:val="0"/>
      <w:autoSpaceDN w:val="0"/>
      <w:adjustRightInd w:val="0"/>
      <w:spacing w:line="360" w:lineRule="auto"/>
      <w:ind w:firstLine="496" w:firstLineChars="200"/>
      <w:textAlignment w:val="baseline"/>
    </w:pPr>
    <w:rPr>
      <w:rFonts w:ascii="宋体" w:hAnsi="宋体" w:cs="宋体"/>
      <w:snapToGrid w:val="0"/>
      <w:color w:val="000000"/>
      <w:kern w:val="21"/>
      <w:sz w:val="24"/>
    </w:rPr>
  </w:style>
  <w:style w:type="paragraph" w:customStyle="1" w:styleId="345">
    <w:name w:val="纯文本1"/>
    <w:basedOn w:val="1"/>
    <w:qFormat/>
    <w:uiPriority w:val="0"/>
    <w:pPr>
      <w:autoSpaceDE w:val="0"/>
      <w:autoSpaceDN w:val="0"/>
      <w:adjustRightInd w:val="0"/>
      <w:textAlignment w:val="baseline"/>
    </w:pPr>
    <w:rPr>
      <w:rFonts w:ascii="Courier New" w:hAnsi="Courier New"/>
      <w:sz w:val="15"/>
      <w:szCs w:val="20"/>
    </w:rPr>
  </w:style>
  <w:style w:type="paragraph" w:customStyle="1" w:styleId="346">
    <w:name w:val="xl33"/>
    <w:basedOn w:val="1"/>
    <w:qFormat/>
    <w:uiPriority w:val="0"/>
    <w:pPr>
      <w:widowControl/>
      <w:pBdr>
        <w:top w:val="single" w:color="auto" w:sz="4" w:space="0"/>
        <w:left w:val="single" w:color="auto" w:sz="4" w:space="0"/>
        <w:bottom w:val="single" w:color="auto" w:sz="4" w:space="0"/>
        <w:right w:val="single" w:color="auto" w:sz="4" w:space="0"/>
      </w:pBdr>
      <w:shd w:val="clear" w:color="auto" w:fill="33CCCC"/>
      <w:spacing w:before="100" w:beforeAutospacing="1" w:after="100" w:afterAutospacing="1"/>
      <w:jc w:val="center"/>
    </w:pPr>
    <w:rPr>
      <w:rFonts w:ascii="宋体" w:hAnsi="宋体" w:cs="宋体"/>
      <w:kern w:val="0"/>
      <w:sz w:val="18"/>
      <w:szCs w:val="18"/>
    </w:rPr>
  </w:style>
  <w:style w:type="paragraph" w:customStyle="1" w:styleId="347">
    <w:name w:val="楷体"/>
    <w:basedOn w:val="1"/>
    <w:qFormat/>
    <w:uiPriority w:val="0"/>
    <w:pPr>
      <w:adjustRightInd w:val="0"/>
      <w:spacing w:line="360" w:lineRule="auto"/>
      <w:ind w:firstLine="640" w:firstLineChars="200"/>
      <w:textAlignment w:val="baseline"/>
    </w:pPr>
    <w:rPr>
      <w:rFonts w:eastAsia="楷体"/>
      <w:kern w:val="0"/>
      <w:sz w:val="24"/>
    </w:rPr>
  </w:style>
  <w:style w:type="paragraph" w:customStyle="1" w:styleId="348">
    <w:name w:val="Pa8"/>
    <w:basedOn w:val="1"/>
    <w:next w:val="1"/>
    <w:qFormat/>
    <w:uiPriority w:val="0"/>
    <w:pPr>
      <w:autoSpaceDE w:val="0"/>
      <w:autoSpaceDN w:val="0"/>
      <w:adjustRightInd w:val="0"/>
      <w:spacing w:line="201" w:lineRule="atLeast"/>
      <w:jc w:val="left"/>
    </w:pPr>
    <w:rPr>
      <w:rFonts w:ascii="HYShuSongErJ" w:eastAsia="HYShuSongErJ"/>
      <w:kern w:val="0"/>
      <w:sz w:val="24"/>
    </w:rPr>
  </w:style>
  <w:style w:type="paragraph" w:customStyle="1" w:styleId="349">
    <w:name w:val="a3"/>
    <w:basedOn w:val="1"/>
    <w:qFormat/>
    <w:uiPriority w:val="0"/>
    <w:pPr>
      <w:widowControl/>
      <w:spacing w:before="100" w:beforeAutospacing="1" w:after="100" w:afterAutospacing="1"/>
      <w:jc w:val="left"/>
    </w:pPr>
    <w:rPr>
      <w:rFonts w:ascii="宋体" w:hAnsi="宋体"/>
      <w:color w:val="000000"/>
      <w:kern w:val="0"/>
      <w:sz w:val="24"/>
      <w:szCs w:val="20"/>
    </w:rPr>
  </w:style>
  <w:style w:type="paragraph" w:customStyle="1" w:styleId="350">
    <w:name w:val="Char Char Char Char Char Char1"/>
    <w:basedOn w:val="1"/>
    <w:qFormat/>
    <w:uiPriority w:val="0"/>
    <w:rPr>
      <w:sz w:val="24"/>
    </w:rPr>
  </w:style>
  <w:style w:type="paragraph" w:customStyle="1" w:styleId="351">
    <w:name w:val="0正文"/>
    <w:basedOn w:val="352"/>
    <w:qFormat/>
    <w:uiPriority w:val="0"/>
    <w:pPr>
      <w:ind w:firstLine="480"/>
    </w:pPr>
  </w:style>
  <w:style w:type="paragraph" w:customStyle="1" w:styleId="352">
    <w:name w:val="B正文"/>
    <w:basedOn w:val="1"/>
    <w:qFormat/>
    <w:uiPriority w:val="0"/>
    <w:pPr>
      <w:spacing w:line="360" w:lineRule="auto"/>
      <w:ind w:firstLine="200" w:firstLineChars="200"/>
    </w:pPr>
    <w:rPr>
      <w:kern w:val="0"/>
      <w:sz w:val="24"/>
    </w:rPr>
  </w:style>
  <w:style w:type="paragraph" w:customStyle="1" w:styleId="353">
    <w:name w:val="xl70"/>
    <w:basedOn w:val="1"/>
    <w:qFormat/>
    <w:uiPriority w:val="0"/>
    <w:pPr>
      <w:widowControl/>
      <w:pBdr>
        <w:bottom w:val="single" w:color="auto" w:sz="12" w:space="0"/>
        <w:right w:val="single" w:color="auto" w:sz="12" w:space="0"/>
      </w:pBdr>
      <w:spacing w:before="100" w:beforeAutospacing="1" w:after="100" w:afterAutospacing="1"/>
      <w:jc w:val="center"/>
    </w:pPr>
    <w:rPr>
      <w:rFonts w:ascii="宋体" w:hAnsi="宋体" w:cs="宋体"/>
      <w:kern w:val="0"/>
      <w:sz w:val="18"/>
      <w:szCs w:val="18"/>
    </w:rPr>
  </w:style>
  <w:style w:type="paragraph" w:customStyle="1" w:styleId="354">
    <w:name w:val="字元 字元1"/>
    <w:basedOn w:val="1"/>
    <w:qFormat/>
    <w:uiPriority w:val="0"/>
    <w:rPr>
      <w:sz w:val="24"/>
      <w:szCs w:val="20"/>
    </w:rPr>
  </w:style>
  <w:style w:type="paragraph" w:customStyle="1" w:styleId="355">
    <w:name w:val="Char Char1 Char Char Char"/>
    <w:basedOn w:val="1"/>
    <w:qFormat/>
    <w:uiPriority w:val="0"/>
    <w:rPr>
      <w:sz w:val="24"/>
    </w:rPr>
  </w:style>
  <w:style w:type="paragraph" w:customStyle="1" w:styleId="356">
    <w:name w:val="xl30"/>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宋体" w:hAnsi="宋体" w:cs="宋体"/>
      <w:kern w:val="0"/>
      <w:sz w:val="18"/>
      <w:szCs w:val="18"/>
    </w:rPr>
  </w:style>
  <w:style w:type="paragraph" w:customStyle="1" w:styleId="357">
    <w:name w:val="Char Char Char Char Char Char Char Char Char Char Char Char Char 字元 字元1"/>
    <w:basedOn w:val="1"/>
    <w:qFormat/>
    <w:uiPriority w:val="0"/>
    <w:rPr>
      <w:sz w:val="24"/>
      <w:szCs w:val="20"/>
    </w:rPr>
  </w:style>
  <w:style w:type="paragraph" w:customStyle="1" w:styleId="358">
    <w:name w:val="正文文本 24"/>
    <w:basedOn w:val="1"/>
    <w:qFormat/>
    <w:uiPriority w:val="0"/>
    <w:pPr>
      <w:adjustRightInd w:val="0"/>
      <w:jc w:val="center"/>
      <w:textAlignment w:val="baseline"/>
    </w:pPr>
    <w:rPr>
      <w:sz w:val="24"/>
      <w:szCs w:val="20"/>
    </w:rPr>
  </w:style>
  <w:style w:type="paragraph" w:customStyle="1" w:styleId="359">
    <w:name w:val="Table Paragraph"/>
    <w:basedOn w:val="1"/>
    <w:qFormat/>
    <w:uiPriority w:val="0"/>
    <w:pPr>
      <w:jc w:val="center"/>
    </w:pPr>
    <w:rPr>
      <w:rFonts w:ascii="宋体" w:hAnsi="宋体" w:eastAsia="Times New Roman"/>
      <w:kern w:val="0"/>
      <w:sz w:val="22"/>
      <w:szCs w:val="22"/>
      <w:lang w:eastAsia="en-US"/>
    </w:rPr>
  </w:style>
  <w:style w:type="paragraph" w:customStyle="1" w:styleId="360">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kern w:val="0"/>
      <w:szCs w:val="21"/>
    </w:rPr>
  </w:style>
  <w:style w:type="paragraph" w:customStyle="1" w:styleId="361">
    <w:name w:val="_C五号图表内容"/>
    <w:qFormat/>
    <w:uiPriority w:val="0"/>
    <w:pPr>
      <w:jc w:val="center"/>
    </w:pPr>
    <w:rPr>
      <w:rFonts w:ascii="Times New Roman" w:hAnsi="Times New Roman" w:eastAsia="宋体" w:cs="Times New Roman"/>
      <w:kern w:val="2"/>
      <w:sz w:val="21"/>
      <w:lang w:val="en-US" w:eastAsia="zh-CN" w:bidi="ar-SA"/>
    </w:rPr>
  </w:style>
  <w:style w:type="paragraph" w:customStyle="1" w:styleId="362">
    <w:name w:val="xl77"/>
    <w:basedOn w:val="1"/>
    <w:qFormat/>
    <w:uiPriority w:val="0"/>
    <w:pPr>
      <w:widowControl/>
      <w:pBdr>
        <w:top w:val="single" w:color="auto" w:sz="12" w:space="0"/>
        <w:left w:val="single" w:color="auto" w:sz="12" w:space="0"/>
        <w:right w:val="single" w:color="auto" w:sz="12" w:space="0"/>
      </w:pBdr>
      <w:spacing w:before="100" w:beforeAutospacing="1" w:after="100" w:afterAutospacing="1"/>
      <w:jc w:val="center"/>
      <w:textAlignment w:val="bottom"/>
    </w:pPr>
    <w:rPr>
      <w:kern w:val="0"/>
      <w:sz w:val="18"/>
      <w:szCs w:val="18"/>
    </w:rPr>
  </w:style>
  <w:style w:type="paragraph" w:customStyle="1" w:styleId="363">
    <w:name w:val="HJN-ZZ"/>
    <w:basedOn w:val="1"/>
    <w:qFormat/>
    <w:uiPriority w:val="0"/>
    <w:pPr>
      <w:adjustRightInd w:val="0"/>
      <w:spacing w:line="360" w:lineRule="auto"/>
      <w:ind w:firstLine="482"/>
      <w:jc w:val="left"/>
      <w:textAlignment w:val="baseline"/>
    </w:pPr>
    <w:rPr>
      <w:rFonts w:ascii="宋体" w:hAnsi="宋体"/>
      <w:kern w:val="21"/>
      <w:sz w:val="24"/>
      <w:szCs w:val="20"/>
    </w:rPr>
  </w:style>
  <w:style w:type="paragraph" w:customStyle="1" w:styleId="364">
    <w:name w:val="_C小五号图表内容"/>
    <w:qFormat/>
    <w:uiPriority w:val="0"/>
    <w:pPr>
      <w:jc w:val="center"/>
    </w:pPr>
    <w:rPr>
      <w:rFonts w:ascii="Times New Roman" w:hAnsi="Times New Roman" w:eastAsia="宋体" w:cs="Times New Roman"/>
      <w:kern w:val="2"/>
      <w:sz w:val="18"/>
      <w:lang w:val="en-US" w:eastAsia="zh-CN" w:bidi="ar-SA"/>
    </w:rPr>
  </w:style>
  <w:style w:type="paragraph" w:customStyle="1" w:styleId="365">
    <w:name w:val="ZH表格内字体"/>
    <w:basedOn w:val="1"/>
    <w:qFormat/>
    <w:uiPriority w:val="0"/>
    <w:pPr>
      <w:jc w:val="center"/>
    </w:pPr>
    <w:rPr>
      <w:rFonts w:eastAsia="Times New Roman"/>
      <w:szCs w:val="21"/>
    </w:rPr>
  </w:style>
  <w:style w:type="paragraph" w:customStyle="1" w:styleId="366">
    <w:name w:val="正文黄"/>
    <w:basedOn w:val="1"/>
    <w:qFormat/>
    <w:uiPriority w:val="0"/>
    <w:pPr>
      <w:autoSpaceDE w:val="0"/>
      <w:autoSpaceDN w:val="0"/>
      <w:adjustRightInd w:val="0"/>
      <w:snapToGrid w:val="0"/>
      <w:spacing w:line="396" w:lineRule="auto"/>
      <w:ind w:firstLine="480" w:firstLineChars="200"/>
      <w:textAlignment w:val="baseline"/>
    </w:pPr>
    <w:rPr>
      <w:kern w:val="0"/>
      <w:sz w:val="24"/>
    </w:rPr>
  </w:style>
  <w:style w:type="paragraph" w:customStyle="1" w:styleId="367">
    <w:name w:val="日期11"/>
    <w:basedOn w:val="1"/>
    <w:next w:val="1"/>
    <w:qFormat/>
    <w:uiPriority w:val="0"/>
    <w:pPr>
      <w:adjustRightInd w:val="0"/>
      <w:textAlignment w:val="baseline"/>
    </w:pPr>
    <w:rPr>
      <w:szCs w:val="20"/>
    </w:rPr>
  </w:style>
  <w:style w:type="paragraph" w:customStyle="1" w:styleId="368">
    <w:name w:val="xl84"/>
    <w:basedOn w:val="1"/>
    <w:qFormat/>
    <w:uiPriority w:val="0"/>
    <w:pPr>
      <w:widowControl/>
      <w:pBdr>
        <w:left w:val="single" w:color="000000" w:sz="8" w:space="0"/>
        <w:bottom w:val="single" w:color="000000" w:sz="8" w:space="0"/>
        <w:right w:val="single" w:color="000000" w:sz="8" w:space="0"/>
      </w:pBdr>
      <w:spacing w:before="100" w:beforeAutospacing="1" w:after="100" w:afterAutospacing="1"/>
      <w:jc w:val="center"/>
    </w:pPr>
    <w:rPr>
      <w:color w:val="000000"/>
      <w:kern w:val="0"/>
      <w:szCs w:val="21"/>
    </w:rPr>
  </w:style>
  <w:style w:type="paragraph" w:customStyle="1" w:styleId="369">
    <w:name w:val="表格内正文 Char Char"/>
    <w:basedOn w:val="1"/>
    <w:qFormat/>
    <w:uiPriority w:val="0"/>
    <w:pPr>
      <w:spacing w:line="360" w:lineRule="auto"/>
      <w:ind w:firstLine="493"/>
    </w:pPr>
    <w:rPr>
      <w:rFonts w:ascii="宋体" w:hAnsi="宋体"/>
      <w:spacing w:val="4"/>
      <w:kern w:val="18"/>
      <w:sz w:val="24"/>
    </w:rPr>
  </w:style>
  <w:style w:type="paragraph" w:customStyle="1" w:styleId="370">
    <w:name w:val="仿宋  小四"/>
    <w:basedOn w:val="371"/>
    <w:qFormat/>
    <w:uiPriority w:val="0"/>
    <w:pPr>
      <w:spacing w:line="360" w:lineRule="auto"/>
      <w:ind w:left="0" w:right="0" w:firstLine="200" w:firstLineChars="200"/>
      <w:textAlignment w:val="auto"/>
    </w:pPr>
    <w:rPr>
      <w:rFonts w:eastAsia="仿宋"/>
      <w:szCs w:val="24"/>
    </w:rPr>
  </w:style>
  <w:style w:type="paragraph" w:customStyle="1" w:styleId="371">
    <w:name w:val="报告表正文"/>
    <w:basedOn w:val="1"/>
    <w:qFormat/>
    <w:uiPriority w:val="0"/>
    <w:pPr>
      <w:adjustRightInd w:val="0"/>
      <w:spacing w:line="312" w:lineRule="auto"/>
      <w:ind w:left="113" w:right="113" w:firstLine="482"/>
      <w:jc w:val="left"/>
      <w:textAlignment w:val="baseline"/>
    </w:pPr>
    <w:rPr>
      <w:kern w:val="0"/>
      <w:sz w:val="24"/>
      <w:szCs w:val="20"/>
    </w:rPr>
  </w:style>
  <w:style w:type="paragraph" w:customStyle="1" w:styleId="372">
    <w:name w:val="cardlist-name"/>
    <w:basedOn w:val="1"/>
    <w:qFormat/>
    <w:uiPriority w:val="0"/>
    <w:pPr>
      <w:widowControl/>
      <w:spacing w:before="100" w:beforeAutospacing="1" w:after="100" w:afterAutospacing="1"/>
      <w:jc w:val="left"/>
    </w:pPr>
    <w:rPr>
      <w:rFonts w:ascii="宋体" w:hAnsi="宋体" w:cs="宋体"/>
      <w:kern w:val="0"/>
      <w:sz w:val="24"/>
    </w:rPr>
  </w:style>
  <w:style w:type="paragraph" w:customStyle="1" w:styleId="373">
    <w:name w:val="D小五号表格内容"/>
    <w:basedOn w:val="374"/>
    <w:qFormat/>
    <w:uiPriority w:val="0"/>
    <w:pPr>
      <w:snapToGrid w:val="0"/>
    </w:pPr>
    <w:rPr>
      <w:sz w:val="18"/>
    </w:rPr>
  </w:style>
  <w:style w:type="paragraph" w:customStyle="1" w:styleId="374">
    <w:name w:val="D图表内容-五号"/>
    <w:basedOn w:val="1"/>
    <w:next w:val="375"/>
    <w:qFormat/>
    <w:uiPriority w:val="0"/>
    <w:pPr>
      <w:widowControl/>
      <w:spacing w:line="240" w:lineRule="atLeast"/>
      <w:jc w:val="center"/>
    </w:pPr>
    <w:rPr>
      <w:rFonts w:ascii="宋体" w:hAnsi="宋体" w:cs="宋体"/>
      <w:szCs w:val="18"/>
    </w:rPr>
  </w:style>
  <w:style w:type="paragraph" w:customStyle="1" w:styleId="375">
    <w:name w:val="图表内容"/>
    <w:basedOn w:val="3"/>
    <w:next w:val="1"/>
    <w:qFormat/>
    <w:uiPriority w:val="0"/>
    <w:pPr>
      <w:spacing w:line="240" w:lineRule="auto"/>
      <w:ind w:firstLine="624" w:firstLineChars="297"/>
      <w:jc w:val="left"/>
    </w:pPr>
    <w:rPr>
      <w:rFonts w:ascii="Calibri" w:hAnsi="Calibri"/>
      <w:sz w:val="21"/>
    </w:rPr>
  </w:style>
  <w:style w:type="paragraph" w:customStyle="1" w:styleId="376">
    <w:name w:val="环保表内字（五号）"/>
    <w:basedOn w:val="1"/>
    <w:qFormat/>
    <w:uiPriority w:val="99"/>
    <w:pPr>
      <w:adjustRightInd w:val="0"/>
      <w:snapToGrid w:val="0"/>
      <w:spacing w:line="0" w:lineRule="atLeast"/>
    </w:pPr>
    <w:rPr>
      <w:snapToGrid w:val="0"/>
      <w:szCs w:val="20"/>
    </w:rPr>
  </w:style>
  <w:style w:type="paragraph" w:customStyle="1" w:styleId="377">
    <w:name w:val="xl65"/>
    <w:basedOn w:val="1"/>
    <w:qFormat/>
    <w:uiPriority w:val="0"/>
    <w:pPr>
      <w:widowControl/>
      <w:pBdr>
        <w:top w:val="single" w:color="auto" w:sz="12" w:space="0"/>
        <w:left w:val="single" w:color="auto" w:sz="12" w:space="0"/>
        <w:bottom w:val="single" w:color="auto" w:sz="12" w:space="0"/>
        <w:right w:val="single" w:color="auto" w:sz="12" w:space="0"/>
      </w:pBdr>
      <w:spacing w:before="100" w:beforeAutospacing="1" w:after="100" w:afterAutospacing="1"/>
      <w:jc w:val="center"/>
    </w:pPr>
    <w:rPr>
      <w:rFonts w:ascii="宋体" w:hAnsi="宋体" w:cs="宋体"/>
      <w:b/>
      <w:bCs/>
      <w:kern w:val="0"/>
      <w:sz w:val="18"/>
      <w:szCs w:val="18"/>
    </w:rPr>
  </w:style>
  <w:style w:type="paragraph" w:customStyle="1" w:styleId="378">
    <w:name w:val="msonormal"/>
    <w:basedOn w:val="1"/>
    <w:qFormat/>
    <w:uiPriority w:val="0"/>
    <w:pPr>
      <w:widowControl/>
      <w:spacing w:before="100" w:beforeAutospacing="1" w:after="100" w:afterAutospacing="1"/>
      <w:jc w:val="left"/>
    </w:pPr>
    <w:rPr>
      <w:rFonts w:ascii="宋体"/>
      <w:kern w:val="0"/>
      <w:sz w:val="24"/>
      <w:szCs w:val="20"/>
    </w:rPr>
  </w:style>
  <w:style w:type="paragraph" w:customStyle="1" w:styleId="379">
    <w:name w:val="D表内0磅"/>
    <w:basedOn w:val="1"/>
    <w:qFormat/>
    <w:uiPriority w:val="0"/>
    <w:pPr>
      <w:jc w:val="center"/>
    </w:pPr>
    <w:rPr>
      <w:rFonts w:ascii="仿宋_GB2312"/>
      <w:spacing w:val="4"/>
      <w:szCs w:val="21"/>
    </w:rPr>
  </w:style>
  <w:style w:type="paragraph" w:customStyle="1" w:styleId="380">
    <w:name w:val="Char4 Char Char Char Char Char Char"/>
    <w:basedOn w:val="1"/>
    <w:qFormat/>
    <w:uiPriority w:val="0"/>
    <w:pPr>
      <w:spacing w:line="360" w:lineRule="auto"/>
      <w:ind w:firstLine="200" w:firstLineChars="200"/>
    </w:pPr>
    <w:rPr>
      <w:rFonts w:ascii="Calibri" w:hAnsi="Calibri" w:cs="宋体"/>
      <w:sz w:val="24"/>
    </w:rPr>
  </w:style>
  <w:style w:type="paragraph" w:customStyle="1" w:styleId="381">
    <w:name w:val="报告书表格"/>
    <w:basedOn w:val="1"/>
    <w:qFormat/>
    <w:uiPriority w:val="0"/>
    <w:pPr>
      <w:adjustRightInd w:val="0"/>
      <w:spacing w:before="60" w:after="60" w:line="240" w:lineRule="atLeast"/>
      <w:jc w:val="center"/>
      <w:textAlignment w:val="baseline"/>
    </w:pPr>
    <w:rPr>
      <w:kern w:val="0"/>
      <w:szCs w:val="20"/>
    </w:rPr>
  </w:style>
  <w:style w:type="paragraph" w:customStyle="1" w:styleId="382">
    <w:name w:val="Char Char Char Char Char Char Char Char Char1 Char Char Char"/>
    <w:basedOn w:val="1"/>
    <w:qFormat/>
    <w:uiPriority w:val="0"/>
    <w:rPr>
      <w:sz w:val="24"/>
    </w:rPr>
  </w:style>
  <w:style w:type="paragraph" w:customStyle="1" w:styleId="383">
    <w:name w:val="表头黄"/>
    <w:basedOn w:val="1"/>
    <w:qFormat/>
    <w:uiPriority w:val="0"/>
    <w:pPr>
      <w:autoSpaceDE w:val="0"/>
      <w:autoSpaceDN w:val="0"/>
      <w:adjustRightInd w:val="0"/>
      <w:spacing w:before="156" w:beforeLines="50" w:line="360" w:lineRule="auto"/>
      <w:jc w:val="center"/>
      <w:textAlignment w:val="baseline"/>
    </w:pPr>
    <w:rPr>
      <w:rFonts w:hAnsi="宋体"/>
      <w:b/>
      <w:kern w:val="0"/>
      <w:sz w:val="24"/>
    </w:rPr>
  </w:style>
  <w:style w:type="paragraph" w:customStyle="1" w:styleId="384">
    <w:name w:val="表 头"/>
    <w:basedOn w:val="1"/>
    <w:qFormat/>
    <w:uiPriority w:val="0"/>
    <w:pPr>
      <w:widowControl/>
      <w:adjustRightInd w:val="0"/>
      <w:snapToGrid w:val="0"/>
      <w:spacing w:before="120" w:after="120" w:line="300" w:lineRule="auto"/>
      <w:jc w:val="center"/>
    </w:pPr>
    <w:rPr>
      <w:rFonts w:ascii="宋体" w:hAnsi="宋体"/>
      <w:b/>
      <w:kern w:val="0"/>
      <w:szCs w:val="21"/>
      <w:lang w:bidi="en-US"/>
    </w:rPr>
  </w:style>
  <w:style w:type="paragraph" w:customStyle="1" w:styleId="385">
    <w:name w:val="Char Char Char Char Char Char Char Char Char Char Char Char Char Char Char Char Char Char"/>
    <w:basedOn w:val="1"/>
    <w:qFormat/>
    <w:uiPriority w:val="0"/>
    <w:rPr>
      <w:sz w:val="24"/>
      <w:szCs w:val="20"/>
    </w:rPr>
  </w:style>
  <w:style w:type="paragraph" w:customStyle="1" w:styleId="386">
    <w:name w:val="Char Char Char Char Char Char Char Char Char Char Char Char Char 字元 字元 Char Char Char"/>
    <w:basedOn w:val="1"/>
    <w:qFormat/>
    <w:uiPriority w:val="0"/>
    <w:rPr>
      <w:sz w:val="24"/>
      <w:szCs w:val="20"/>
    </w:rPr>
  </w:style>
  <w:style w:type="paragraph" w:customStyle="1" w:styleId="387">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18"/>
      <w:szCs w:val="18"/>
    </w:rPr>
  </w:style>
  <w:style w:type="paragraph" w:customStyle="1" w:styleId="388">
    <w:name w:val="目次、标准名称标题"/>
    <w:basedOn w:val="1"/>
    <w:next w:val="260"/>
    <w:qFormat/>
    <w:uiPriority w:val="0"/>
    <w:pPr>
      <w:keepNext/>
      <w:pageBreakBefore/>
      <w:widowControl/>
      <w:shd w:val="clear" w:color="auto" w:fill="FFFFFF"/>
      <w:spacing w:before="640" w:after="560" w:line="460" w:lineRule="exact"/>
      <w:jc w:val="center"/>
      <w:outlineLvl w:val="0"/>
    </w:pPr>
    <w:rPr>
      <w:rFonts w:ascii="黑体" w:eastAsia="黑体"/>
      <w:kern w:val="0"/>
      <w:sz w:val="32"/>
      <w:szCs w:val="20"/>
    </w:rPr>
  </w:style>
  <w:style w:type="paragraph" w:customStyle="1" w:styleId="389">
    <w:name w:val="正文内容"/>
    <w:basedOn w:val="1"/>
    <w:qFormat/>
    <w:uiPriority w:val="0"/>
    <w:pPr>
      <w:adjustRightInd w:val="0"/>
      <w:snapToGrid w:val="0"/>
      <w:spacing w:line="360" w:lineRule="auto"/>
      <w:ind w:firstLine="496" w:firstLineChars="200"/>
    </w:pPr>
    <w:rPr>
      <w:rFonts w:ascii="宋体" w:hAnsi="宋体"/>
      <w:snapToGrid w:val="0"/>
      <w:spacing w:val="4"/>
      <w:kern w:val="0"/>
      <w:sz w:val="24"/>
      <w:szCs w:val="20"/>
    </w:rPr>
  </w:style>
  <w:style w:type="paragraph" w:customStyle="1" w:styleId="390">
    <w:name w:val="xl76"/>
    <w:basedOn w:val="1"/>
    <w:qFormat/>
    <w:uiPriority w:val="0"/>
    <w:pPr>
      <w:widowControl/>
      <w:pBdr>
        <w:left w:val="single" w:color="auto" w:sz="12" w:space="0"/>
        <w:bottom w:val="single" w:color="auto" w:sz="12" w:space="0"/>
        <w:right w:val="single" w:color="auto" w:sz="12" w:space="0"/>
      </w:pBdr>
      <w:spacing w:before="100" w:beforeAutospacing="1" w:after="100" w:afterAutospacing="1"/>
      <w:jc w:val="center"/>
    </w:pPr>
    <w:rPr>
      <w:kern w:val="0"/>
      <w:sz w:val="18"/>
      <w:szCs w:val="18"/>
    </w:rPr>
  </w:style>
  <w:style w:type="paragraph" w:customStyle="1" w:styleId="391">
    <w:name w:val="正文缩进2"/>
    <w:basedOn w:val="1"/>
    <w:qFormat/>
    <w:uiPriority w:val="0"/>
    <w:pPr>
      <w:adjustRightInd w:val="0"/>
      <w:snapToGrid w:val="0"/>
      <w:spacing w:line="300" w:lineRule="auto"/>
      <w:ind w:firstLine="200" w:firstLineChars="200"/>
    </w:pPr>
    <w:rPr>
      <w:rFonts w:ascii="仿宋_GB2312" w:eastAsia="仿宋_GB2312"/>
      <w:sz w:val="28"/>
    </w:rPr>
  </w:style>
  <w:style w:type="paragraph" w:customStyle="1" w:styleId="392">
    <w:name w:val="Char Char Char1 Char Char Char Char Char Char Char Char Char Char"/>
    <w:basedOn w:val="1"/>
    <w:qFormat/>
    <w:uiPriority w:val="0"/>
    <w:pPr>
      <w:adjustRightInd w:val="0"/>
      <w:snapToGrid w:val="0"/>
      <w:spacing w:line="360" w:lineRule="auto"/>
      <w:ind w:firstLine="200" w:firstLineChars="200"/>
    </w:pPr>
    <w:rPr>
      <w:szCs w:val="20"/>
    </w:rPr>
  </w:style>
  <w:style w:type="paragraph" w:customStyle="1" w:styleId="393">
    <w:name w:val="Char Char Char Char Char Char Char Char Char Char Char Char Char 字元 字元 Char Char Char Char Char Char"/>
    <w:basedOn w:val="1"/>
    <w:qFormat/>
    <w:uiPriority w:val="0"/>
    <w:rPr>
      <w:sz w:val="24"/>
    </w:rPr>
  </w:style>
  <w:style w:type="paragraph" w:customStyle="1" w:styleId="394">
    <w:name w:val="附录标识"/>
    <w:basedOn w:val="1"/>
    <w:qFormat/>
    <w:uiPriority w:val="0"/>
    <w:pPr>
      <w:widowControl/>
      <w:shd w:val="clear" w:color="FFFFFF" w:fill="FFFFFF"/>
      <w:tabs>
        <w:tab w:val="left" w:pos="6405"/>
      </w:tabs>
      <w:spacing w:before="240" w:after="200"/>
      <w:jc w:val="center"/>
      <w:outlineLvl w:val="0"/>
    </w:pPr>
    <w:rPr>
      <w:rFonts w:ascii="黑体" w:eastAsia="黑体"/>
      <w:kern w:val="0"/>
      <w:szCs w:val="20"/>
    </w:rPr>
  </w:style>
  <w:style w:type="paragraph" w:customStyle="1" w:styleId="395">
    <w:name w:val="xl82"/>
    <w:basedOn w:val="1"/>
    <w:qFormat/>
    <w:uiPriority w:val="0"/>
    <w:pPr>
      <w:widowControl/>
      <w:pBdr>
        <w:left w:val="single" w:color="auto" w:sz="12" w:space="0"/>
        <w:bottom w:val="single" w:color="auto" w:sz="12" w:space="0"/>
        <w:right w:val="single" w:color="auto" w:sz="12" w:space="0"/>
      </w:pBdr>
      <w:spacing w:before="100" w:beforeAutospacing="1" w:after="100" w:afterAutospacing="1"/>
      <w:jc w:val="center"/>
    </w:pPr>
    <w:rPr>
      <w:kern w:val="0"/>
      <w:szCs w:val="21"/>
    </w:rPr>
  </w:style>
  <w:style w:type="paragraph" w:customStyle="1" w:styleId="396">
    <w:name w:val="样式61"/>
    <w:basedOn w:val="1"/>
    <w:qFormat/>
    <w:uiPriority w:val="0"/>
    <w:pPr>
      <w:widowControl/>
      <w:jc w:val="center"/>
    </w:pPr>
    <w:rPr>
      <w:kern w:val="0"/>
      <w:szCs w:val="20"/>
    </w:rPr>
  </w:style>
  <w:style w:type="paragraph" w:customStyle="1" w:styleId="397">
    <w:name w:val="样式 标题 4 + 非加粗"/>
    <w:basedOn w:val="7"/>
    <w:qFormat/>
    <w:uiPriority w:val="0"/>
    <w:pPr>
      <w:keepLines/>
      <w:spacing w:line="360" w:lineRule="auto"/>
      <w:jc w:val="both"/>
    </w:pPr>
    <w:rPr>
      <w:rFonts w:ascii="Arial" w:hAnsi="Arial" w:eastAsia="黑体"/>
      <w:b w:val="0"/>
      <w:w w:val="100"/>
      <w:szCs w:val="24"/>
    </w:rPr>
  </w:style>
  <w:style w:type="paragraph" w:customStyle="1" w:styleId="398">
    <w:name w:val="D图表标题"/>
    <w:basedOn w:val="3"/>
    <w:next w:val="1"/>
    <w:qFormat/>
    <w:uiPriority w:val="0"/>
    <w:pPr>
      <w:spacing w:after="100" w:line="240" w:lineRule="auto"/>
      <w:ind w:firstLine="0" w:firstLineChars="0"/>
    </w:pPr>
    <w:rPr>
      <w:b/>
      <w:sz w:val="21"/>
    </w:rPr>
  </w:style>
  <w:style w:type="paragraph" w:customStyle="1" w:styleId="399">
    <w:name w:val="图表(邵)"/>
    <w:basedOn w:val="1"/>
    <w:qFormat/>
    <w:uiPriority w:val="0"/>
    <w:pPr>
      <w:spacing w:line="360" w:lineRule="auto"/>
      <w:jc w:val="center"/>
    </w:pPr>
    <w:rPr>
      <w:rFonts w:ascii="宋体" w:hAnsi="宋体"/>
      <w:b/>
      <w:sz w:val="24"/>
      <w:lang w:bidi="en-US"/>
    </w:rPr>
  </w:style>
  <w:style w:type="paragraph" w:customStyle="1" w:styleId="400">
    <w:name w:val="正文_1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01">
    <w:name w:val="普通(网站)2"/>
    <w:basedOn w:val="1"/>
    <w:qFormat/>
    <w:uiPriority w:val="0"/>
    <w:pPr>
      <w:widowControl/>
      <w:spacing w:before="100" w:beforeAutospacing="1" w:after="100" w:afterAutospacing="1"/>
      <w:jc w:val="left"/>
    </w:pPr>
    <w:rPr>
      <w:rFonts w:ascii="宋体" w:hAnsi="宋体"/>
      <w:sz w:val="24"/>
      <w:szCs w:val="20"/>
    </w:rPr>
  </w:style>
  <w:style w:type="paragraph" w:customStyle="1" w:styleId="402">
    <w:name w:val="Char Char Char11"/>
    <w:basedOn w:val="1"/>
    <w:qFormat/>
    <w:uiPriority w:val="0"/>
    <w:pPr>
      <w:spacing w:line="360" w:lineRule="auto"/>
    </w:pPr>
    <w:rPr>
      <w:rFonts w:ascii="宋体" w:hAnsi="宋体"/>
      <w:sz w:val="24"/>
      <w:szCs w:val="20"/>
    </w:rPr>
  </w:style>
  <w:style w:type="paragraph" w:customStyle="1" w:styleId="403">
    <w:name w:val="默认段落字体 Para Char"/>
    <w:basedOn w:val="1"/>
    <w:qFormat/>
    <w:uiPriority w:val="0"/>
    <w:rPr>
      <w:rFonts w:ascii="Arial" w:hAnsi="Arial"/>
      <w:szCs w:val="20"/>
    </w:rPr>
  </w:style>
  <w:style w:type="paragraph" w:customStyle="1" w:styleId="404">
    <w:name w:val="样式55"/>
    <w:basedOn w:val="118"/>
    <w:qFormat/>
    <w:uiPriority w:val="0"/>
    <w:pPr>
      <w:spacing w:before="120" w:after="120"/>
      <w:ind w:firstLine="480"/>
    </w:pPr>
  </w:style>
  <w:style w:type="paragraph" w:customStyle="1" w:styleId="405">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18"/>
      <w:szCs w:val="18"/>
    </w:rPr>
  </w:style>
  <w:style w:type="paragraph" w:customStyle="1" w:styleId="406">
    <w:name w:val="正本AM"/>
    <w:basedOn w:val="1"/>
    <w:qFormat/>
    <w:uiPriority w:val="0"/>
    <w:pPr>
      <w:adjustRightInd w:val="0"/>
      <w:snapToGrid w:val="0"/>
      <w:spacing w:line="360" w:lineRule="auto"/>
      <w:ind w:firstLine="576" w:firstLineChars="200"/>
      <w:jc w:val="left"/>
    </w:pPr>
    <w:rPr>
      <w:rFonts w:eastAsia="仿宋_GB2312"/>
      <w:spacing w:val="4"/>
      <w:kern w:val="18"/>
      <w:sz w:val="28"/>
      <w:szCs w:val="28"/>
    </w:rPr>
  </w:style>
  <w:style w:type="paragraph" w:customStyle="1" w:styleId="407">
    <w:name w:val="表体宋旭峰"/>
    <w:basedOn w:val="1"/>
    <w:qFormat/>
    <w:uiPriority w:val="0"/>
    <w:pPr>
      <w:tabs>
        <w:tab w:val="left" w:pos="0"/>
        <w:tab w:val="left" w:pos="480"/>
      </w:tabs>
      <w:overflowPunct w:val="0"/>
      <w:ind w:left="-120" w:leftChars="-50" w:right="-120" w:rightChars="-50"/>
      <w:jc w:val="center"/>
      <w:textAlignment w:val="baseline"/>
    </w:pPr>
    <w:rPr>
      <w:rFonts w:ascii="宋体" w:hAnsi="宋体" w:cs="Courier New"/>
      <w:snapToGrid w:val="0"/>
      <w:kern w:val="0"/>
      <w:sz w:val="18"/>
      <w:szCs w:val="18"/>
    </w:rPr>
  </w:style>
  <w:style w:type="paragraph" w:customStyle="1" w:styleId="408">
    <w:name w:val="Char Char Char Char Char Char Char Char Char11"/>
    <w:basedOn w:val="1"/>
    <w:qFormat/>
    <w:uiPriority w:val="0"/>
    <w:rPr>
      <w:sz w:val="24"/>
    </w:rPr>
  </w:style>
  <w:style w:type="paragraph" w:customStyle="1" w:styleId="409">
    <w:name w:val="xl71"/>
    <w:basedOn w:val="1"/>
    <w:qFormat/>
    <w:uiPriority w:val="0"/>
    <w:pPr>
      <w:widowControl/>
      <w:pBdr>
        <w:left w:val="single" w:color="auto" w:sz="12" w:space="0"/>
        <w:right w:val="single" w:color="auto" w:sz="12" w:space="0"/>
      </w:pBdr>
      <w:spacing w:before="100" w:beforeAutospacing="1" w:after="100" w:afterAutospacing="1"/>
      <w:jc w:val="center"/>
    </w:pPr>
    <w:rPr>
      <w:rFonts w:ascii="宋体" w:hAnsi="宋体" w:cs="宋体"/>
      <w:kern w:val="0"/>
      <w:sz w:val="18"/>
      <w:szCs w:val="18"/>
    </w:rPr>
  </w:style>
  <w:style w:type="paragraph" w:customStyle="1" w:styleId="410">
    <w:name w:val="Char Char Char Char Char Char Char Char Char1 Char Char Char1"/>
    <w:basedOn w:val="1"/>
    <w:qFormat/>
    <w:uiPriority w:val="0"/>
    <w:rPr>
      <w:sz w:val="24"/>
    </w:rPr>
  </w:style>
  <w:style w:type="paragraph" w:customStyle="1" w:styleId="411">
    <w:name w:val="Char Char Char Char Char Char Char Char Char2"/>
    <w:basedOn w:val="1"/>
    <w:qFormat/>
    <w:uiPriority w:val="0"/>
    <w:rPr>
      <w:sz w:val="24"/>
      <w:szCs w:val="20"/>
    </w:rPr>
  </w:style>
  <w:style w:type="paragraph" w:customStyle="1" w:styleId="412">
    <w:name w:val="正文 Char Char Char Char"/>
    <w:basedOn w:val="1"/>
    <w:next w:val="1"/>
    <w:qFormat/>
    <w:uiPriority w:val="0"/>
    <w:pPr>
      <w:adjustRightInd w:val="0"/>
      <w:spacing w:line="360" w:lineRule="auto"/>
      <w:ind w:firstLine="482"/>
      <w:jc w:val="left"/>
      <w:textAlignment w:val="baseline"/>
    </w:pPr>
    <w:rPr>
      <w:rFonts w:ascii="宋体"/>
      <w:snapToGrid w:val="0"/>
      <w:kern w:val="21"/>
      <w:sz w:val="24"/>
      <w:szCs w:val="20"/>
    </w:rPr>
  </w:style>
  <w:style w:type="paragraph" w:customStyle="1" w:styleId="413">
    <w:name w:val="Char Char Char Char Char Char1 Char Char Char Char Char Char Char Char Char Char Char Char1 Char Char Char"/>
    <w:basedOn w:val="1"/>
    <w:qFormat/>
    <w:uiPriority w:val="0"/>
    <w:rPr>
      <w:rFonts w:ascii="宋体" w:hAnsi="宋体"/>
      <w:sz w:val="24"/>
      <w:szCs w:val="20"/>
    </w:rPr>
  </w:style>
  <w:style w:type="paragraph" w:customStyle="1" w:styleId="414">
    <w:name w:val="xl78"/>
    <w:basedOn w:val="1"/>
    <w:qFormat/>
    <w:uiPriority w:val="0"/>
    <w:pPr>
      <w:widowControl/>
      <w:pBdr>
        <w:left w:val="single" w:color="auto" w:sz="12" w:space="0"/>
        <w:right w:val="single" w:color="auto" w:sz="12" w:space="0"/>
      </w:pBdr>
      <w:spacing w:before="100" w:beforeAutospacing="1" w:after="100" w:afterAutospacing="1"/>
      <w:jc w:val="center"/>
      <w:textAlignment w:val="bottom"/>
    </w:pPr>
    <w:rPr>
      <w:kern w:val="0"/>
      <w:sz w:val="18"/>
      <w:szCs w:val="18"/>
    </w:rPr>
  </w:style>
  <w:style w:type="paragraph" w:customStyle="1" w:styleId="415">
    <w:name w:val="xl73"/>
    <w:basedOn w:val="1"/>
    <w:qFormat/>
    <w:uiPriority w:val="0"/>
    <w:pPr>
      <w:widowControl/>
      <w:pBdr>
        <w:left w:val="single" w:color="auto" w:sz="12" w:space="0"/>
        <w:bottom w:val="single" w:color="auto" w:sz="12" w:space="0"/>
        <w:right w:val="single" w:color="auto" w:sz="12" w:space="0"/>
      </w:pBdr>
      <w:spacing w:before="100" w:beforeAutospacing="1" w:after="100" w:afterAutospacing="1"/>
      <w:jc w:val="center"/>
    </w:pPr>
    <w:rPr>
      <w:rFonts w:ascii="宋体" w:hAnsi="宋体" w:cs="宋体"/>
      <w:kern w:val="0"/>
      <w:sz w:val="18"/>
      <w:szCs w:val="18"/>
    </w:rPr>
  </w:style>
  <w:style w:type="paragraph" w:customStyle="1" w:styleId="416">
    <w:name w:val="样式 标题 1 + 桔黄"/>
    <w:basedOn w:val="4"/>
    <w:qFormat/>
    <w:uiPriority w:val="0"/>
    <w:pPr>
      <w:keepLines/>
      <w:pageBreakBefore/>
      <w:overflowPunct/>
      <w:snapToGrid/>
      <w:spacing w:before="0" w:after="0" w:line="360" w:lineRule="auto"/>
      <w:ind w:left="0" w:firstLine="0"/>
      <w:jc w:val="left"/>
    </w:pPr>
    <w:rPr>
      <w:rFonts w:ascii="Arial" w:hAnsi="Arial" w:eastAsia="宋体"/>
      <w:bCs w:val="0"/>
      <w:color w:val="auto"/>
      <w:kern w:val="2"/>
      <w:sz w:val="28"/>
      <w:szCs w:val="20"/>
    </w:rPr>
  </w:style>
  <w:style w:type="paragraph" w:customStyle="1" w:styleId="417">
    <w:name w:val="Char Char Char Char Char Char Char Char Char Char Char Char Char Char Char Char Char Char1"/>
    <w:basedOn w:val="1"/>
    <w:qFormat/>
    <w:uiPriority w:val="0"/>
    <w:rPr>
      <w:sz w:val="24"/>
      <w:szCs w:val="20"/>
    </w:rPr>
  </w:style>
  <w:style w:type="paragraph" w:customStyle="1" w:styleId="418">
    <w:name w:val="表格AM"/>
    <w:basedOn w:val="1"/>
    <w:qFormat/>
    <w:uiPriority w:val="0"/>
    <w:pPr>
      <w:tabs>
        <w:tab w:val="left" w:pos="0"/>
      </w:tabs>
      <w:adjustRightInd w:val="0"/>
      <w:snapToGrid w:val="0"/>
      <w:ind w:left="-113" w:right="-113"/>
      <w:jc w:val="center"/>
    </w:pPr>
    <w:rPr>
      <w:rFonts w:eastAsia="仿宋_GB2312"/>
      <w:spacing w:val="4"/>
      <w:kern w:val="18"/>
      <w:sz w:val="24"/>
    </w:rPr>
  </w:style>
  <w:style w:type="paragraph" w:customStyle="1" w:styleId="419">
    <w:name w:val="reader-word-layer"/>
    <w:basedOn w:val="1"/>
    <w:qFormat/>
    <w:uiPriority w:val="0"/>
    <w:pPr>
      <w:widowControl/>
      <w:spacing w:before="100" w:beforeAutospacing="1" w:after="100" w:afterAutospacing="1"/>
      <w:jc w:val="left"/>
    </w:pPr>
    <w:rPr>
      <w:rFonts w:ascii="宋体" w:hAnsi="宋体" w:cs="宋体"/>
      <w:kern w:val="0"/>
      <w:sz w:val="24"/>
    </w:rPr>
  </w:style>
  <w:style w:type="paragraph" w:customStyle="1" w:styleId="420">
    <w:name w:val="1"/>
    <w:basedOn w:val="1"/>
    <w:next w:val="17"/>
    <w:qFormat/>
    <w:uiPriority w:val="0"/>
    <w:pPr>
      <w:adjustRightInd w:val="0"/>
      <w:spacing w:after="120" w:line="312" w:lineRule="atLeast"/>
      <w:textAlignment w:val="baseline"/>
    </w:pPr>
    <w:rPr>
      <w:rFonts w:ascii="宋体"/>
      <w:spacing w:val="4"/>
      <w:kern w:val="21"/>
      <w:sz w:val="24"/>
      <w:szCs w:val="20"/>
    </w:rPr>
  </w:style>
  <w:style w:type="paragraph" w:customStyle="1" w:styleId="421">
    <w:name w:val="图表文字"/>
    <w:basedOn w:val="1"/>
    <w:qFormat/>
    <w:uiPriority w:val="0"/>
    <w:pPr>
      <w:spacing w:line="300" w:lineRule="exact"/>
      <w:jc w:val="center"/>
    </w:pPr>
    <w:rPr>
      <w:bCs/>
      <w:szCs w:val="20"/>
    </w:rPr>
  </w:style>
  <w:style w:type="paragraph" w:customStyle="1" w:styleId="422">
    <w:name w:val="Char21"/>
    <w:basedOn w:val="1"/>
    <w:qFormat/>
    <w:uiPriority w:val="0"/>
    <w:pPr>
      <w:spacing w:line="360" w:lineRule="auto"/>
      <w:ind w:firstLine="200" w:firstLineChars="200"/>
    </w:pPr>
    <w:rPr>
      <w:rFonts w:ascii="宋体" w:hAnsi="宋体" w:cs="宋体"/>
      <w:sz w:val="24"/>
    </w:rPr>
  </w:style>
  <w:style w:type="paragraph" w:customStyle="1" w:styleId="423">
    <w:name w:val="表格属性"/>
    <w:basedOn w:val="1"/>
    <w:qFormat/>
    <w:uiPriority w:val="0"/>
    <w:pPr>
      <w:adjustRightInd w:val="0"/>
      <w:snapToGrid w:val="0"/>
      <w:spacing w:line="360" w:lineRule="auto"/>
      <w:jc w:val="center"/>
    </w:pPr>
    <w:rPr>
      <w:rFonts w:ascii="宋体" w:hAnsi="宋体" w:cs="Arial"/>
      <w:color w:val="000000"/>
      <w:szCs w:val="28"/>
    </w:rPr>
  </w:style>
  <w:style w:type="paragraph" w:customStyle="1" w:styleId="424">
    <w:name w:val="封面标准号2"/>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paragraph" w:customStyle="1" w:styleId="425">
    <w:name w:val="Char Char Char Char Char Char Char Char Char Char Char Char Char 字元 字元 Char Char Char1"/>
    <w:basedOn w:val="1"/>
    <w:qFormat/>
    <w:uiPriority w:val="0"/>
    <w:rPr>
      <w:sz w:val="24"/>
      <w:szCs w:val="20"/>
    </w:rPr>
  </w:style>
  <w:style w:type="paragraph" w:customStyle="1" w:styleId="426">
    <w:name w:val="_Style 30"/>
    <w:basedOn w:val="1"/>
    <w:next w:val="40"/>
    <w:qFormat/>
    <w:uiPriority w:val="0"/>
    <w:pPr>
      <w:widowControl/>
      <w:spacing w:before="100" w:beforeAutospacing="1" w:after="100" w:afterAutospacing="1"/>
      <w:jc w:val="left"/>
    </w:pPr>
    <w:rPr>
      <w:rFonts w:ascii="宋体" w:hAnsi="宋体"/>
      <w:kern w:val="0"/>
      <w:sz w:val="24"/>
      <w:szCs w:val="20"/>
    </w:rPr>
  </w:style>
  <w:style w:type="paragraph" w:customStyle="1" w:styleId="427">
    <w:name w:val="xl69"/>
    <w:basedOn w:val="1"/>
    <w:qFormat/>
    <w:uiPriority w:val="0"/>
    <w:pPr>
      <w:widowControl/>
      <w:pBdr>
        <w:bottom w:val="single" w:color="auto" w:sz="12" w:space="0"/>
        <w:right w:val="single" w:color="auto" w:sz="12" w:space="0"/>
      </w:pBdr>
      <w:spacing w:before="100" w:beforeAutospacing="1" w:after="100" w:afterAutospacing="1"/>
      <w:jc w:val="center"/>
    </w:pPr>
    <w:rPr>
      <w:kern w:val="0"/>
      <w:sz w:val="18"/>
      <w:szCs w:val="18"/>
    </w:rPr>
  </w:style>
  <w:style w:type="paragraph" w:customStyle="1" w:styleId="428">
    <w:name w:val="封面标准名称"/>
    <w:qFormat/>
    <w:uiPriority w:val="0"/>
    <w:pPr>
      <w:framePr w:w="9639" w:h="6917" w:hRule="exact" w:wrap="around" w:vAnchor="page" w:hAnchor="page" w:xAlign="center" w:y="6408"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429">
    <w:name w:val="君邦正文"/>
    <w:qFormat/>
    <w:uiPriority w:val="0"/>
    <w:pPr>
      <w:spacing w:line="360" w:lineRule="auto"/>
      <w:ind w:left="-4" w:leftChars="-2" w:firstLine="480" w:firstLineChars="200"/>
      <w:jc w:val="both"/>
    </w:pPr>
    <w:rPr>
      <w:rFonts w:ascii="宋体" w:hAnsi="宋体" w:eastAsia="宋体" w:cs="Times New Roman"/>
      <w:kern w:val="2"/>
      <w:sz w:val="24"/>
      <w:lang w:val="en-US" w:eastAsia="zh-CN" w:bidi="ar-SA"/>
    </w:rPr>
  </w:style>
  <w:style w:type="paragraph" w:customStyle="1" w:styleId="430">
    <w:name w:val="表格居中"/>
    <w:basedOn w:val="1"/>
    <w:qFormat/>
    <w:uiPriority w:val="0"/>
    <w:pPr>
      <w:jc w:val="center"/>
    </w:pPr>
    <w:rPr>
      <w:rFonts w:ascii="宋体" w:hAnsi="宋体"/>
      <w:snapToGrid w:val="0"/>
      <w:spacing w:val="-4"/>
      <w:w w:val="90"/>
      <w:kern w:val="0"/>
      <w:sz w:val="24"/>
      <w:szCs w:val="20"/>
    </w:rPr>
  </w:style>
  <w:style w:type="paragraph" w:customStyle="1" w:styleId="431">
    <w:name w:val="222222222222222222222"/>
    <w:basedOn w:val="1"/>
    <w:qFormat/>
    <w:uiPriority w:val="0"/>
    <w:pPr>
      <w:jc w:val="center"/>
    </w:pPr>
    <w:rPr>
      <w:szCs w:val="21"/>
    </w:rPr>
  </w:style>
  <w:style w:type="paragraph" w:customStyle="1" w:styleId="432">
    <w:name w:val="中文报告书样式"/>
    <w:basedOn w:val="1"/>
    <w:qFormat/>
    <w:uiPriority w:val="0"/>
    <w:pPr>
      <w:adjustRightInd w:val="0"/>
      <w:spacing w:line="480" w:lineRule="atLeast"/>
      <w:ind w:firstLine="482"/>
      <w:textAlignment w:val="baseline"/>
    </w:pPr>
    <w:rPr>
      <w:kern w:val="24"/>
      <w:sz w:val="24"/>
      <w:szCs w:val="20"/>
    </w:rPr>
  </w:style>
  <w:style w:type="paragraph" w:customStyle="1" w:styleId="433">
    <w:name w:val="样式1 Char Char"/>
    <w:basedOn w:val="1"/>
    <w:qFormat/>
    <w:uiPriority w:val="0"/>
    <w:pPr>
      <w:spacing w:line="360" w:lineRule="auto"/>
      <w:ind w:firstLine="510"/>
    </w:pPr>
    <w:rPr>
      <w:sz w:val="24"/>
    </w:rPr>
  </w:style>
  <w:style w:type="paragraph" w:customStyle="1" w:styleId="434">
    <w:name w:val="正文缩进11"/>
    <w:basedOn w:val="1"/>
    <w:qFormat/>
    <w:uiPriority w:val="0"/>
    <w:pPr>
      <w:tabs>
        <w:tab w:val="left" w:pos="1785"/>
      </w:tabs>
      <w:adjustRightInd w:val="0"/>
      <w:snapToGrid w:val="0"/>
      <w:spacing w:line="520" w:lineRule="exact"/>
      <w:ind w:firstLine="480" w:firstLineChars="200"/>
    </w:pPr>
    <w:rPr>
      <w:rFonts w:ascii="Arial Narrow" w:hAnsi="Arial Narrow"/>
      <w:sz w:val="28"/>
      <w:szCs w:val="32"/>
    </w:rPr>
  </w:style>
  <w:style w:type="paragraph" w:customStyle="1" w:styleId="435">
    <w:name w:val="Char1"/>
    <w:basedOn w:val="6"/>
    <w:qFormat/>
    <w:uiPriority w:val="0"/>
    <w:pPr>
      <w:keepLines/>
      <w:tabs>
        <w:tab w:val="left" w:pos="720"/>
        <w:tab w:val="left" w:pos="1080"/>
      </w:tabs>
      <w:autoSpaceDE/>
      <w:autoSpaceDN/>
      <w:adjustRightInd/>
      <w:snapToGrid/>
      <w:spacing w:before="156" w:beforeLines="50" w:after="156" w:afterLines="50"/>
      <w:ind w:left="1080" w:hanging="1080"/>
      <w:textAlignment w:val="auto"/>
    </w:pPr>
    <w:rPr>
      <w:rFonts w:hAnsi="宋体" w:cs="宋体"/>
      <w:b/>
      <w:bCs/>
      <w:spacing w:val="0"/>
      <w:kern w:val="2"/>
      <w:szCs w:val="24"/>
    </w:rPr>
  </w:style>
  <w:style w:type="paragraph" w:customStyle="1" w:styleId="436">
    <w:name w:val="xl74"/>
    <w:basedOn w:val="1"/>
    <w:qFormat/>
    <w:uiPriority w:val="0"/>
    <w:pPr>
      <w:widowControl/>
      <w:pBdr>
        <w:top w:val="single" w:color="auto" w:sz="12" w:space="0"/>
        <w:left w:val="single" w:color="auto" w:sz="12" w:space="0"/>
        <w:right w:val="single" w:color="auto" w:sz="12" w:space="0"/>
      </w:pBdr>
      <w:spacing w:before="100" w:beforeAutospacing="1" w:after="100" w:afterAutospacing="1"/>
      <w:jc w:val="center"/>
    </w:pPr>
    <w:rPr>
      <w:kern w:val="0"/>
      <w:sz w:val="18"/>
      <w:szCs w:val="18"/>
    </w:rPr>
  </w:style>
  <w:style w:type="paragraph" w:customStyle="1" w:styleId="437">
    <w:name w:val="font7"/>
    <w:basedOn w:val="1"/>
    <w:qFormat/>
    <w:uiPriority w:val="0"/>
    <w:pPr>
      <w:widowControl/>
      <w:spacing w:before="100" w:beforeAutospacing="1" w:after="100" w:afterAutospacing="1"/>
      <w:jc w:val="left"/>
    </w:pPr>
    <w:rPr>
      <w:color w:val="000000"/>
      <w:kern w:val="0"/>
      <w:sz w:val="18"/>
      <w:szCs w:val="18"/>
    </w:rPr>
  </w:style>
  <w:style w:type="paragraph" w:customStyle="1" w:styleId="438">
    <w:name w:val="样式 页脚 + 宋体 五号 段后: 1 行 行距: 固定值 16 磅"/>
    <w:basedOn w:val="28"/>
    <w:qFormat/>
    <w:uiPriority w:val="0"/>
    <w:pPr>
      <w:spacing w:after="312" w:afterLines="100" w:line="240" w:lineRule="atLeast"/>
    </w:pPr>
    <w:rPr>
      <w:rFonts w:ascii="宋体" w:hAnsi="宋体" w:cs="宋体"/>
      <w:kern w:val="2"/>
      <w:sz w:val="21"/>
    </w:rPr>
  </w:style>
  <w:style w:type="paragraph" w:customStyle="1" w:styleId="439">
    <w:name w:val="Pa22"/>
    <w:basedOn w:val="1"/>
    <w:next w:val="1"/>
    <w:qFormat/>
    <w:uiPriority w:val="0"/>
    <w:pPr>
      <w:autoSpaceDE w:val="0"/>
      <w:autoSpaceDN w:val="0"/>
      <w:adjustRightInd w:val="0"/>
      <w:spacing w:line="141" w:lineRule="atLeast"/>
      <w:jc w:val="left"/>
    </w:pPr>
    <w:rPr>
      <w:rFonts w:ascii="HYShuSongErJ" w:eastAsia="HYShuSongErJ"/>
      <w:kern w:val="0"/>
      <w:sz w:val="24"/>
    </w:rPr>
  </w:style>
  <w:style w:type="paragraph" w:customStyle="1" w:styleId="440">
    <w:name w:val="【正文】"/>
    <w:basedOn w:val="1"/>
    <w:qFormat/>
    <w:uiPriority w:val="0"/>
    <w:pPr>
      <w:spacing w:line="360" w:lineRule="auto"/>
      <w:ind w:firstLine="200" w:firstLineChars="200"/>
    </w:pPr>
    <w:rPr>
      <w:rFonts w:ascii="宋体" w:hAnsi="宋体"/>
      <w:sz w:val="24"/>
      <w:szCs w:val="20"/>
    </w:rPr>
  </w:style>
  <w:style w:type="paragraph" w:customStyle="1" w:styleId="441">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18"/>
      <w:szCs w:val="18"/>
    </w:rPr>
  </w:style>
  <w:style w:type="paragraph" w:customStyle="1" w:styleId="442">
    <w:name w:val="二级无标题条"/>
    <w:basedOn w:val="1"/>
    <w:qFormat/>
    <w:uiPriority w:val="0"/>
  </w:style>
  <w:style w:type="paragraph" w:customStyle="1" w:styleId="443">
    <w:name w:val="Char Char Char Char1"/>
    <w:basedOn w:val="1"/>
    <w:qFormat/>
    <w:uiPriority w:val="0"/>
  </w:style>
  <w:style w:type="paragraph" w:customStyle="1" w:styleId="444">
    <w:name w:val="表内样式"/>
    <w:basedOn w:val="1"/>
    <w:qFormat/>
    <w:uiPriority w:val="0"/>
    <w:pPr>
      <w:widowControl/>
      <w:jc w:val="center"/>
    </w:pPr>
    <w:rPr>
      <w:kern w:val="0"/>
      <w:szCs w:val="21"/>
    </w:rPr>
  </w:style>
  <w:style w:type="paragraph" w:customStyle="1" w:styleId="445">
    <w:name w:val="Char Char1 Char Char Char1"/>
    <w:basedOn w:val="1"/>
    <w:qFormat/>
    <w:uiPriority w:val="0"/>
    <w:rPr>
      <w:sz w:val="24"/>
    </w:rPr>
  </w:style>
  <w:style w:type="paragraph" w:customStyle="1" w:styleId="446">
    <w:name w:val="cardlist-value"/>
    <w:basedOn w:val="1"/>
    <w:qFormat/>
    <w:uiPriority w:val="0"/>
    <w:pPr>
      <w:widowControl/>
      <w:spacing w:before="100" w:beforeAutospacing="1" w:after="100" w:afterAutospacing="1"/>
      <w:jc w:val="left"/>
    </w:pPr>
    <w:rPr>
      <w:rFonts w:ascii="宋体" w:hAnsi="宋体" w:cs="宋体"/>
      <w:kern w:val="0"/>
      <w:sz w:val="24"/>
    </w:rPr>
  </w:style>
  <w:style w:type="paragraph" w:customStyle="1" w:styleId="447">
    <w:name w:val="填表内容"/>
    <w:basedOn w:val="1"/>
    <w:qFormat/>
    <w:uiPriority w:val="0"/>
    <w:pPr>
      <w:adjustRightInd w:val="0"/>
      <w:spacing w:line="480" w:lineRule="exact"/>
      <w:ind w:firstLine="560" w:firstLineChars="200"/>
      <w:jc w:val="left"/>
      <w:textAlignment w:val="baseline"/>
    </w:pPr>
    <w:rPr>
      <w:rFonts w:ascii="楷体_GB2312" w:eastAsia="楷体_GB2312"/>
      <w:sz w:val="28"/>
      <w:szCs w:val="20"/>
    </w:rPr>
  </w:style>
  <w:style w:type="paragraph" w:customStyle="1" w:styleId="448">
    <w:name w:val="环保表内字（小五）"/>
    <w:basedOn w:val="376"/>
    <w:qFormat/>
    <w:uiPriority w:val="0"/>
    <w:rPr>
      <w:sz w:val="18"/>
    </w:rPr>
  </w:style>
  <w:style w:type="paragraph" w:customStyle="1" w:styleId="449">
    <w:name w:val="Char Char Char2"/>
    <w:basedOn w:val="1"/>
    <w:qFormat/>
    <w:uiPriority w:val="0"/>
    <w:rPr>
      <w:sz w:val="24"/>
      <w:szCs w:val="20"/>
    </w:rPr>
  </w:style>
  <w:style w:type="paragraph" w:customStyle="1" w:styleId="450">
    <w:name w:val="p0"/>
    <w:basedOn w:val="1"/>
    <w:qFormat/>
    <w:uiPriority w:val="0"/>
    <w:pPr>
      <w:widowControl/>
    </w:pPr>
    <w:rPr>
      <w:kern w:val="0"/>
      <w:szCs w:val="21"/>
    </w:rPr>
  </w:style>
  <w:style w:type="paragraph" w:customStyle="1" w:styleId="451">
    <w:name w:val="WPSOffice手动目录 1"/>
    <w:qFormat/>
    <w:uiPriority w:val="0"/>
    <w:rPr>
      <w:rFonts w:ascii="Times New Roman" w:hAnsi="Times New Roman" w:eastAsia="宋体" w:cs="Times New Roman"/>
      <w:lang w:val="en-US" w:eastAsia="zh-CN" w:bidi="ar-SA"/>
    </w:rPr>
  </w:style>
  <w:style w:type="paragraph" w:customStyle="1" w:styleId="452">
    <w:name w:val="表格正文 Char"/>
    <w:basedOn w:val="1"/>
    <w:next w:val="1"/>
    <w:qFormat/>
    <w:uiPriority w:val="0"/>
    <w:pPr>
      <w:adjustRightInd w:val="0"/>
      <w:jc w:val="center"/>
      <w:textAlignment w:val="baseline"/>
    </w:pPr>
    <w:rPr>
      <w:rFonts w:ascii="宋体"/>
      <w:color w:val="000000"/>
      <w:spacing w:val="4"/>
      <w:w w:val="90"/>
      <w:kern w:val="0"/>
      <w:sz w:val="24"/>
      <w:szCs w:val="20"/>
    </w:rPr>
  </w:style>
  <w:style w:type="paragraph" w:customStyle="1" w:styleId="453">
    <w:name w:val="xl79"/>
    <w:basedOn w:val="1"/>
    <w:qFormat/>
    <w:uiPriority w:val="0"/>
    <w:pPr>
      <w:widowControl/>
      <w:pBdr>
        <w:left w:val="single" w:color="auto" w:sz="12" w:space="0"/>
        <w:bottom w:val="single" w:color="auto" w:sz="12" w:space="0"/>
        <w:right w:val="single" w:color="auto" w:sz="12" w:space="0"/>
      </w:pBdr>
      <w:spacing w:before="100" w:beforeAutospacing="1" w:after="100" w:afterAutospacing="1"/>
      <w:jc w:val="center"/>
      <w:textAlignment w:val="bottom"/>
    </w:pPr>
    <w:rPr>
      <w:kern w:val="0"/>
      <w:sz w:val="18"/>
      <w:szCs w:val="18"/>
    </w:rPr>
  </w:style>
  <w:style w:type="paragraph" w:customStyle="1" w:styleId="454">
    <w:name w:val="Char Char1 Char Char Char Char Char Char Char Char Char Char Char Char Char Char Char Char Char Char Char Char1 Char"/>
    <w:basedOn w:val="1"/>
    <w:qFormat/>
    <w:uiPriority w:val="0"/>
    <w:pPr>
      <w:spacing w:line="360" w:lineRule="auto"/>
      <w:ind w:firstLine="200" w:firstLineChars="200"/>
    </w:pPr>
    <w:rPr>
      <w:rFonts w:ascii="宋体" w:hAnsi="宋体" w:cs="宋体"/>
      <w:sz w:val="24"/>
    </w:rPr>
  </w:style>
  <w:style w:type="paragraph" w:customStyle="1" w:styleId="455">
    <w:name w:val="xl27"/>
    <w:basedOn w:val="1"/>
    <w:qFormat/>
    <w:uiPriority w:val="0"/>
    <w:pPr>
      <w:widowControl/>
      <w:pBdr>
        <w:top w:val="single" w:color="auto" w:sz="4" w:space="0"/>
        <w:left w:val="single" w:color="auto" w:sz="4" w:space="0"/>
        <w:bottom w:val="single" w:color="auto" w:sz="4" w:space="0"/>
        <w:right w:val="single" w:color="auto" w:sz="4" w:space="0"/>
      </w:pBdr>
      <w:shd w:val="clear" w:color="auto" w:fill="FFFF99"/>
      <w:spacing w:before="100" w:beforeAutospacing="1" w:after="100" w:afterAutospacing="1"/>
      <w:jc w:val="center"/>
    </w:pPr>
    <w:rPr>
      <w:rFonts w:ascii="宋体" w:hAnsi="宋体" w:cs="宋体"/>
      <w:kern w:val="0"/>
      <w:sz w:val="18"/>
      <w:szCs w:val="18"/>
    </w:rPr>
  </w:style>
  <w:style w:type="paragraph" w:customStyle="1" w:styleId="456">
    <w:name w:val="xl72"/>
    <w:basedOn w:val="1"/>
    <w:qFormat/>
    <w:uiPriority w:val="0"/>
    <w:pPr>
      <w:widowControl/>
      <w:pBdr>
        <w:top w:val="single" w:color="auto" w:sz="12" w:space="0"/>
        <w:left w:val="single" w:color="auto" w:sz="12" w:space="0"/>
        <w:right w:val="single" w:color="auto" w:sz="12" w:space="0"/>
      </w:pBdr>
      <w:spacing w:before="100" w:beforeAutospacing="1" w:after="100" w:afterAutospacing="1"/>
      <w:jc w:val="center"/>
    </w:pPr>
    <w:rPr>
      <w:rFonts w:ascii="宋体" w:hAnsi="宋体" w:cs="宋体"/>
      <w:kern w:val="0"/>
      <w:sz w:val="18"/>
      <w:szCs w:val="18"/>
    </w:rPr>
  </w:style>
  <w:style w:type="paragraph" w:customStyle="1" w:styleId="457">
    <w:name w:val="font5"/>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458">
    <w:name w:val="五级条标题"/>
    <w:basedOn w:val="305"/>
    <w:next w:val="1"/>
    <w:qFormat/>
    <w:uiPriority w:val="0"/>
    <w:pPr>
      <w:outlineLvl w:val="6"/>
    </w:pPr>
  </w:style>
  <w:style w:type="paragraph" w:customStyle="1" w:styleId="459">
    <w:name w:val="[正文格式]"/>
    <w:basedOn w:val="1"/>
    <w:qFormat/>
    <w:uiPriority w:val="0"/>
    <w:pPr>
      <w:spacing w:line="360" w:lineRule="auto"/>
      <w:ind w:firstLine="200" w:firstLineChars="200"/>
    </w:pPr>
    <w:rPr>
      <w:rFonts w:cs="宋体"/>
      <w:spacing w:val="7"/>
      <w:sz w:val="24"/>
      <w:szCs w:val="20"/>
    </w:rPr>
  </w:style>
  <w:style w:type="paragraph" w:customStyle="1" w:styleId="460">
    <w:name w:val="_Style 17"/>
    <w:basedOn w:val="1"/>
    <w:next w:val="22"/>
    <w:qFormat/>
    <w:uiPriority w:val="0"/>
    <w:rPr>
      <w:rFonts w:ascii="Courier New" w:hAnsi="Courier New"/>
      <w:sz w:val="15"/>
      <w:szCs w:val="20"/>
    </w:rPr>
  </w:style>
  <w:style w:type="paragraph" w:customStyle="1" w:styleId="461">
    <w:name w:val="样式 标题 2 + 左侧:  0 厘米 首行缩进:  0 厘米 段前: 0 磅"/>
    <w:basedOn w:val="5"/>
    <w:qFormat/>
    <w:uiPriority w:val="0"/>
    <w:pPr>
      <w:keepLines w:val="0"/>
      <w:numPr>
        <w:ilvl w:val="1"/>
        <w:numId w:val="5"/>
      </w:numPr>
      <w:tabs>
        <w:tab w:val="left" w:pos="825"/>
      </w:tabs>
      <w:adjustRightInd/>
      <w:textAlignment w:val="auto"/>
    </w:pPr>
    <w:rPr>
      <w:rFonts w:ascii="宋体" w:eastAsia="宋体"/>
      <w:kern w:val="2"/>
      <w:sz w:val="30"/>
    </w:rPr>
  </w:style>
  <w:style w:type="paragraph" w:customStyle="1" w:styleId="462">
    <w:name w:val="表格标题"/>
    <w:basedOn w:val="1"/>
    <w:qFormat/>
    <w:uiPriority w:val="0"/>
    <w:pPr>
      <w:adjustRightInd w:val="0"/>
      <w:snapToGrid w:val="0"/>
      <w:spacing w:line="360" w:lineRule="auto"/>
      <w:jc w:val="center"/>
      <w:textAlignment w:val="baseline"/>
    </w:pPr>
    <w:rPr>
      <w:rFonts w:ascii="宋体" w:hAnsi="宋体"/>
      <w:snapToGrid w:val="0"/>
      <w:spacing w:val="4"/>
      <w:kern w:val="0"/>
      <w:szCs w:val="20"/>
    </w:rPr>
  </w:style>
  <w:style w:type="paragraph" w:customStyle="1" w:styleId="463">
    <w:name w:val="Char Char11"/>
    <w:basedOn w:val="1"/>
    <w:qFormat/>
    <w:uiPriority w:val="0"/>
    <w:rPr>
      <w:sz w:val="24"/>
    </w:rPr>
  </w:style>
  <w:style w:type="paragraph" w:customStyle="1" w:styleId="464">
    <w:name w:val="表格内容"/>
    <w:basedOn w:val="1"/>
    <w:qFormat/>
    <w:uiPriority w:val="0"/>
    <w:pPr>
      <w:overflowPunct w:val="0"/>
      <w:adjustRightInd w:val="0"/>
      <w:spacing w:before="40" w:after="60" w:line="200" w:lineRule="atLeast"/>
      <w:textAlignment w:val="baseline"/>
    </w:pPr>
    <w:rPr>
      <w:rFonts w:ascii="Arial" w:hAnsi="Arial" w:eastAsia="仿宋_GB2312"/>
      <w:kern w:val="0"/>
      <w:sz w:val="24"/>
      <w:szCs w:val="20"/>
    </w:rPr>
  </w:style>
  <w:style w:type="table" w:customStyle="1" w:styleId="465">
    <w:name w:val="A表格样式"/>
    <w:basedOn w:val="45"/>
    <w:qFormat/>
    <w:uiPriority w:val="0"/>
    <w:pPr>
      <w:widowControl w:val="0"/>
      <w:jc w:val="center"/>
    </w:pPr>
    <w:tblPr>
      <w:tblBorders>
        <w:top w:val="single" w:color="000000" w:sz="12" w:space="0"/>
        <w:bottom w:val="single" w:color="000000" w:sz="12" w:space="0"/>
        <w:insideH w:val="single" w:color="auto" w:sz="4" w:space="0"/>
        <w:insideV w:val="single" w:color="auto" w:sz="4" w:space="0"/>
      </w:tblBorders>
      <w:tblCellMar>
        <w:left w:w="0" w:type="dxa"/>
        <w:right w:w="0" w:type="dxa"/>
      </w:tblCellMar>
    </w:tblPr>
    <w:tcPr>
      <w:vAlign w:val="center"/>
    </w:tcPr>
    <w:tblStylePr w:type="firstRow">
      <w:rPr>
        <w:b/>
      </w:rPr>
    </w:tblStylePr>
  </w:style>
  <w:style w:type="character" w:customStyle="1" w:styleId="466">
    <w:name w:val="正文文本 字符3"/>
    <w:qFormat/>
    <w:locked/>
    <w:uiPriority w:val="0"/>
    <w:rPr>
      <w:sz w:val="18"/>
    </w:rPr>
  </w:style>
  <w:style w:type="character" w:customStyle="1" w:styleId="467">
    <w:name w:val="批注文字 字符3"/>
    <w:qFormat/>
    <w:locked/>
    <w:uiPriority w:val="0"/>
    <w:rPr>
      <w:rFonts w:ascii="Times New Roman" w:hAnsi="Times New Roman" w:eastAsia="宋体"/>
      <w:sz w:val="24"/>
    </w:rPr>
  </w:style>
  <w:style w:type="paragraph" w:customStyle="1" w:styleId="468">
    <w:name w:val="11111"/>
    <w:basedOn w:val="1"/>
    <w:next w:val="1"/>
    <w:qFormat/>
    <w:uiPriority w:val="0"/>
    <w:pPr>
      <w:spacing w:line="360" w:lineRule="auto"/>
      <w:ind w:firstLine="200" w:firstLineChars="200"/>
    </w:pPr>
    <w:rPr>
      <w:rFonts w:ascii="宋体" w:hAnsi="宋体" w:cs="宋体"/>
      <w:sz w:val="24"/>
    </w:rPr>
  </w:style>
  <w:style w:type="character" w:customStyle="1" w:styleId="469">
    <w:name w:val="font51"/>
    <w:qFormat/>
    <w:uiPriority w:val="0"/>
    <w:rPr>
      <w:rFonts w:hint="eastAsia" w:ascii="宋体" w:hAnsi="宋体" w:eastAsia="宋体" w:cs="宋体"/>
      <w:color w:val="000000"/>
      <w:sz w:val="22"/>
      <w:szCs w:val="22"/>
      <w:u w:val="none"/>
    </w:rPr>
  </w:style>
  <w:style w:type="paragraph" w:customStyle="1" w:styleId="470">
    <w:name w:val="CXY 正文"/>
    <w:basedOn w:val="1"/>
    <w:link w:val="471"/>
    <w:qFormat/>
    <w:uiPriority w:val="0"/>
    <w:pPr>
      <w:spacing w:line="360" w:lineRule="auto"/>
      <w:ind w:firstLine="723" w:firstLineChars="200"/>
    </w:pPr>
    <w:rPr>
      <w:sz w:val="24"/>
    </w:rPr>
  </w:style>
  <w:style w:type="character" w:customStyle="1" w:styleId="471">
    <w:name w:val="CXY 正文 Char"/>
    <w:link w:val="470"/>
    <w:qFormat/>
    <w:uiPriority w:val="0"/>
    <w:rPr>
      <w:kern w:val="2"/>
      <w:sz w:val="24"/>
      <w:szCs w:val="24"/>
    </w:rPr>
  </w:style>
  <w:style w:type="paragraph" w:customStyle="1" w:styleId="472">
    <w:name w:val="a正文"/>
    <w:basedOn w:val="1"/>
    <w:link w:val="473"/>
    <w:autoRedefine/>
    <w:qFormat/>
    <w:uiPriority w:val="0"/>
    <w:pPr>
      <w:spacing w:line="360" w:lineRule="auto"/>
      <w:ind w:firstLine="480" w:firstLineChars="200"/>
      <w:jc w:val="left"/>
    </w:pPr>
    <w:rPr>
      <w:bCs/>
      <w:snapToGrid w:val="0"/>
      <w:color w:val="ED0000"/>
      <w:sz w:val="24"/>
    </w:rPr>
  </w:style>
  <w:style w:type="character" w:customStyle="1" w:styleId="473">
    <w:name w:val="a正文 字符"/>
    <w:link w:val="472"/>
    <w:autoRedefine/>
    <w:qFormat/>
    <w:uiPriority w:val="0"/>
    <w:rPr>
      <w:bCs/>
      <w:snapToGrid w:val="0"/>
      <w:color w:val="ED0000"/>
      <w:kern w:val="2"/>
      <w:sz w:val="24"/>
      <w:szCs w:val="24"/>
    </w:rPr>
  </w:style>
  <w:style w:type="character" w:customStyle="1" w:styleId="474">
    <w:name w:val="正文1 字符"/>
    <w:qFormat/>
    <w:uiPriority w:val="0"/>
    <w:rPr>
      <w:rFonts w:ascii="Times New Roman" w:hAnsi="Times New Roman" w:eastAsia="宋体"/>
      <w:sz w:val="24"/>
    </w:rPr>
  </w:style>
  <w:style w:type="paragraph" w:customStyle="1" w:styleId="475">
    <w:name w:val="修订2"/>
    <w:hidden/>
    <w:unhideWhenUsed/>
    <w:qFormat/>
    <w:uiPriority w:val="99"/>
    <w:rPr>
      <w:rFonts w:ascii="Times New Roman" w:hAnsi="Times New Roman" w:eastAsia="宋体" w:cs="Times New Roman"/>
      <w:kern w:val="2"/>
      <w:sz w:val="21"/>
      <w:szCs w:val="24"/>
      <w:lang w:val="en-US" w:eastAsia="zh-CN" w:bidi="ar-SA"/>
    </w:rPr>
  </w:style>
  <w:style w:type="character" w:customStyle="1" w:styleId="476">
    <w:name w:val="未处理的提及2"/>
    <w:basedOn w:val="47"/>
    <w:semiHidden/>
    <w:unhideWhenUsed/>
    <w:qFormat/>
    <w:uiPriority w:val="99"/>
    <w:rPr>
      <w:color w:val="605E5C"/>
      <w:shd w:val="clear" w:color="auto" w:fill="E1DFDD"/>
    </w:rPr>
  </w:style>
  <w:style w:type="paragraph" w:customStyle="1" w:styleId="477">
    <w:name w:val="02F表格内置文字"/>
    <w:basedOn w:val="1"/>
    <w:next w:val="1"/>
    <w:qFormat/>
    <w:uiPriority w:val="0"/>
    <w:pPr>
      <w:spacing w:line="360" w:lineRule="auto"/>
      <w:ind w:firstLine="420" w:firstLineChars="200"/>
      <w:jc w:val="center"/>
    </w:pPr>
    <w:rPr>
      <w:sz w:val="24"/>
    </w:rPr>
  </w:style>
  <w:style w:type="paragraph" w:customStyle="1" w:styleId="478">
    <w:name w:val="11表头"/>
    <w:basedOn w:val="1"/>
    <w:qFormat/>
    <w:uiPriority w:val="0"/>
    <w:pPr>
      <w:numPr>
        <w:ilvl w:val="0"/>
        <w:numId w:val="6"/>
      </w:numPr>
      <w:jc w:val="center"/>
    </w:pPr>
    <w:rPr>
      <w:b/>
    </w:rPr>
  </w:style>
  <w:style w:type="paragraph" w:customStyle="1" w:styleId="479">
    <w:name w:val="表题"/>
    <w:basedOn w:val="13"/>
    <w:qFormat/>
    <w:uiPriority w:val="0"/>
    <w:pPr>
      <w:tabs>
        <w:tab w:val="clear" w:pos="0"/>
        <w:tab w:val="clear" w:pos="2040"/>
      </w:tabs>
      <w:autoSpaceDE/>
      <w:autoSpaceDN/>
      <w:adjustRightInd w:val="0"/>
      <w:snapToGrid w:val="0"/>
      <w:spacing w:line="360" w:lineRule="auto"/>
      <w:ind w:left="0" w:firstLine="420" w:firstLineChars="200"/>
    </w:pPr>
    <w:rPr>
      <w:rFonts w:ascii="Times New Roman" w:hAnsi="Times New Roman" w:cs="Times New Roman"/>
      <w:b/>
      <w:kern w:val="2"/>
      <w:sz w:val="22"/>
      <w:szCs w:val="22"/>
      <w:lang w:eastAsia="zh-CN"/>
    </w:rPr>
  </w:style>
  <w:style w:type="paragraph" w:customStyle="1" w:styleId="480">
    <w:name w:val="样式 小四 行距: 1.5 倍行距"/>
    <w:basedOn w:val="1"/>
    <w:qFormat/>
    <w:uiPriority w:val="0"/>
    <w:pPr>
      <w:ind w:firstLine="480"/>
    </w:pPr>
    <w:rPr>
      <w:rFonts w:cs="宋体"/>
    </w:rPr>
  </w:style>
  <w:style w:type="paragraph" w:customStyle="1" w:styleId="481">
    <w:name w:val="样式35"/>
    <w:basedOn w:val="1"/>
    <w:next w:val="250"/>
    <w:qFormat/>
    <w:uiPriority w:val="0"/>
    <w:pPr>
      <w:spacing w:line="312" w:lineRule="auto"/>
      <w:ind w:firstLine="567"/>
      <w:jc w:val="center"/>
    </w:pPr>
    <w:rPr>
      <w:rFonts w:ascii="宋体"/>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oleObject" Target="embeddings/oleObject1.bin"/><Relationship Id="rId7" Type="http://schemas.openxmlformats.org/officeDocument/2006/relationships/theme" Target="theme/theme1.xml"/><Relationship Id="rId6" Type="http://schemas.openxmlformats.org/officeDocument/2006/relationships/footer" Target="footer4.xml"/><Relationship Id="rId54" Type="http://schemas.openxmlformats.org/officeDocument/2006/relationships/fontTable" Target="fontTable.xml"/><Relationship Id="rId53" Type="http://schemas.openxmlformats.org/officeDocument/2006/relationships/customXml" Target="../customXml/item2.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image" Target="file:///F:\WeChat%252525252525252525252525252525252525252525252520Files\wxid_nbwbuif8srf622\FileStorage\franc\AppData\Roaming\Tencent\Users\1253415717\QQ\WinTemp\RichOle\Z95J%252525252525252525252525252525252525252525252560WJ%252525252525252525252525252525252525252525252560AG%25252525252525252525252525252525252525252525255bA26V1()L2S%25252525252525252525252525252525252525252525257dO.png" TargetMode="External"/><Relationship Id="rId5" Type="http://schemas.openxmlformats.org/officeDocument/2006/relationships/footer" Target="footer3.xml"/><Relationship Id="rId49" Type="http://schemas.openxmlformats.org/officeDocument/2006/relationships/image" Target="media/image30.png"/><Relationship Id="rId48" Type="http://schemas.openxmlformats.org/officeDocument/2006/relationships/image" Target="file:///F:\WeChat%252525252525252525252525252525252525252525252520Files\wxid_nbwbuif8srf622\FileStorage\franc\AppData\Roaming\Tencent\Users\1253415717\QQ\WinTemp\RichOle\Z5V94Z%2525252525252525252525252525252525252525252525605MXI7P6P%252525252525252525252525252525252525252525252560TFA1%2525252525252525252525252525252525252525252525601U.png" TargetMode="External"/><Relationship Id="rId47" Type="http://schemas.openxmlformats.org/officeDocument/2006/relationships/image" Target="media/image29.png"/><Relationship Id="rId46" Type="http://schemas.openxmlformats.org/officeDocument/2006/relationships/image" Target="file:///F:\WeChat%252525252525252525252525252525252525252525252520Files\wxid_nbwbuif8srf622\FileStorage\franc\AppData\Roaming\Tencent\Users\1253415717\QQ\WinTemp\RichOle\T%25252525252525252525252525252525252525252525255bTR0FCCK191U9Y8VTSAGD2.png" TargetMode="External"/><Relationship Id="rId45" Type="http://schemas.openxmlformats.org/officeDocument/2006/relationships/image" Target="media/image28.png"/><Relationship Id="rId44" Type="http://schemas.openxmlformats.org/officeDocument/2006/relationships/image" Target="file:///F:\WeChat%252525252525252525252525252525252525252525252520Files\wxid_nbwbuif8srf622\FileStorage\franc\AppData\Roaming\Tencent\Users\1253415717\QQ\WinTemp\RichOle\108H9(5P01KQXA%25252525252525252525252525252525252525252525255bO9HSLM%25252525252525252525252525252525252525252525255dN.png" TargetMode="External"/><Relationship Id="rId43" Type="http://schemas.openxmlformats.org/officeDocument/2006/relationships/image" Target="media/image27.png"/><Relationship Id="rId42" Type="http://schemas.openxmlformats.org/officeDocument/2006/relationships/image" Target="media/image26.jpeg"/><Relationship Id="rId41" Type="http://schemas.openxmlformats.org/officeDocument/2006/relationships/image" Target="media/image25.png"/><Relationship Id="rId40" Type="http://schemas.openxmlformats.org/officeDocument/2006/relationships/image" Target="media/image24.jpeg"/><Relationship Id="rId4" Type="http://schemas.openxmlformats.org/officeDocument/2006/relationships/footer" Target="footer2.xml"/><Relationship Id="rId39" Type="http://schemas.openxmlformats.org/officeDocument/2006/relationships/image" Target="media/image23.jpeg"/><Relationship Id="rId38" Type="http://schemas.openxmlformats.org/officeDocument/2006/relationships/image" Target="media/image22.jpeg"/><Relationship Id="rId37" Type="http://schemas.openxmlformats.org/officeDocument/2006/relationships/image" Target="media/image21.jpe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jpeg"/><Relationship Id="rId33" Type="http://schemas.openxmlformats.org/officeDocument/2006/relationships/image" Target="media/image17.jpeg"/><Relationship Id="rId32" Type="http://schemas.openxmlformats.org/officeDocument/2006/relationships/image" Target="file:///F:\WeChat%252525252525252525252525252525252525252525252520Files\wxid_nbwbuif8srf622\FileStorage\KQHB\AppData\Local\Temp\ksohtml31476\wps6.png" TargetMode="External"/><Relationship Id="rId31" Type="http://schemas.openxmlformats.org/officeDocument/2006/relationships/image" Target="media/image16.png"/><Relationship Id="rId30" Type="http://schemas.openxmlformats.org/officeDocument/2006/relationships/image" Target="file:///F:\WeChat%252525252525252525252525252525252525252525252520Files\wxid_nbwbuif8srf622\FileStorage\KQHB\AppData\Local\Temp\ksohtml31476\wps5.png" TargetMode="External"/><Relationship Id="rId3" Type="http://schemas.openxmlformats.org/officeDocument/2006/relationships/footer" Target="footer1.xml"/><Relationship Id="rId29" Type="http://schemas.openxmlformats.org/officeDocument/2006/relationships/image" Target="media/image15.png"/><Relationship Id="rId28" Type="http://schemas.openxmlformats.org/officeDocument/2006/relationships/image" Target="file:///F:\WeChat%252525252525252525252525252525252525252525252520Files\wxid_nbwbuif8srf622\FileStorage\KQHB\AppData\Local\Temp\ksohtml31476\wps4.png" TargetMode="External"/><Relationship Id="rId27" Type="http://schemas.openxmlformats.org/officeDocument/2006/relationships/image" Target="media/image14.png"/><Relationship Id="rId26" Type="http://schemas.openxmlformats.org/officeDocument/2006/relationships/image" Target="file:///F:\WeChat%252525252525252525252525252525252525252525252520Files\wxid_nbwbuif8srf622\FileStorage\KQHB\AppData\Local\Temp\ksohtml31476\wps3.png" TargetMode="External"/><Relationship Id="rId25" Type="http://schemas.openxmlformats.org/officeDocument/2006/relationships/image" Target="media/image13.png"/><Relationship Id="rId24" Type="http://schemas.openxmlformats.org/officeDocument/2006/relationships/image" Target="file:///F:\WeChat%252525252525252525252525252525252525252525252520Files\wxid_nbwbuif8srf622\FileStorage\KQHB\AppData\Local\Temp\ksohtml31476\wps2.jpg" TargetMode="External"/><Relationship Id="rId23" Type="http://schemas.openxmlformats.org/officeDocument/2006/relationships/image" Target="media/image12.jpeg"/><Relationship Id="rId22" Type="http://schemas.openxmlformats.org/officeDocument/2006/relationships/image" Target="file:///F:\WeChat%252525252525252525252525252525252525252525252520Files\wxid_nbwbuif8srf622\FileStorage\KQHB\AppData\Local\Temp\ksohtml31476\wps1.jpg" TargetMode="External"/><Relationship Id="rId21" Type="http://schemas.openxmlformats.org/officeDocument/2006/relationships/image" Target="media/image11.jpeg"/><Relationship Id="rId20" Type="http://schemas.openxmlformats.org/officeDocument/2006/relationships/image" Target="media/image10.wmf"/><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oleObject" Target="embeddings/oleObject2.bin"/><Relationship Id="rId14" Type="http://schemas.openxmlformats.org/officeDocument/2006/relationships/image" Target="media/image6.png"/><Relationship Id="rId13" Type="http://schemas.openxmlformats.org/officeDocument/2006/relationships/image" Target="media/image5.jpeg"/><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soa\wdzx97.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65BC752-5BFE-48C3-8CCF-2EC78F20F477}">
  <ds:schemaRefs/>
</ds:datastoreItem>
</file>

<file path=docProps/app.xml><?xml version="1.0" encoding="utf-8"?>
<Properties xmlns="http://schemas.openxmlformats.org/officeDocument/2006/extended-properties" xmlns:vt="http://schemas.openxmlformats.org/officeDocument/2006/docPropsVTypes">
  <Template>wdzx97.dot</Template>
  <Company>微软中国</Company>
  <Pages>50</Pages>
  <Words>18619</Words>
  <Characters>19569</Characters>
  <Lines>472</Lines>
  <Paragraphs>133</Paragraphs>
  <TotalTime>154</TotalTime>
  <ScaleCrop>false</ScaleCrop>
  <LinksUpToDate>false</LinksUpToDate>
  <CharactersWithSpaces>19719</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2025-10-14T06:19:00Z</dcterms:created>
  <dc:creator>lhj</dc:creator>
  <cp:lastModifiedBy>李志福</cp:lastModifiedBy>
  <cp:lastPrinted>2026-04-08T04:19:00Z</cp:lastPrinted>
  <dcterms:modified xsi:type="dcterms:W3CDTF">2026-05-09T02:03:20Z</dcterms:modified>
  <dc:title>附件2</dc:title>
  <cp:revision>104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1A944E017B944CCCA8D21115FCFB1897_13</vt:lpwstr>
  </property>
  <property fmtid="{D5CDD505-2E9C-101B-9397-08002B2CF9AE}" pid="4" name="KSOTemplateDocerSaveRecord">
    <vt:lpwstr>eyJoZGlkIjoiOTNmZTY3YzZhNjU3NTczZDkzZGNiYjJmZDhjZTczOTMiLCJ1c2VySWQiOiIzMDgxNDkxOTEifQ==</vt:lpwstr>
  </property>
</Properties>
</file>