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FF28B0">
      <w:pPr>
        <w:widowControl/>
        <w:jc w:val="left"/>
        <w:rPr>
          <w:rFonts w:hint="eastAsia" w:ascii="新宋体" w:hAnsi="新宋体" w:eastAsia="新宋体" w:cs="Times New Roman"/>
          <w:b/>
          <w:bCs/>
          <w:sz w:val="36"/>
          <w:szCs w:val="36"/>
        </w:rPr>
      </w:pPr>
      <w:bookmarkStart w:id="0" w:name="OLE_LINK6"/>
    </w:p>
    <w:p w14:paraId="6CCE10BA">
      <w:pPr>
        <w:pStyle w:val="2"/>
        <w:ind w:left="1470" w:right="1470"/>
      </w:pPr>
    </w:p>
    <w:p w14:paraId="09A111B7">
      <w:pPr>
        <w:pStyle w:val="2"/>
        <w:ind w:left="1470" w:right="1470"/>
      </w:pPr>
    </w:p>
    <w:p w14:paraId="158D42BD">
      <w:pPr>
        <w:pStyle w:val="2"/>
        <w:ind w:left="1470" w:right="1470"/>
      </w:pPr>
    </w:p>
    <w:p w14:paraId="05AAEE6F">
      <w:pPr>
        <w:pStyle w:val="2"/>
        <w:ind w:left="1470" w:right="1470"/>
      </w:pPr>
    </w:p>
    <w:p w14:paraId="067907DB">
      <w:pPr>
        <w:pStyle w:val="2"/>
        <w:ind w:left="1470" w:right="1470"/>
      </w:pPr>
    </w:p>
    <w:p w14:paraId="640880A1">
      <w:pPr>
        <w:pStyle w:val="2"/>
        <w:ind w:left="1470" w:right="1470"/>
      </w:pPr>
    </w:p>
    <w:p w14:paraId="49F28A98">
      <w:pPr>
        <w:pStyle w:val="2"/>
        <w:ind w:left="1470" w:right="1470"/>
      </w:pPr>
    </w:p>
    <w:p w14:paraId="58D789DC">
      <w:pPr>
        <w:pStyle w:val="2"/>
        <w:ind w:left="1470" w:right="1470"/>
      </w:pPr>
    </w:p>
    <w:p w14:paraId="5A3BEFFD">
      <w:pPr>
        <w:snapToGrid w:val="0"/>
        <w:spacing w:line="720" w:lineRule="exact"/>
        <w:ind w:left="-210" w:leftChars="-100"/>
        <w:jc w:val="center"/>
        <w:rPr>
          <w:rFonts w:hint="eastAsia" w:ascii="宋体" w:hAnsi="宋体" w:eastAsia="宋体" w:cs="Times New Roman"/>
          <w:b/>
          <w:bCs/>
          <w:sz w:val="44"/>
          <w:szCs w:val="44"/>
        </w:rPr>
      </w:pPr>
      <w:r>
        <w:rPr>
          <w:rFonts w:hint="eastAsia" w:ascii="宋体" w:hAnsi="宋体" w:eastAsia="宋体" w:cs="Times New Roman"/>
          <w:b/>
          <w:bCs/>
          <w:sz w:val="44"/>
          <w:szCs w:val="44"/>
        </w:rPr>
        <w:t>《江西承诚实业有限公司年产100万吨水稳拌合料二期项目环境影响报告表》</w:t>
      </w:r>
    </w:p>
    <w:p w14:paraId="4872A596">
      <w:pPr>
        <w:jc w:val="center"/>
        <w:rPr>
          <w:rFonts w:hint="eastAsia" w:ascii="宋体" w:hAnsi="宋体"/>
          <w:b/>
          <w:sz w:val="32"/>
          <w:szCs w:val="32"/>
        </w:rPr>
      </w:pPr>
    </w:p>
    <w:p w14:paraId="71473BD0">
      <w:pPr>
        <w:jc w:val="center"/>
        <w:rPr>
          <w:rFonts w:hint="eastAsia" w:ascii="宋体" w:hAnsi="宋体"/>
          <w:b/>
          <w:sz w:val="32"/>
          <w:szCs w:val="32"/>
        </w:rPr>
      </w:pPr>
    </w:p>
    <w:p w14:paraId="54CE8FF9">
      <w:pPr>
        <w:jc w:val="center"/>
        <w:rPr>
          <w:rFonts w:hint="eastAsia" w:ascii="宋体" w:hAnsi="宋体"/>
          <w:b/>
          <w:sz w:val="32"/>
          <w:szCs w:val="32"/>
        </w:rPr>
      </w:pPr>
    </w:p>
    <w:p w14:paraId="13763593">
      <w:pPr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t>（修改清单）</w:t>
      </w:r>
    </w:p>
    <w:p w14:paraId="38F21461">
      <w:pPr>
        <w:jc w:val="center"/>
        <w:rPr>
          <w:rFonts w:ascii="Times New Roman" w:hAnsi="Times New Roman"/>
          <w:sz w:val="24"/>
          <w:szCs w:val="22"/>
        </w:rPr>
      </w:pPr>
    </w:p>
    <w:p w14:paraId="3A04AE1F">
      <w:pPr>
        <w:jc w:val="center"/>
        <w:rPr>
          <w:rFonts w:ascii="Times New Roman" w:hAnsi="Times New Roman"/>
          <w:sz w:val="24"/>
          <w:szCs w:val="22"/>
        </w:rPr>
      </w:pPr>
    </w:p>
    <w:p w14:paraId="6098AFC7">
      <w:pPr>
        <w:jc w:val="center"/>
        <w:rPr>
          <w:rFonts w:ascii="Times New Roman" w:hAnsi="Times New Roman"/>
          <w:sz w:val="24"/>
          <w:szCs w:val="22"/>
        </w:rPr>
      </w:pPr>
    </w:p>
    <w:p w14:paraId="5C9C614C">
      <w:pPr>
        <w:jc w:val="center"/>
        <w:rPr>
          <w:rFonts w:ascii="Times New Roman" w:hAnsi="Times New Roman"/>
          <w:sz w:val="24"/>
          <w:szCs w:val="22"/>
        </w:rPr>
      </w:pPr>
    </w:p>
    <w:p w14:paraId="764D920C">
      <w:pPr>
        <w:rPr>
          <w:rFonts w:ascii="Times New Roman" w:hAnsi="Times New Roman"/>
          <w:sz w:val="24"/>
          <w:szCs w:val="22"/>
        </w:rPr>
      </w:pPr>
    </w:p>
    <w:p w14:paraId="18E8D6B7">
      <w:pPr>
        <w:rPr>
          <w:rFonts w:ascii="Times New Roman" w:hAnsi="Times New Roman"/>
          <w:sz w:val="24"/>
          <w:szCs w:val="22"/>
        </w:rPr>
      </w:pPr>
    </w:p>
    <w:p w14:paraId="3781E3CD">
      <w:pPr>
        <w:rPr>
          <w:rFonts w:ascii="Times New Roman" w:hAnsi="Times New Roman"/>
          <w:sz w:val="24"/>
          <w:szCs w:val="22"/>
        </w:rPr>
      </w:pPr>
    </w:p>
    <w:p w14:paraId="0D0D0797">
      <w:pPr>
        <w:rPr>
          <w:rFonts w:ascii="Times New Roman" w:hAnsi="Times New Roman"/>
          <w:sz w:val="24"/>
          <w:szCs w:val="22"/>
        </w:rPr>
      </w:pPr>
    </w:p>
    <w:p w14:paraId="47E8F6B5">
      <w:pPr>
        <w:rPr>
          <w:rFonts w:ascii="Times New Roman" w:hAnsi="Times New Roman"/>
          <w:sz w:val="24"/>
          <w:szCs w:val="22"/>
        </w:rPr>
      </w:pPr>
    </w:p>
    <w:p w14:paraId="4F4D6933">
      <w:pPr>
        <w:rPr>
          <w:rFonts w:ascii="Times New Roman" w:hAnsi="Times New Roman"/>
          <w:sz w:val="24"/>
          <w:szCs w:val="22"/>
        </w:rPr>
      </w:pPr>
    </w:p>
    <w:p w14:paraId="67C9B57F">
      <w:pPr>
        <w:rPr>
          <w:rFonts w:ascii="Times New Roman" w:hAnsi="Times New Roman"/>
          <w:sz w:val="24"/>
          <w:szCs w:val="22"/>
        </w:rPr>
      </w:pPr>
    </w:p>
    <w:p w14:paraId="7B868336">
      <w:pPr>
        <w:pStyle w:val="2"/>
        <w:ind w:left="1470" w:right="1470"/>
      </w:pPr>
    </w:p>
    <w:p w14:paraId="1B2644F4">
      <w:pPr>
        <w:pStyle w:val="2"/>
        <w:ind w:left="1470" w:right="1470"/>
      </w:pPr>
    </w:p>
    <w:p w14:paraId="1AC417C3">
      <w:pPr>
        <w:pStyle w:val="2"/>
        <w:ind w:left="1470" w:right="1470"/>
      </w:pPr>
    </w:p>
    <w:p w14:paraId="246F3E8C">
      <w:pPr>
        <w:pStyle w:val="2"/>
        <w:ind w:left="1470" w:right="1470"/>
      </w:pPr>
    </w:p>
    <w:p w14:paraId="3739A8E2">
      <w:pPr>
        <w:jc w:val="center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202</w:t>
      </w:r>
      <w:r>
        <w:rPr>
          <w:rFonts w:hint="eastAsia" w:ascii="Times New Roman" w:hAnsi="Times New Roman"/>
          <w:sz w:val="30"/>
          <w:szCs w:val="30"/>
          <w:lang w:val="en-US" w:eastAsia="zh-CN"/>
        </w:rPr>
        <w:t>6</w:t>
      </w:r>
      <w:r>
        <w:rPr>
          <w:rFonts w:ascii="Times New Roman" w:hAnsi="Times New Roman"/>
          <w:sz w:val="30"/>
          <w:szCs w:val="30"/>
        </w:rPr>
        <w:t>年</w:t>
      </w:r>
      <w:r>
        <w:rPr>
          <w:rFonts w:hint="eastAsia" w:ascii="Times New Roman" w:hAnsi="Times New Roman"/>
          <w:sz w:val="30"/>
          <w:szCs w:val="30"/>
          <w:lang w:val="en-US" w:eastAsia="zh-CN"/>
        </w:rPr>
        <w:t>3</w:t>
      </w:r>
      <w:r>
        <w:rPr>
          <w:rFonts w:ascii="Times New Roman" w:hAnsi="Times New Roman"/>
          <w:sz w:val="30"/>
          <w:szCs w:val="30"/>
        </w:rPr>
        <w:t>月</w:t>
      </w:r>
    </w:p>
    <w:p w14:paraId="2C13FB17">
      <w:pPr>
        <w:pStyle w:val="2"/>
        <w:ind w:left="1470" w:right="1470"/>
      </w:pPr>
      <w:r>
        <w:br w:type="page"/>
      </w:r>
    </w:p>
    <w:p w14:paraId="1DB6C425">
      <w:pPr>
        <w:jc w:val="center"/>
        <w:rPr>
          <w:rFonts w:hint="eastAsia" w:ascii="新宋体" w:hAnsi="新宋体" w:eastAsia="新宋体" w:cs="Times New Roman"/>
          <w:b/>
          <w:bCs/>
          <w:sz w:val="36"/>
          <w:szCs w:val="36"/>
        </w:rPr>
      </w:pPr>
      <w:r>
        <w:br w:type="page"/>
      </w:r>
      <w:r>
        <w:rPr>
          <w:rFonts w:hint="eastAsia" w:ascii="新宋体" w:hAnsi="新宋体" w:eastAsia="新宋体" w:cs="Times New Roman"/>
          <w:b/>
          <w:bCs/>
          <w:sz w:val="36"/>
          <w:szCs w:val="36"/>
        </w:rPr>
        <w:t>专家意见修改清单</w:t>
      </w:r>
    </w:p>
    <w:tbl>
      <w:tblPr>
        <w:tblStyle w:val="1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3906"/>
        <w:gridCol w:w="5142"/>
      </w:tblGrid>
      <w:tr w14:paraId="25756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409" w:type="pc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8F9217">
            <w:pPr>
              <w:rPr>
                <w:rFonts w:ascii="Times New Roman" w:hAnsi="Times New Roman" w:eastAsia="新宋体" w:cs="Times New Roman"/>
                <w:bCs/>
                <w:sz w:val="24"/>
              </w:rPr>
            </w:pPr>
            <w:bookmarkStart w:id="1" w:name="OLE_LINK8"/>
            <w:r>
              <w:rPr>
                <w:rFonts w:ascii="Times New Roman" w:hAnsi="Times New Roman" w:eastAsia="新宋体" w:cs="Times New Roman"/>
                <w:bCs/>
                <w:sz w:val="24"/>
              </w:rPr>
              <w:t>序号</w:t>
            </w:r>
          </w:p>
        </w:tc>
        <w:tc>
          <w:tcPr>
            <w:tcW w:w="1982" w:type="pc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E43D3F">
            <w:pPr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</w:rPr>
              <w:t>审 查 意 见</w:t>
            </w:r>
          </w:p>
        </w:tc>
        <w:tc>
          <w:tcPr>
            <w:tcW w:w="2607" w:type="pc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40E58E7">
            <w:pPr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</w:rPr>
              <w:t>修 改 说 明</w:t>
            </w:r>
          </w:p>
        </w:tc>
      </w:tr>
      <w:tr w14:paraId="2274A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5000" w:type="pct"/>
            <w:gridSpan w:val="3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EBA70F">
            <w:pPr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</w:rPr>
              <w:t>评审专家意见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</w:rPr>
              <w:t>1</w:t>
            </w:r>
          </w:p>
        </w:tc>
      </w:tr>
      <w:tr w14:paraId="43EA3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409" w:type="pct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37172">
            <w:pPr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</w:rPr>
              <w:t>1</w:t>
            </w:r>
          </w:p>
        </w:tc>
        <w:tc>
          <w:tcPr>
            <w:tcW w:w="1982" w:type="pct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41FB2">
            <w:pPr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hint="eastAsia" w:ascii="Times New Roman" w:hAnsi="Times New Roman" w:eastAsia="新宋体" w:cs="Times New Roman"/>
                <w:bCs/>
                <w:sz w:val="24"/>
              </w:rPr>
              <w:t>补充本项目与《江西省预拌混凝土行业规范条件》（环境管理部分）的相符性分析。</w:t>
            </w:r>
          </w:p>
        </w:tc>
        <w:tc>
          <w:tcPr>
            <w:tcW w:w="2607" w:type="pct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0BE1D">
            <w:pPr>
              <w:contextualSpacing/>
              <w:rPr>
                <w:rFonts w:ascii="Times New Roman" w:hAnsi="Times New Roman" w:eastAsia="新宋体" w:cs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新宋体" w:cs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eastAsia" w:ascii="Times New Roman" w:hAnsi="Times New Roman" w:eastAsia="新宋体" w:cs="Times New Roman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已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</w:rPr>
              <w:t>补充本项目与《江西省预拌混凝土行业规范条件》（环境管理部分）的相符性分析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  <w:lang w:eastAsia="zh-CN"/>
              </w:rPr>
              <w:t>。</w:t>
            </w:r>
            <w:r>
              <w:rPr>
                <w:rFonts w:hint="eastAsia" w:ascii="Times New Roman" w:hAnsi="Times New Roman" w:eastAsia="新宋体" w:cs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见P1</w:t>
            </w:r>
            <w:r>
              <w:rPr>
                <w:rFonts w:hint="eastAsia" w:ascii="Times New Roman" w:hAnsi="Times New Roman" w:eastAsia="新宋体" w:cs="Times New Roman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5-16</w:t>
            </w:r>
            <w:r>
              <w:rPr>
                <w:rFonts w:hint="eastAsia" w:ascii="Times New Roman" w:hAnsi="Times New Roman" w:eastAsia="新宋体" w:cs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610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4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720C8">
            <w:pPr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</w:rPr>
              <w:t>2</w:t>
            </w:r>
          </w:p>
        </w:tc>
        <w:tc>
          <w:tcPr>
            <w:tcW w:w="19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01544D">
            <w:pPr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hint="eastAsia" w:ascii="Times New Roman" w:hAnsi="Times New Roman" w:eastAsia="新宋体" w:cs="Times New Roman"/>
                <w:bCs/>
                <w:sz w:val="24"/>
              </w:rPr>
              <w:t>完善项目主要建设内容，补充完善现有工程的主体工程、辅助工程、储运工程、环保工程等，明确依托关系（车辆冲洗平台、厂区沉淀池等）。</w:t>
            </w:r>
          </w:p>
        </w:tc>
        <w:tc>
          <w:tcPr>
            <w:tcW w:w="2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DED84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新宋体" w:cs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eastAsia" w:ascii="Times New Roman" w:hAnsi="Times New Roman" w:eastAsia="新宋体" w:cs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已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</w:rPr>
              <w:t>完善项目主要建设内容，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  <w:lang w:val="en-US" w:eastAsia="zh-CN"/>
              </w:rPr>
              <w:t>已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</w:rPr>
              <w:t>补充完善现有工程的主体工程、辅助工程、储运工程、环保工程等，明确依托关系（车辆冲洗平台、厂区沉淀池等）</w:t>
            </w:r>
            <w:r>
              <w:rPr>
                <w:rFonts w:hint="eastAsia" w:ascii="Times New Roman" w:hAnsi="Times New Roman" w:eastAsia="新宋体" w:cs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。见P</w:t>
            </w:r>
            <w:r>
              <w:rPr>
                <w:rFonts w:hint="eastAsia" w:ascii="Times New Roman" w:hAnsi="Times New Roman" w:eastAsia="新宋体" w:cs="Times New Roman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19-20</w:t>
            </w:r>
            <w:r>
              <w:rPr>
                <w:rFonts w:hint="eastAsia" w:ascii="Times New Roman" w:hAnsi="Times New Roman" w:eastAsia="新宋体" w:cs="Times New Roman"/>
                <w:bCs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Times New Roman" w:hAnsi="Times New Roman" w:eastAsia="新宋体" w:cs="Times New Roman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表2-1</w:t>
            </w:r>
            <w:r>
              <w:rPr>
                <w:rFonts w:hint="eastAsia" w:ascii="Times New Roman" w:hAnsi="Times New Roman" w:eastAsia="新宋体" w:cs="Times New Roman"/>
                <w:bCs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Times New Roman" w:hAnsi="Times New Roman" w:eastAsia="新宋体" w:cs="Times New Roman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P34</w:t>
            </w:r>
            <w:r>
              <w:rPr>
                <w:rFonts w:hint="eastAsia" w:ascii="Times New Roman" w:hAnsi="Times New Roman" w:eastAsia="新宋体" w:cs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、表2-</w:t>
            </w:r>
            <w:r>
              <w:rPr>
                <w:rFonts w:hint="eastAsia" w:ascii="Times New Roman" w:hAnsi="Times New Roman" w:eastAsia="新宋体" w:cs="Times New Roman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Times New Roman" w:hAnsi="Times New Roman" w:eastAsia="新宋体" w:cs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3318B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4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550DB">
            <w:pPr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</w:rPr>
              <w:t>3</w:t>
            </w:r>
          </w:p>
        </w:tc>
        <w:tc>
          <w:tcPr>
            <w:tcW w:w="19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BC897">
            <w:pPr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hint="eastAsia" w:ascii="Times New Roman" w:hAnsi="Times New Roman" w:eastAsia="新宋体" w:cs="Times New Roman"/>
                <w:bCs/>
                <w:sz w:val="24"/>
              </w:rPr>
              <w:t>完善主要生产设备的产能匹配性分析（脱水筛、水稳搅拌站等）。核实产品方案（表2-5中单位为t/a？）。</w:t>
            </w:r>
          </w:p>
        </w:tc>
        <w:tc>
          <w:tcPr>
            <w:tcW w:w="2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8E03E">
            <w:pPr>
              <w:rPr>
                <w:rFonts w:hint="default" w:ascii="Times New Roman" w:hAnsi="Times New Roman" w:eastAsia="新宋体" w:cs="Times New Roman"/>
                <w:bCs/>
                <w:sz w:val="24"/>
                <w:lang w:val="en-US" w:eastAsia="zh-CN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</w:rPr>
              <w:t>1、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</w:rPr>
              <w:t>已完善主要生产设备的产能匹配性分析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  <w:lang w:eastAsia="zh-CN"/>
              </w:rPr>
              <w:t>，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  <w:lang w:val="en-US" w:eastAsia="zh-CN"/>
              </w:rPr>
              <w:t>已补充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</w:rPr>
              <w:t>脱水筛、水稳搅拌站等。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  <w:lang w:val="en-US" w:eastAsia="zh-CN"/>
              </w:rPr>
              <w:t>见P21。</w:t>
            </w:r>
          </w:p>
          <w:p w14:paraId="0FA7CAB8">
            <w:pPr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hint="eastAsia" w:ascii="Times New Roman" w:hAnsi="Times New Roman" w:eastAsia="新宋体" w:cs="Times New Roman"/>
                <w:bCs/>
                <w:sz w:val="24"/>
                <w:lang w:val="en-US" w:eastAsia="zh-CN"/>
              </w:rPr>
              <w:t>2、已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</w:rPr>
              <w:t>核实产品方案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  <w:lang w:eastAsia="zh-CN"/>
              </w:rPr>
              <w:t>，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</w:rPr>
              <w:t>表2-5中单位为t/a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  <w:lang w:eastAsia="zh-CN"/>
              </w:rPr>
              <w:t>。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</w:rPr>
              <w:t>见P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  <w:lang w:val="en-US" w:eastAsia="zh-CN"/>
              </w:rPr>
              <w:t>22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</w:rPr>
              <w:t>。</w:t>
            </w:r>
          </w:p>
        </w:tc>
      </w:tr>
      <w:tr w14:paraId="2A41E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4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267EA">
            <w:pPr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</w:rPr>
              <w:t>4</w:t>
            </w:r>
          </w:p>
        </w:tc>
        <w:tc>
          <w:tcPr>
            <w:tcW w:w="19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959F8">
            <w:pPr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hint="eastAsia" w:ascii="Times New Roman" w:hAnsi="Times New Roman" w:eastAsia="新宋体" w:cs="Times New Roman"/>
                <w:bCs/>
                <w:sz w:val="24"/>
              </w:rPr>
              <w:t>核实水平衡，表2-8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</w:rPr>
              <w:t>本项目水平衡表（单位：m3/d）中排水1.96（1.76）？</w:t>
            </w:r>
          </w:p>
        </w:tc>
        <w:tc>
          <w:tcPr>
            <w:tcW w:w="2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D5063">
            <w:pPr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hint="eastAsia" w:ascii="Times New Roman" w:hAnsi="Times New Roman" w:eastAsia="新宋体" w:cs="Times New Roman"/>
                <w:bCs/>
                <w:sz w:val="24"/>
              </w:rPr>
              <w:t>1、已核实水平衡，表2-8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</w:rPr>
              <w:t>本项目水平衡表（单位：m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  <w:vertAlign w:val="superscript"/>
              </w:rPr>
              <w:t>3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</w:rPr>
              <w:t>/d）中排水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  <w:lang w:val="en-US" w:eastAsia="zh-CN"/>
              </w:rPr>
              <w:t>为1.92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</w:rPr>
              <w:t>m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  <w:vertAlign w:val="superscript"/>
              </w:rPr>
              <w:t>3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</w:rPr>
              <w:t>/d。见P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  <w:lang w:val="en-US" w:eastAsia="zh-CN"/>
              </w:rPr>
              <w:t>32和图2-5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</w:rPr>
              <w:t>。</w:t>
            </w:r>
          </w:p>
        </w:tc>
      </w:tr>
      <w:tr w14:paraId="56005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4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DABFE">
            <w:pPr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hint="eastAsia" w:ascii="Times New Roman" w:hAnsi="Times New Roman" w:eastAsia="新宋体" w:cs="Times New Roman"/>
                <w:bCs/>
                <w:sz w:val="24"/>
              </w:rPr>
              <w:t>5</w:t>
            </w:r>
          </w:p>
        </w:tc>
        <w:tc>
          <w:tcPr>
            <w:tcW w:w="19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BF927">
            <w:pPr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hint="eastAsia" w:ascii="Times New Roman" w:hAnsi="Times New Roman" w:eastAsia="新宋体" w:cs="Times New Roman"/>
                <w:bCs/>
                <w:sz w:val="24"/>
              </w:rPr>
              <w:t>核实完善表4-14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</w:rPr>
              <w:t>项目噪声源强调查清单（室内声源），补充送料机、空压机等声源。补充设备数量等。核实噪声预测分析结果，昼间和夜间噪声预测贡献值为什么不一致？（三班生产）。</w:t>
            </w:r>
          </w:p>
        </w:tc>
        <w:tc>
          <w:tcPr>
            <w:tcW w:w="2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F02EF">
            <w:pPr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hint="eastAsia" w:ascii="Times New Roman" w:hAnsi="Times New Roman" w:eastAsia="新宋体" w:cs="Times New Roman"/>
                <w:bCs/>
                <w:sz w:val="24"/>
              </w:rPr>
              <w:t>1、已核实完善表4-14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</w:rPr>
              <w:t>项目噪声源强调查清单（室内声源）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  <w:lang w:eastAsia="zh-CN"/>
              </w:rPr>
              <w:t>，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  <w:lang w:val="en-US" w:eastAsia="zh-CN"/>
              </w:rPr>
              <w:t>已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</w:rPr>
              <w:t>补充送料机、空压机等声源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  <w:lang w:eastAsia="zh-CN"/>
              </w:rPr>
              <w:t>，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  <w:lang w:val="en-US" w:eastAsia="zh-CN"/>
              </w:rPr>
              <w:t>已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</w:rPr>
              <w:t>补充设备数量等。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  <w:lang w:val="en-US" w:eastAsia="zh-CN"/>
              </w:rPr>
              <w:t>已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</w:rPr>
              <w:t>核实噪声预测分析结果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  <w:lang w:eastAsia="zh-CN"/>
              </w:rPr>
              <w:t>。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  <w:lang w:val="en-US" w:eastAsia="zh-CN"/>
              </w:rPr>
              <w:t>已核实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</w:rPr>
              <w:t>昼间和夜间噪声预测贡献值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  <w:lang w:val="en-US" w:eastAsia="zh-CN"/>
              </w:rPr>
              <w:t>一致。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</w:rPr>
              <w:t>见P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  <w:lang w:val="en-US" w:eastAsia="zh-CN"/>
              </w:rPr>
              <w:t>65-70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</w:rPr>
              <w:t>。</w:t>
            </w:r>
          </w:p>
        </w:tc>
      </w:tr>
      <w:tr w14:paraId="1A42E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4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D168C">
            <w:pPr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hint="eastAsia" w:ascii="Times New Roman" w:hAnsi="Times New Roman" w:eastAsia="新宋体" w:cs="Times New Roman"/>
                <w:bCs/>
                <w:sz w:val="24"/>
              </w:rPr>
              <w:t>6</w:t>
            </w:r>
          </w:p>
        </w:tc>
        <w:tc>
          <w:tcPr>
            <w:tcW w:w="19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6EBA7">
            <w:pPr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hint="eastAsia" w:ascii="Times New Roman" w:hAnsi="Times New Roman" w:eastAsia="新宋体" w:cs="Times New Roman"/>
                <w:bCs/>
                <w:sz w:val="24"/>
              </w:rPr>
              <w:t>细化项目生产废水经沉淀（几级）可达到《城市污水再生利用 工业用水水质》（GBT19923-2024）中表1洗涤用水标准的可行性分析。</w:t>
            </w:r>
          </w:p>
        </w:tc>
        <w:tc>
          <w:tcPr>
            <w:tcW w:w="2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B23A3">
            <w:r>
              <w:rPr>
                <w:rFonts w:hint="eastAsia" w:ascii="Times New Roman" w:hAnsi="Times New Roman" w:eastAsia="新宋体" w:cs="Times New Roman"/>
                <w:bCs/>
                <w:sz w:val="24"/>
              </w:rPr>
              <w:t>1、已细化项目生产废水经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  <w:lang w:val="en-US" w:eastAsia="zh-CN"/>
              </w:rPr>
              <w:t>三级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</w:rPr>
              <w:t>沉淀可达到《城市污水再生利用 工业用水水质》（GBT19923-2024）中表1洗涤用水标准的可行性分析。见P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  <w:lang w:val="en-US" w:eastAsia="zh-CN"/>
              </w:rPr>
              <w:t>64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</w:rPr>
              <w:t>-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  <w:lang w:val="en-US" w:eastAsia="zh-CN"/>
              </w:rPr>
              <w:t>65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</w:rPr>
              <w:t>。</w:t>
            </w:r>
          </w:p>
        </w:tc>
      </w:tr>
      <w:tr w14:paraId="3EBEC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4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8D4AB">
            <w:pPr>
              <w:rPr>
                <w:rFonts w:hint="eastAsia" w:ascii="Times New Roman" w:hAnsi="Times New Roman" w:eastAsia="新宋体" w:cs="Times New Roman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新宋体" w:cs="Times New Roman"/>
                <w:bCs/>
                <w:sz w:val="24"/>
                <w:lang w:val="en-US" w:eastAsia="zh-CN"/>
              </w:rPr>
              <w:t>7</w:t>
            </w:r>
          </w:p>
        </w:tc>
        <w:tc>
          <w:tcPr>
            <w:tcW w:w="19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C1FCF">
            <w:pPr>
              <w:rPr>
                <w:rFonts w:hint="eastAsia" w:ascii="Times New Roman" w:hAnsi="Times New Roman" w:eastAsia="新宋体" w:cs="Times New Roman"/>
                <w:bCs/>
                <w:sz w:val="24"/>
              </w:rPr>
            </w:pPr>
            <w:r>
              <w:rPr>
                <w:rFonts w:hint="eastAsia" w:ascii="Times New Roman" w:hAnsi="Times New Roman" w:eastAsia="新宋体" w:cs="Times New Roman"/>
                <w:bCs/>
                <w:sz w:val="24"/>
              </w:rPr>
              <w:t>核实无组织废气自行监测计划（颗粒物应为1次/季度）</w:t>
            </w:r>
          </w:p>
        </w:tc>
        <w:tc>
          <w:tcPr>
            <w:tcW w:w="2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F30A3">
            <w:pPr>
              <w:rPr>
                <w:rFonts w:hint="default" w:ascii="Times New Roman" w:hAnsi="Times New Roman" w:eastAsia="新宋体" w:cs="Times New Roman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新宋体" w:cs="Times New Roman"/>
                <w:bCs/>
                <w:sz w:val="24"/>
                <w:lang w:val="en-US" w:eastAsia="zh-CN"/>
              </w:rPr>
              <w:t>已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</w:rPr>
              <w:t>核实无组织废气自行监测计划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  <w:lang w:eastAsia="zh-CN"/>
              </w:rPr>
              <w:t>，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</w:rPr>
              <w:t>颗粒物为1次/季度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  <w:lang w:eastAsia="zh-CN"/>
              </w:rPr>
              <w:t>。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  <w:lang w:val="en-US" w:eastAsia="zh-CN"/>
              </w:rPr>
              <w:t>见P60。</w:t>
            </w:r>
          </w:p>
        </w:tc>
      </w:tr>
      <w:tr w14:paraId="25620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50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F38C7">
            <w:pPr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</w:rPr>
              <w:t>评审专家意见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</w:rPr>
              <w:t>2</w:t>
            </w:r>
          </w:p>
        </w:tc>
      </w:tr>
      <w:tr w14:paraId="0EE32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4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49B2E">
            <w:pPr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</w:rPr>
              <w:t>1</w:t>
            </w:r>
          </w:p>
        </w:tc>
        <w:tc>
          <w:tcPr>
            <w:tcW w:w="19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6C4B9">
            <w:pPr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hint="eastAsia" w:ascii="Times New Roman" w:hAnsi="Times New Roman" w:eastAsia="新宋体" w:cs="Times New Roman"/>
                <w:bCs/>
                <w:sz w:val="24"/>
              </w:rPr>
              <w:t>补充项目与国务院关于印发《空气质量持续改善行动计划》的通知、“关于深入打好污染防治攻坚战的意见”、产业政策（如工艺、装备与产业政策）等有关法律、法规、文件相符性分析</w:t>
            </w:r>
          </w:p>
        </w:tc>
        <w:tc>
          <w:tcPr>
            <w:tcW w:w="2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672E9">
            <w:pPr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</w:rPr>
              <w:t>1、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</w:rPr>
              <w:t>已补充项目与国务院关于印发《空气质量持续改善行动计划》的通知、“关于深入打好污染防治攻坚战的意见”、工艺、装备与产业政策等有关法律、法规、文件相符性分析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  <w:lang w:eastAsia="zh-CN"/>
              </w:rPr>
              <w:t>。</w:t>
            </w:r>
            <w:r>
              <w:rPr>
                <w:rFonts w:ascii="Times New Roman" w:hAnsi="Times New Roman" w:eastAsia="新宋体" w:cs="Times New Roman"/>
                <w:bCs/>
                <w:sz w:val="24"/>
              </w:rPr>
              <w:t>见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  <w:lang w:val="en-US" w:eastAsia="zh-CN"/>
              </w:rPr>
              <w:t>P8、</w:t>
            </w:r>
            <w:r>
              <w:rPr>
                <w:rFonts w:ascii="Times New Roman" w:hAnsi="Times New Roman" w:eastAsia="新宋体" w:cs="Times New Roman"/>
                <w:bCs/>
                <w:sz w:val="24"/>
              </w:rPr>
              <w:t>P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  <w:lang w:val="en-US" w:eastAsia="zh-CN"/>
              </w:rPr>
              <w:t>16-18</w:t>
            </w:r>
            <w:r>
              <w:rPr>
                <w:rFonts w:ascii="Times New Roman" w:hAnsi="Times New Roman" w:eastAsia="新宋体" w:cs="Times New Roman"/>
                <w:bCs/>
                <w:sz w:val="24"/>
              </w:rPr>
              <w:t>。</w:t>
            </w:r>
          </w:p>
        </w:tc>
      </w:tr>
      <w:tr w14:paraId="16F15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4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C8774">
            <w:pPr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</w:rPr>
              <w:t>2</w:t>
            </w:r>
          </w:p>
        </w:tc>
        <w:tc>
          <w:tcPr>
            <w:tcW w:w="19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54350">
            <w:pPr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hint="eastAsia" w:ascii="Times New Roman" w:hAnsi="Times New Roman" w:eastAsia="新宋体" w:cs="Times New Roman"/>
                <w:bCs/>
                <w:sz w:val="24"/>
              </w:rPr>
              <w:t>搅拌工序加水后含水率也仅约为4%，补充包装工序、车间地面清扫等环节无组织粉尘产排情况，核实物料平衡，细化无组织粉尘防控分析并重新核算卫生防护距离。</w:t>
            </w:r>
          </w:p>
        </w:tc>
        <w:tc>
          <w:tcPr>
            <w:tcW w:w="2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D7C43">
            <w:pPr>
              <w:numPr>
                <w:ilvl w:val="0"/>
                <w:numId w:val="2"/>
              </w:numPr>
              <w:rPr>
                <w:rFonts w:hint="eastAsia" w:ascii="Times New Roman" w:hAnsi="Times New Roman" w:eastAsia="新宋体" w:cs="Times New Roman"/>
                <w:bCs/>
                <w:sz w:val="24"/>
                <w:lang w:eastAsia="zh-CN"/>
              </w:rPr>
            </w:pPr>
            <w:r>
              <w:rPr>
                <w:rFonts w:hint="eastAsia" w:ascii="Times New Roman" w:hAnsi="Times New Roman" w:eastAsia="新宋体" w:cs="Times New Roman"/>
                <w:bCs/>
                <w:sz w:val="24"/>
              </w:rPr>
              <w:t>本项目水稳料为湿态混合料，含水率约 7%，无包装工序；生产过程中由输送机直接装车外运，厂区内不储存、不堆存，落料高度小、抑尘条件好，粉尘产生量极微。因此，因此本次评价不考虑包装及出料装车工序产生的粉尘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  <w:lang w:eastAsia="zh-CN"/>
              </w:rPr>
              <w:t>。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  <w:lang w:val="en-US" w:eastAsia="zh-CN"/>
              </w:rPr>
              <w:t>见P55。</w:t>
            </w:r>
          </w:p>
          <w:p w14:paraId="711B457C">
            <w:pPr>
              <w:numPr>
                <w:ilvl w:val="0"/>
                <w:numId w:val="2"/>
              </w:numPr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项目车间定期进行清洗不清扫，因此无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</w:rPr>
              <w:t>清扫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  <w:lang w:val="en-US" w:eastAsia="zh-CN"/>
              </w:rPr>
              <w:t>粉尘产生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。</w:t>
            </w:r>
            <w:r>
              <w:rPr>
                <w:rFonts w:ascii="Times New Roman" w:hAnsi="Times New Roman" w:eastAsia="新宋体" w:cs="Times New Roman"/>
                <w:bCs/>
                <w:sz w:val="24"/>
              </w:rPr>
              <w:t>见P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  <w:lang w:val="en-US" w:eastAsia="zh-CN"/>
              </w:rPr>
              <w:t>31</w:t>
            </w:r>
            <w:r>
              <w:rPr>
                <w:rFonts w:ascii="Times New Roman" w:hAnsi="Times New Roman" w:eastAsia="新宋体" w:cs="Times New Roman"/>
                <w:bCs/>
                <w:sz w:val="24"/>
              </w:rPr>
              <w:t>。</w:t>
            </w:r>
          </w:p>
          <w:p w14:paraId="36DB524E">
            <w:pPr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hint="eastAsia" w:ascii="Times New Roman" w:hAnsi="Times New Roman" w:eastAsia="新宋体" w:cs="Times New Roman"/>
                <w:bCs/>
                <w:sz w:val="24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</w:rPr>
              <w:t>、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  <w:lang w:val="en-US" w:eastAsia="zh-CN"/>
              </w:rPr>
              <w:t>已核实物料平衡，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</w:rPr>
              <w:t>已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</w:rPr>
              <w:t>细化无组织粉尘防控分析并重新核算卫生防护距离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  <w:lang w:eastAsia="zh-CN"/>
              </w:rPr>
              <w:t>。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</w:rPr>
              <w:t>见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  <w:lang w:val="en-US" w:eastAsia="zh-CN"/>
              </w:rPr>
              <w:t>P29-30、图2-4、表2-7、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</w:rPr>
              <w:t>表2-8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  <w:lang w:val="en-US" w:eastAsia="zh-CN"/>
              </w:rPr>
              <w:t>P56-57</w:t>
            </w:r>
            <w:r>
              <w:rPr>
                <w:rFonts w:hint="eastAsia"/>
                <w:sz w:val="24"/>
              </w:rPr>
              <w:t>。</w:t>
            </w:r>
          </w:p>
        </w:tc>
      </w:tr>
      <w:tr w14:paraId="2EB65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4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90589">
            <w:pPr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</w:rPr>
              <w:t>3</w:t>
            </w:r>
          </w:p>
        </w:tc>
        <w:tc>
          <w:tcPr>
            <w:tcW w:w="19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630F5">
            <w:pPr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hint="eastAsia" w:ascii="Times New Roman" w:hAnsi="Times New Roman" w:eastAsia="新宋体" w:cs="Times New Roman"/>
                <w:bCs/>
                <w:sz w:val="24"/>
              </w:rPr>
              <w:t>补充物料输送、包装卸料等噪声源强，核实建筑物插入损</w:t>
            </w:r>
            <w:bookmarkStart w:id="2" w:name="_GoBack"/>
            <w:bookmarkEnd w:id="2"/>
            <w:r>
              <w:rPr>
                <w:rFonts w:hint="eastAsia" w:ascii="Times New Roman" w:hAnsi="Times New Roman" w:eastAsia="新宋体" w:cs="Times New Roman"/>
                <w:bCs/>
                <w:sz w:val="24"/>
              </w:rPr>
              <w:t>失，并根据建筑物材质、门窗开闭、设备布置等情况，完善声环境影响分析。</w:t>
            </w:r>
          </w:p>
        </w:tc>
        <w:tc>
          <w:tcPr>
            <w:tcW w:w="2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D8D43">
            <w:pPr>
              <w:rPr>
                <w:rFonts w:hint="default" w:ascii="Times New Roman" w:hAnsi="Times New Roman" w:eastAsia="新宋体" w:cs="Times New Roman"/>
                <w:bCs/>
                <w:sz w:val="24"/>
                <w:lang w:val="en-US" w:eastAsia="zh-CN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</w:rPr>
              <w:t>1、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</w:rPr>
              <w:t>已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  <w:lang w:val="en-US" w:eastAsia="zh-CN"/>
              </w:rPr>
              <w:t>补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</w:rPr>
              <w:t>充送料机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  <w:lang w:eastAsia="zh-CN"/>
              </w:rPr>
              <w:t>、上料机、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  <w:lang w:val="en-US" w:eastAsia="zh-CN"/>
              </w:rPr>
              <w:t>装载机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</w:rPr>
              <w:t>等噪声源强，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  <w:lang w:val="en-US" w:eastAsia="zh-CN"/>
              </w:rPr>
              <w:t>已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</w:rPr>
              <w:t>核实建筑物插入损失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  <w:lang w:val="en-US" w:eastAsia="zh-CN"/>
              </w:rPr>
              <w:t>为15dB（A），本项目</w:t>
            </w:r>
            <w:r>
              <w:rPr>
                <w:rFonts w:hint="eastAsia"/>
                <w:color w:val="000000"/>
                <w:sz w:val="24"/>
              </w:rPr>
              <w:t>水稳料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  <w:lang w:val="en-US" w:eastAsia="zh-CN"/>
              </w:rPr>
              <w:t>产品</w:t>
            </w:r>
            <w:r>
              <w:rPr>
                <w:rFonts w:hint="eastAsia"/>
                <w:color w:val="000000"/>
                <w:sz w:val="24"/>
              </w:rPr>
              <w:t>通过出料口直接输送到运输车外运，在厂区内不储存，生产即外运</w:t>
            </w:r>
            <w:r>
              <w:rPr>
                <w:rFonts w:hint="eastAsia"/>
                <w:color w:val="000000"/>
                <w:sz w:val="24"/>
                <w:lang w:eastAsia="zh-CN"/>
              </w:rPr>
              <w:t>，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因此无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</w:rPr>
              <w:t>包装噪声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  <w:lang w:eastAsia="zh-CN"/>
              </w:rPr>
              <w:t>，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  <w:lang w:val="en-US" w:eastAsia="zh-CN"/>
              </w:rPr>
              <w:t>只计算工控机产生的噪声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</w:rPr>
              <w:t>。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  <w:lang w:val="en-US" w:eastAsia="zh-CN"/>
              </w:rPr>
              <w:t>见P65-70。</w:t>
            </w:r>
          </w:p>
          <w:p w14:paraId="41211F30">
            <w:pPr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hint="eastAsia" w:ascii="Times New Roman" w:hAnsi="Times New Roman" w:eastAsia="新宋体" w:cs="Times New Roman"/>
                <w:bCs/>
                <w:sz w:val="24"/>
              </w:rPr>
              <w:t>2、已根据建筑物材质、门窗开闭、设备布置等情况，完善声环境影响分析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  <w:lang w:eastAsia="zh-CN"/>
              </w:rPr>
              <w:t>。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  <w:lang w:val="en-US" w:eastAsia="zh-CN"/>
              </w:rPr>
              <w:t>见P69-70。</w:t>
            </w:r>
          </w:p>
        </w:tc>
      </w:tr>
      <w:tr w14:paraId="5A203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4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B3430">
            <w:pPr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</w:rPr>
              <w:t>4</w:t>
            </w:r>
          </w:p>
        </w:tc>
        <w:tc>
          <w:tcPr>
            <w:tcW w:w="19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DE1F0">
            <w:pPr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hint="eastAsia" w:ascii="Times New Roman" w:hAnsi="Times New Roman" w:eastAsia="新宋体" w:cs="Times New Roman"/>
                <w:bCs/>
                <w:sz w:val="24"/>
              </w:rPr>
              <w:t>认真校核文稿，如：P32页，图2-6的图名错误。</w:t>
            </w:r>
          </w:p>
        </w:tc>
        <w:tc>
          <w:tcPr>
            <w:tcW w:w="2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D8C67">
            <w:pPr>
              <w:rPr>
                <w:rFonts w:hint="default" w:ascii="Times New Roman" w:hAnsi="Times New Roman" w:eastAsia="新宋体" w:cs="Times New Roman"/>
                <w:bCs/>
                <w:sz w:val="24"/>
                <w:lang w:val="en-US" w:eastAsia="zh-CN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</w:rPr>
              <w:t>1、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  <w:lang w:val="en-US" w:eastAsia="zh-CN"/>
              </w:rPr>
              <w:t>已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</w:rPr>
              <w:t>认真校核文稿。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  <w:lang w:val="en-US" w:eastAsia="zh-CN"/>
              </w:rPr>
              <w:t>已完善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</w:rPr>
              <w:t>图名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  <w:lang w:eastAsia="zh-CN"/>
              </w:rPr>
              <w:t>。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  <w:lang w:val="en-US" w:eastAsia="zh-CN"/>
              </w:rPr>
              <w:t>见P36。</w:t>
            </w:r>
          </w:p>
          <w:p w14:paraId="57119F7C"/>
        </w:tc>
      </w:tr>
      <w:bookmarkEnd w:id="0"/>
      <w:bookmarkEnd w:id="1"/>
    </w:tbl>
    <w:p w14:paraId="25AF3CD6">
      <w:pPr>
        <w:jc w:val="left"/>
        <w:rPr>
          <w:rFonts w:ascii="Times New Roman" w:hAnsi="Times New Roman" w:eastAsia="新宋体"/>
          <w:bCs/>
          <w:sz w:val="24"/>
        </w:rPr>
      </w:pPr>
      <w:r>
        <w:rPr>
          <w:rFonts w:hint="eastAsia" w:ascii="Times New Roman" w:hAnsi="Times New Roman" w:eastAsia="新宋体"/>
          <w:bCs/>
          <w:sz w:val="24"/>
        </w:rPr>
        <w:t>编制单位：南昌科奇环境工程有限公司              编制主持人：</w:t>
      </w:r>
    </w:p>
    <w:p w14:paraId="67155DCB">
      <w:pPr>
        <w:jc w:val="left"/>
      </w:pPr>
      <w:r>
        <w:rPr>
          <w:rFonts w:hint="eastAsia" w:ascii="Times New Roman" w:hAnsi="Times New Roman" w:eastAsia="新宋体"/>
          <w:bCs/>
          <w:sz w:val="24"/>
        </w:rPr>
        <w:t xml:space="preserve">                     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6418579"/>
    <w:multiLevelType w:val="multilevel"/>
    <w:tmpl w:val="A6418579"/>
    <w:lvl w:ilvl="0" w:tentative="0">
      <w:start w:val="1"/>
      <w:numFmt w:val="decimal"/>
      <w:suff w:val="space"/>
      <w:lvlText w:val="%1."/>
      <w:lvlJc w:val="center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decimal"/>
      <w:isLgl/>
      <w:suff w:val="space"/>
      <w:lvlText w:val="%1.%2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isLgl/>
      <w:suff w:val="space"/>
      <w:lvlText w:val="%1.%2.%3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pStyle w:val="4"/>
      <w:isLgl/>
      <w:suff w:val="space"/>
      <w:lvlText w:val="%1.%2.%3.%4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FEA36F39"/>
    <w:multiLevelType w:val="singleLevel"/>
    <w:tmpl w:val="FEA36F3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U3MjE2NzAzMTJkNmEzMjJiNGVmOTA2NTgwMTllYTQifQ=="/>
  </w:docVars>
  <w:rsids>
    <w:rsidRoot w:val="13E1502A"/>
    <w:rsid w:val="00012549"/>
    <w:rsid w:val="00013BD8"/>
    <w:rsid w:val="00015871"/>
    <w:rsid w:val="000202A7"/>
    <w:rsid w:val="00032C07"/>
    <w:rsid w:val="00036622"/>
    <w:rsid w:val="00042D79"/>
    <w:rsid w:val="00055D20"/>
    <w:rsid w:val="00057D71"/>
    <w:rsid w:val="00060DF6"/>
    <w:rsid w:val="000901AC"/>
    <w:rsid w:val="000B0617"/>
    <w:rsid w:val="000B3F06"/>
    <w:rsid w:val="000C15F7"/>
    <w:rsid w:val="000D0C06"/>
    <w:rsid w:val="000D121A"/>
    <w:rsid w:val="000E20B5"/>
    <w:rsid w:val="000E704F"/>
    <w:rsid w:val="000F31A1"/>
    <w:rsid w:val="000F5FE3"/>
    <w:rsid w:val="000F6B43"/>
    <w:rsid w:val="00113F64"/>
    <w:rsid w:val="0013541E"/>
    <w:rsid w:val="001572EA"/>
    <w:rsid w:val="00166D81"/>
    <w:rsid w:val="00173CCD"/>
    <w:rsid w:val="0019507E"/>
    <w:rsid w:val="001955AB"/>
    <w:rsid w:val="001974D3"/>
    <w:rsid w:val="001B77EB"/>
    <w:rsid w:val="001C5208"/>
    <w:rsid w:val="001C5967"/>
    <w:rsid w:val="001D2112"/>
    <w:rsid w:val="001D40DD"/>
    <w:rsid w:val="001F0501"/>
    <w:rsid w:val="00206C73"/>
    <w:rsid w:val="00221EE4"/>
    <w:rsid w:val="0023566D"/>
    <w:rsid w:val="002532BC"/>
    <w:rsid w:val="00272AD3"/>
    <w:rsid w:val="002A4672"/>
    <w:rsid w:val="002E04A2"/>
    <w:rsid w:val="002E1D7D"/>
    <w:rsid w:val="00303F55"/>
    <w:rsid w:val="003056E3"/>
    <w:rsid w:val="00324378"/>
    <w:rsid w:val="003346F2"/>
    <w:rsid w:val="00354CE1"/>
    <w:rsid w:val="003A70E8"/>
    <w:rsid w:val="003A719B"/>
    <w:rsid w:val="003C3696"/>
    <w:rsid w:val="003E73B5"/>
    <w:rsid w:val="003F034A"/>
    <w:rsid w:val="003F1848"/>
    <w:rsid w:val="003F3EBC"/>
    <w:rsid w:val="0041314D"/>
    <w:rsid w:val="004269C0"/>
    <w:rsid w:val="00446737"/>
    <w:rsid w:val="00461CE0"/>
    <w:rsid w:val="004C389C"/>
    <w:rsid w:val="004E058E"/>
    <w:rsid w:val="004E0AAC"/>
    <w:rsid w:val="004F3620"/>
    <w:rsid w:val="005509B0"/>
    <w:rsid w:val="00551201"/>
    <w:rsid w:val="005578FF"/>
    <w:rsid w:val="005734E1"/>
    <w:rsid w:val="0058635B"/>
    <w:rsid w:val="005868DB"/>
    <w:rsid w:val="00597114"/>
    <w:rsid w:val="005A584E"/>
    <w:rsid w:val="005A6202"/>
    <w:rsid w:val="005F3C53"/>
    <w:rsid w:val="005F3D5A"/>
    <w:rsid w:val="00601BCA"/>
    <w:rsid w:val="00611CAB"/>
    <w:rsid w:val="006279EF"/>
    <w:rsid w:val="006512BC"/>
    <w:rsid w:val="00660494"/>
    <w:rsid w:val="00662EA7"/>
    <w:rsid w:val="006631F0"/>
    <w:rsid w:val="00671FCE"/>
    <w:rsid w:val="00685449"/>
    <w:rsid w:val="00694CAB"/>
    <w:rsid w:val="00695AE5"/>
    <w:rsid w:val="006B2354"/>
    <w:rsid w:val="006B6758"/>
    <w:rsid w:val="006F0D0F"/>
    <w:rsid w:val="007078F9"/>
    <w:rsid w:val="00744AD1"/>
    <w:rsid w:val="00772764"/>
    <w:rsid w:val="007A25A8"/>
    <w:rsid w:val="007C27F6"/>
    <w:rsid w:val="007C3CA9"/>
    <w:rsid w:val="007C4BEE"/>
    <w:rsid w:val="0082735E"/>
    <w:rsid w:val="00836F42"/>
    <w:rsid w:val="008879AA"/>
    <w:rsid w:val="008A2310"/>
    <w:rsid w:val="008A4A3E"/>
    <w:rsid w:val="008D051C"/>
    <w:rsid w:val="009077CD"/>
    <w:rsid w:val="00917536"/>
    <w:rsid w:val="00951AAC"/>
    <w:rsid w:val="00965885"/>
    <w:rsid w:val="00974EA6"/>
    <w:rsid w:val="00982173"/>
    <w:rsid w:val="009C3642"/>
    <w:rsid w:val="009C6290"/>
    <w:rsid w:val="009D47F6"/>
    <w:rsid w:val="009E62A0"/>
    <w:rsid w:val="00A16CA5"/>
    <w:rsid w:val="00A21B85"/>
    <w:rsid w:val="00AA04EA"/>
    <w:rsid w:val="00AA1096"/>
    <w:rsid w:val="00AA2087"/>
    <w:rsid w:val="00AC2002"/>
    <w:rsid w:val="00AC4A12"/>
    <w:rsid w:val="00AC65CF"/>
    <w:rsid w:val="00AD0B96"/>
    <w:rsid w:val="00B27FA2"/>
    <w:rsid w:val="00B5312A"/>
    <w:rsid w:val="00B61D56"/>
    <w:rsid w:val="00B86340"/>
    <w:rsid w:val="00B93116"/>
    <w:rsid w:val="00B94D02"/>
    <w:rsid w:val="00B97123"/>
    <w:rsid w:val="00C053D4"/>
    <w:rsid w:val="00C06193"/>
    <w:rsid w:val="00C1229B"/>
    <w:rsid w:val="00C23395"/>
    <w:rsid w:val="00C530AE"/>
    <w:rsid w:val="00C53B44"/>
    <w:rsid w:val="00C60C11"/>
    <w:rsid w:val="00C66ADD"/>
    <w:rsid w:val="00C70619"/>
    <w:rsid w:val="00C70A6B"/>
    <w:rsid w:val="00C74AA0"/>
    <w:rsid w:val="00CB1BA1"/>
    <w:rsid w:val="00CC7BAB"/>
    <w:rsid w:val="00CD4271"/>
    <w:rsid w:val="00CE1988"/>
    <w:rsid w:val="00D5386D"/>
    <w:rsid w:val="00D614E1"/>
    <w:rsid w:val="00D816EF"/>
    <w:rsid w:val="00D9152C"/>
    <w:rsid w:val="00DA624F"/>
    <w:rsid w:val="00DB0651"/>
    <w:rsid w:val="00DD3469"/>
    <w:rsid w:val="00DF635B"/>
    <w:rsid w:val="00E142EB"/>
    <w:rsid w:val="00E166E1"/>
    <w:rsid w:val="00E243BA"/>
    <w:rsid w:val="00E24ADB"/>
    <w:rsid w:val="00E63DE3"/>
    <w:rsid w:val="00E64CC0"/>
    <w:rsid w:val="00E75432"/>
    <w:rsid w:val="00E84579"/>
    <w:rsid w:val="00EA382F"/>
    <w:rsid w:val="00EB5B1F"/>
    <w:rsid w:val="00EB6135"/>
    <w:rsid w:val="00EE0F57"/>
    <w:rsid w:val="00EE46BF"/>
    <w:rsid w:val="00F26831"/>
    <w:rsid w:val="00F27740"/>
    <w:rsid w:val="00F3475E"/>
    <w:rsid w:val="00F70B67"/>
    <w:rsid w:val="00F86F39"/>
    <w:rsid w:val="00F90D1D"/>
    <w:rsid w:val="00F95DE0"/>
    <w:rsid w:val="00FC27D4"/>
    <w:rsid w:val="00FF050B"/>
    <w:rsid w:val="00FF2E97"/>
    <w:rsid w:val="00FF5E3D"/>
    <w:rsid w:val="019D115B"/>
    <w:rsid w:val="01BF37C7"/>
    <w:rsid w:val="03B15391"/>
    <w:rsid w:val="04041965"/>
    <w:rsid w:val="04131BA8"/>
    <w:rsid w:val="046B19E4"/>
    <w:rsid w:val="05E87C54"/>
    <w:rsid w:val="080C5234"/>
    <w:rsid w:val="084C0985"/>
    <w:rsid w:val="085E0DA7"/>
    <w:rsid w:val="0910715B"/>
    <w:rsid w:val="0E0536C8"/>
    <w:rsid w:val="0F316353"/>
    <w:rsid w:val="13E1502A"/>
    <w:rsid w:val="159468C1"/>
    <w:rsid w:val="17243A4A"/>
    <w:rsid w:val="17CE1519"/>
    <w:rsid w:val="180B4D80"/>
    <w:rsid w:val="19321FFE"/>
    <w:rsid w:val="19C05ED6"/>
    <w:rsid w:val="1A472154"/>
    <w:rsid w:val="1B9969DF"/>
    <w:rsid w:val="1C482710"/>
    <w:rsid w:val="1D2E13A9"/>
    <w:rsid w:val="1E864ED5"/>
    <w:rsid w:val="1FBE6A14"/>
    <w:rsid w:val="20586E69"/>
    <w:rsid w:val="21511CD5"/>
    <w:rsid w:val="22E3185F"/>
    <w:rsid w:val="23AF5678"/>
    <w:rsid w:val="23D44C41"/>
    <w:rsid w:val="23F23130"/>
    <w:rsid w:val="23FC0FBD"/>
    <w:rsid w:val="25EE3EFB"/>
    <w:rsid w:val="261C4494"/>
    <w:rsid w:val="26544711"/>
    <w:rsid w:val="270C4AA3"/>
    <w:rsid w:val="27215B17"/>
    <w:rsid w:val="28B058CA"/>
    <w:rsid w:val="28B906C0"/>
    <w:rsid w:val="2A2A3741"/>
    <w:rsid w:val="2B21069E"/>
    <w:rsid w:val="2BCB1836"/>
    <w:rsid w:val="2CED6B8B"/>
    <w:rsid w:val="30646374"/>
    <w:rsid w:val="30DE7DF6"/>
    <w:rsid w:val="31EE13DB"/>
    <w:rsid w:val="348F40D0"/>
    <w:rsid w:val="361C2F4E"/>
    <w:rsid w:val="36B33543"/>
    <w:rsid w:val="38312021"/>
    <w:rsid w:val="38D330D8"/>
    <w:rsid w:val="390E2362"/>
    <w:rsid w:val="393A3157"/>
    <w:rsid w:val="39A700C1"/>
    <w:rsid w:val="3ABE57EA"/>
    <w:rsid w:val="3AE56433"/>
    <w:rsid w:val="3B082DE1"/>
    <w:rsid w:val="3C664263"/>
    <w:rsid w:val="3DE652CD"/>
    <w:rsid w:val="4004001B"/>
    <w:rsid w:val="420559F4"/>
    <w:rsid w:val="44466E54"/>
    <w:rsid w:val="45A007E6"/>
    <w:rsid w:val="45C83899"/>
    <w:rsid w:val="47032D2B"/>
    <w:rsid w:val="48D45983"/>
    <w:rsid w:val="4981321B"/>
    <w:rsid w:val="4A524A62"/>
    <w:rsid w:val="4A9432F6"/>
    <w:rsid w:val="4B4B6AFE"/>
    <w:rsid w:val="4BAB57EF"/>
    <w:rsid w:val="4D5A74CD"/>
    <w:rsid w:val="4DE80F7C"/>
    <w:rsid w:val="523F68B0"/>
    <w:rsid w:val="52A424BA"/>
    <w:rsid w:val="55722980"/>
    <w:rsid w:val="562B2D53"/>
    <w:rsid w:val="566E3FE9"/>
    <w:rsid w:val="574D3BFE"/>
    <w:rsid w:val="578D451C"/>
    <w:rsid w:val="58005114"/>
    <w:rsid w:val="5A643739"/>
    <w:rsid w:val="5B2D64A8"/>
    <w:rsid w:val="5B685104"/>
    <w:rsid w:val="5BC528FD"/>
    <w:rsid w:val="5D2411F6"/>
    <w:rsid w:val="5E7A14A2"/>
    <w:rsid w:val="5ED53E03"/>
    <w:rsid w:val="5F9A3E1F"/>
    <w:rsid w:val="5FEC5EB9"/>
    <w:rsid w:val="60334636"/>
    <w:rsid w:val="605B3830"/>
    <w:rsid w:val="610E03C5"/>
    <w:rsid w:val="62244678"/>
    <w:rsid w:val="62FB09B2"/>
    <w:rsid w:val="63E946D0"/>
    <w:rsid w:val="64AF414A"/>
    <w:rsid w:val="64BD0615"/>
    <w:rsid w:val="64CA2811"/>
    <w:rsid w:val="68CA5876"/>
    <w:rsid w:val="69347B64"/>
    <w:rsid w:val="69872FA0"/>
    <w:rsid w:val="69886D18"/>
    <w:rsid w:val="6A1707C7"/>
    <w:rsid w:val="6AB57FE0"/>
    <w:rsid w:val="6B6A0751"/>
    <w:rsid w:val="6C400DED"/>
    <w:rsid w:val="6CD32C92"/>
    <w:rsid w:val="6D644BBF"/>
    <w:rsid w:val="6D7B6D9D"/>
    <w:rsid w:val="6DF130DE"/>
    <w:rsid w:val="6E855E27"/>
    <w:rsid w:val="6E90188A"/>
    <w:rsid w:val="6FD902CD"/>
    <w:rsid w:val="72760786"/>
    <w:rsid w:val="74586CEB"/>
    <w:rsid w:val="748B640C"/>
    <w:rsid w:val="76781F76"/>
    <w:rsid w:val="774B7D02"/>
    <w:rsid w:val="78B35B5F"/>
    <w:rsid w:val="79C903B6"/>
    <w:rsid w:val="7A016D9E"/>
    <w:rsid w:val="7B1D3764"/>
    <w:rsid w:val="7B8E4662"/>
    <w:rsid w:val="7DCB6460"/>
    <w:rsid w:val="7DCC1471"/>
    <w:rsid w:val="7E902CB2"/>
    <w:rsid w:val="7EB048EF"/>
    <w:rsid w:val="7F5636E8"/>
    <w:rsid w:val="7FC03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1"/>
    <w:pPr>
      <w:outlineLvl w:val="1"/>
    </w:pPr>
    <w:rPr>
      <w:rFonts w:ascii="Times New Roman" w:hAnsi="Times New Roman" w:eastAsia="宋体"/>
      <w:bCs/>
      <w:szCs w:val="21"/>
    </w:rPr>
  </w:style>
  <w:style w:type="paragraph" w:styleId="4">
    <w:name w:val="heading 4"/>
    <w:basedOn w:val="1"/>
    <w:next w:val="1"/>
    <w:autoRedefine/>
    <w:unhideWhenUsed/>
    <w:qFormat/>
    <w:uiPriority w:val="0"/>
    <w:pPr>
      <w:keepNext/>
      <w:keepLines/>
      <w:numPr>
        <w:ilvl w:val="3"/>
        <w:numId w:val="1"/>
      </w:numPr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9">
    <w:name w:val="Default Paragraph Font"/>
    <w:semiHidden/>
    <w:unhideWhenUsed/>
    <w:uiPriority w:val="1"/>
  </w:style>
  <w:style w:type="table" w:default="1" w:styleId="1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5">
    <w:name w:val="annotation text"/>
    <w:basedOn w:val="1"/>
    <w:link w:val="32"/>
    <w:semiHidden/>
    <w:qFormat/>
    <w:uiPriority w:val="0"/>
    <w:pPr>
      <w:jc w:val="left"/>
    </w:pPr>
  </w:style>
  <w:style w:type="paragraph" w:styleId="6">
    <w:name w:val="Body Text"/>
    <w:basedOn w:val="1"/>
    <w:next w:val="1"/>
    <w:autoRedefine/>
    <w:qFormat/>
    <w:uiPriority w:val="0"/>
    <w:pPr>
      <w:widowControl/>
      <w:snapToGrid w:val="0"/>
      <w:spacing w:before="60" w:after="160" w:line="259" w:lineRule="auto"/>
      <w:ind w:right="113"/>
    </w:pPr>
    <w:rPr>
      <w:kern w:val="0"/>
      <w:sz w:val="18"/>
      <w:szCs w:val="20"/>
    </w:rPr>
  </w:style>
  <w:style w:type="paragraph" w:styleId="7">
    <w:name w:val="Body Text Indent"/>
    <w:basedOn w:val="1"/>
    <w:autoRedefine/>
    <w:qFormat/>
    <w:uiPriority w:val="0"/>
    <w:pPr>
      <w:spacing w:after="120"/>
      <w:ind w:left="420" w:leftChars="200"/>
    </w:pPr>
    <w:rPr>
      <w:kern w:val="0"/>
      <w:sz w:val="24"/>
      <w:szCs w:val="20"/>
    </w:rPr>
  </w:style>
  <w:style w:type="paragraph" w:styleId="8">
    <w:name w:val="Plain Text"/>
    <w:basedOn w:val="1"/>
    <w:qFormat/>
    <w:uiPriority w:val="0"/>
    <w:pPr>
      <w:spacing w:line="576" w:lineRule="exact"/>
    </w:pPr>
    <w:rPr>
      <w:rFonts w:ascii="宋体" w:hAnsi="Courier New" w:eastAsia="Times New Roman" w:cs="宋体"/>
    </w:rPr>
  </w:style>
  <w:style w:type="paragraph" w:styleId="9">
    <w:name w:val="Body Text Indent 2"/>
    <w:basedOn w:val="1"/>
    <w:qFormat/>
    <w:uiPriority w:val="0"/>
    <w:pPr>
      <w:spacing w:line="500" w:lineRule="exact"/>
      <w:ind w:firstLine="570"/>
    </w:pPr>
    <w:rPr>
      <w:rFonts w:ascii="仿宋_GB2312" w:eastAsia="仿宋_GB2312"/>
      <w:sz w:val="28"/>
    </w:rPr>
  </w:style>
  <w:style w:type="paragraph" w:styleId="10">
    <w:name w:val="footer"/>
    <w:basedOn w:val="1"/>
    <w:link w:val="3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next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</w:rPr>
  </w:style>
  <w:style w:type="paragraph" w:customStyle="1" w:styleId="12">
    <w:name w:val="样式5"/>
    <w:basedOn w:val="13"/>
    <w:autoRedefine/>
    <w:qFormat/>
    <w:uiPriority w:val="0"/>
    <w:pPr>
      <w:snapToGrid w:val="0"/>
      <w:spacing w:line="360" w:lineRule="auto"/>
      <w:ind w:firstLine="510"/>
    </w:pPr>
  </w:style>
  <w:style w:type="paragraph" w:customStyle="1" w:styleId="13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cs="Times New Roman"/>
      <w:b/>
      <w:bCs/>
      <w:color w:val="000000"/>
      <w:kern w:val="0"/>
      <w:sz w:val="24"/>
    </w:rPr>
  </w:style>
  <w:style w:type="paragraph" w:styleId="14">
    <w:name w:val="List"/>
    <w:basedOn w:val="1"/>
    <w:next w:val="1"/>
    <w:autoRedefine/>
    <w:qFormat/>
    <w:uiPriority w:val="0"/>
    <w:pPr>
      <w:adjustRightInd w:val="0"/>
      <w:ind w:firstLine="576" w:firstLineChars="200"/>
      <w:jc w:val="center"/>
    </w:pPr>
    <w:rPr>
      <w:rFonts w:ascii="仿宋_GB2312" w:hAnsi="Times New Roman" w:eastAsia="仿宋_GB2312"/>
      <w:spacing w:val="4"/>
      <w:kern w:val="18"/>
      <w:sz w:val="28"/>
      <w:szCs w:val="21"/>
    </w:rPr>
  </w:style>
  <w:style w:type="paragraph" w:styleId="15">
    <w:name w:val="annotation subject"/>
    <w:basedOn w:val="5"/>
    <w:next w:val="5"/>
    <w:link w:val="33"/>
    <w:uiPriority w:val="0"/>
    <w:rPr>
      <w:b/>
      <w:bCs/>
    </w:rPr>
  </w:style>
  <w:style w:type="paragraph" w:styleId="16">
    <w:name w:val="Body Text First Indent"/>
    <w:basedOn w:val="6"/>
    <w:next w:val="1"/>
    <w:autoRedefine/>
    <w:qFormat/>
    <w:uiPriority w:val="0"/>
    <w:pPr>
      <w:spacing w:line="240" w:lineRule="auto"/>
      <w:ind w:firstLine="420" w:firstLineChars="100"/>
    </w:pPr>
    <w:rPr>
      <w:kern w:val="2"/>
      <w:szCs w:val="24"/>
    </w:rPr>
  </w:style>
  <w:style w:type="paragraph" w:styleId="17">
    <w:name w:val="Body Text First Indent 2"/>
    <w:basedOn w:val="7"/>
    <w:next w:val="16"/>
    <w:autoRedefine/>
    <w:unhideWhenUsed/>
    <w:qFormat/>
    <w:uiPriority w:val="99"/>
    <w:pPr>
      <w:ind w:firstLine="420"/>
    </w:pPr>
  </w:style>
  <w:style w:type="character" w:styleId="20">
    <w:name w:val="Strong"/>
    <w:basedOn w:val="19"/>
    <w:qFormat/>
    <w:uiPriority w:val="0"/>
    <w:rPr>
      <w:b/>
    </w:rPr>
  </w:style>
  <w:style w:type="character" w:styleId="21">
    <w:name w:val="annotation reference"/>
    <w:basedOn w:val="19"/>
    <w:uiPriority w:val="0"/>
    <w:rPr>
      <w:sz w:val="21"/>
      <w:szCs w:val="21"/>
    </w:rPr>
  </w:style>
  <w:style w:type="paragraph" w:customStyle="1" w:styleId="22">
    <w:name w:val="Default"/>
    <w:basedOn w:val="23"/>
    <w:autoRedefine/>
    <w:qFormat/>
    <w:uiPriority w:val="0"/>
    <w:pPr>
      <w:autoSpaceDE w:val="0"/>
      <w:autoSpaceDN w:val="0"/>
    </w:pPr>
    <w:rPr>
      <w:rFonts w:ascii="宋体" w:cs="宋体"/>
      <w:color w:val="000000"/>
      <w:sz w:val="24"/>
    </w:rPr>
  </w:style>
  <w:style w:type="paragraph" w:customStyle="1" w:styleId="23">
    <w:name w:val="纯文本1"/>
    <w:basedOn w:val="1"/>
    <w:autoRedefine/>
    <w:qFormat/>
    <w:uiPriority w:val="0"/>
    <w:pPr>
      <w:adjustRightInd w:val="0"/>
      <w:textAlignment w:val="baseline"/>
    </w:pPr>
    <w:rPr>
      <w:rFonts w:ascii="Courier New" w:hAnsi="Courier New"/>
      <w:sz w:val="15"/>
    </w:rPr>
  </w:style>
  <w:style w:type="paragraph" w:customStyle="1" w:styleId="24">
    <w:name w:val="Date1"/>
    <w:basedOn w:val="1"/>
    <w:next w:val="1"/>
    <w:qFormat/>
    <w:uiPriority w:val="0"/>
    <w:rPr>
      <w:szCs w:val="20"/>
    </w:rPr>
  </w:style>
  <w:style w:type="paragraph" w:customStyle="1" w:styleId="25">
    <w:name w:val="批注文字1"/>
    <w:autoRedefine/>
    <w:qFormat/>
    <w:uiPriority w:val="0"/>
    <w:pPr>
      <w:widowControl w:val="0"/>
    </w:pPr>
    <w:rPr>
      <w:rFonts w:ascii="Times New Roman" w:hAnsi="Times New Roman" w:eastAsia="宋体" w:cs="Times New Roman"/>
      <w:color w:val="000000"/>
      <w:kern w:val="2"/>
      <w:sz w:val="21"/>
      <w:szCs w:val="24"/>
      <w:lang w:val="en-US" w:eastAsia="zh-CN" w:bidi="ar-SA"/>
    </w:rPr>
  </w:style>
  <w:style w:type="paragraph" w:customStyle="1" w:styleId="26">
    <w:name w:val="Default1"/>
    <w:basedOn w:val="27"/>
    <w:autoRedefine/>
    <w:qFormat/>
    <w:uiPriority w:val="0"/>
    <w:pPr>
      <w:autoSpaceDE w:val="0"/>
      <w:autoSpaceDN w:val="0"/>
      <w:adjustRightInd w:val="0"/>
    </w:pPr>
    <w:rPr>
      <w:rFonts w:hAnsi="Times New Roman" w:eastAsia="宋体" w:cs="宋体"/>
      <w:color w:val="000000"/>
    </w:rPr>
  </w:style>
  <w:style w:type="paragraph" w:customStyle="1" w:styleId="27">
    <w:name w:val="常用正文样式"/>
    <w:autoRedefine/>
    <w:qFormat/>
    <w:uiPriority w:val="0"/>
    <w:pPr>
      <w:widowControl w:val="0"/>
      <w:spacing w:line="360" w:lineRule="auto"/>
      <w:ind w:firstLine="454"/>
      <w:jc w:val="both"/>
    </w:pPr>
    <w:rPr>
      <w:rFonts w:ascii="宋体" w:hAnsi="新宋体" w:eastAsia="仿宋_GB2312" w:cs="Times New Roman"/>
      <w:kern w:val="2"/>
      <w:sz w:val="24"/>
      <w:szCs w:val="24"/>
      <w:lang w:val="en-US" w:eastAsia="zh-CN" w:bidi="ar-SA"/>
    </w:rPr>
  </w:style>
  <w:style w:type="paragraph" w:customStyle="1" w:styleId="28">
    <w:name w:val="pa-2"/>
    <w:basedOn w:val="1"/>
    <w:autoRedefine/>
    <w:qFormat/>
    <w:uiPriority w:val="0"/>
    <w:pPr>
      <w:widowControl/>
      <w:spacing w:before="150" w:after="150"/>
      <w:jc w:val="left"/>
    </w:pPr>
    <w:rPr>
      <w:rFonts w:ascii="宋体" w:hAnsi="宋体" w:cs="宋体"/>
      <w:kern w:val="0"/>
      <w:sz w:val="24"/>
    </w:rPr>
  </w:style>
  <w:style w:type="paragraph" w:customStyle="1" w:styleId="29">
    <w:name w:val="报告正文"/>
    <w:basedOn w:val="1"/>
    <w:qFormat/>
    <w:uiPriority w:val="0"/>
    <w:pPr>
      <w:adjustRightInd w:val="0"/>
      <w:snapToGrid w:val="0"/>
      <w:spacing w:line="360" w:lineRule="auto"/>
      <w:ind w:firstLine="600" w:firstLineChars="200"/>
    </w:pPr>
    <w:rPr>
      <w:kern w:val="0"/>
      <w:sz w:val="24"/>
      <w:szCs w:val="20"/>
    </w:rPr>
  </w:style>
  <w:style w:type="character" w:customStyle="1" w:styleId="30">
    <w:name w:val="页脚 字符"/>
    <w:basedOn w:val="19"/>
    <w:link w:val="10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1">
    <w:name w:val="List Paragraph"/>
    <w:basedOn w:val="1"/>
    <w:unhideWhenUsed/>
    <w:uiPriority w:val="99"/>
    <w:pPr>
      <w:ind w:firstLine="420" w:firstLineChars="200"/>
    </w:pPr>
  </w:style>
  <w:style w:type="character" w:customStyle="1" w:styleId="32">
    <w:name w:val="批注文字 字符"/>
    <w:basedOn w:val="19"/>
    <w:link w:val="5"/>
    <w:semiHidden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3">
    <w:name w:val="批注主题 字符"/>
    <w:basedOn w:val="32"/>
    <w:link w:val="15"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1728</Words>
  <Characters>1873</Characters>
  <Lines>20</Lines>
  <Paragraphs>5</Paragraphs>
  <TotalTime>0</TotalTime>
  <ScaleCrop>false</ScaleCrop>
  <LinksUpToDate>false</LinksUpToDate>
  <CharactersWithSpaces>1919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2025-06-11T09:03:00Z</dcterms:created>
  <dc:creator>吃大白菜兔子</dc:creator>
  <cp:lastModifiedBy>李志福</cp:lastModifiedBy>
  <cp:lastPrinted>2025-06-19T03:32:00Z</cp:lastPrinted>
  <dcterms:modified xsi:type="dcterms:W3CDTF">2026-03-18T07:16:48Z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DFF58DEAB7274534AC8EE2C99C637146_11</vt:lpwstr>
  </property>
  <property fmtid="{D5CDD505-2E9C-101B-9397-08002B2CF9AE}" pid="4" name="KSOTemplateDocerSaveRecord">
    <vt:lpwstr>eyJoZGlkIjoiOTNmZTY3YzZhNjU3NTczZDkzZGNiYjJmZDhjZTczOTMiLCJ1c2VySWQiOiIzMDgxNDkxOTEifQ==</vt:lpwstr>
  </property>
</Properties>
</file>