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907AA">
      <w:pPr>
        <w:jc w:val="center"/>
        <w:rPr>
          <w:rFonts w:asciiTheme="minorEastAsia" w:hAnsiTheme="minorEastAsia" w:cstheme="minorEastAsia"/>
          <w:b/>
          <w:bCs/>
          <w:color w:val="auto"/>
          <w:sz w:val="28"/>
          <w:szCs w:val="36"/>
          <w:highlight w:val="none"/>
        </w:rPr>
      </w:pPr>
      <w:r>
        <w:rPr>
          <w:rFonts w:hint="eastAsia" w:asciiTheme="minorEastAsia" w:hAnsiTheme="minorEastAsia" w:cstheme="minorEastAsia"/>
          <w:b/>
          <w:bCs/>
          <w:color w:val="auto"/>
          <w:sz w:val="28"/>
          <w:szCs w:val="36"/>
          <w:highlight w:val="none"/>
          <w:lang w:eastAsia="zh-CN"/>
        </w:rPr>
        <w:t>乐平市古法茅蔗糖生产初加工项目</w:t>
      </w:r>
      <w:r>
        <w:rPr>
          <w:rFonts w:hint="eastAsia" w:asciiTheme="minorEastAsia" w:hAnsiTheme="minorEastAsia" w:cstheme="minorEastAsia"/>
          <w:b/>
          <w:bCs/>
          <w:color w:val="auto"/>
          <w:sz w:val="28"/>
          <w:szCs w:val="36"/>
          <w:highlight w:val="none"/>
        </w:rPr>
        <w:t>审查意见修改清单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4858"/>
        <w:gridCol w:w="3967"/>
        <w:gridCol w:w="1138"/>
      </w:tblGrid>
      <w:tr w14:paraId="2B71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5333" w:type="dxa"/>
            <w:gridSpan w:val="2"/>
          </w:tcPr>
          <w:p w14:paraId="2C9F4F03">
            <w:pPr>
              <w:spacing w:line="440" w:lineRule="exact"/>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审查意见</w:t>
            </w:r>
          </w:p>
        </w:tc>
        <w:tc>
          <w:tcPr>
            <w:tcW w:w="3967" w:type="dxa"/>
          </w:tcPr>
          <w:p w14:paraId="1D6DCFC7">
            <w:pPr>
              <w:spacing w:line="440" w:lineRule="exact"/>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修改情况</w:t>
            </w:r>
          </w:p>
        </w:tc>
        <w:tc>
          <w:tcPr>
            <w:tcW w:w="1138" w:type="dxa"/>
          </w:tcPr>
          <w:p w14:paraId="77116351">
            <w:pPr>
              <w:spacing w:line="440" w:lineRule="exact"/>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修改位置</w:t>
            </w:r>
          </w:p>
        </w:tc>
      </w:tr>
      <w:tr w14:paraId="4F2E6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438" w:type="dxa"/>
            <w:gridSpan w:val="4"/>
          </w:tcPr>
          <w:p w14:paraId="777B8872">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b/>
                <w:bCs/>
                <w:color w:val="auto"/>
                <w:sz w:val="21"/>
                <w:szCs w:val="21"/>
                <w:highlight w:val="none"/>
              </w:rPr>
              <w:t>审核人员：</w:t>
            </w:r>
            <w:r>
              <w:rPr>
                <w:rFonts w:hint="eastAsia" w:ascii="Times New Roman" w:hAnsi="Times New Roman" w:cs="Times New Roman"/>
                <w:b/>
                <w:bCs/>
                <w:color w:val="auto"/>
                <w:sz w:val="21"/>
                <w:szCs w:val="21"/>
                <w:highlight w:val="none"/>
                <w:lang w:val="en-US" w:eastAsia="zh-CN"/>
              </w:rPr>
              <w:t>罗运阔</w:t>
            </w:r>
          </w:p>
        </w:tc>
      </w:tr>
      <w:tr w14:paraId="461B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5" w:type="dxa"/>
          </w:tcPr>
          <w:p w14:paraId="679B85C9">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1、</w:t>
            </w:r>
          </w:p>
        </w:tc>
        <w:tc>
          <w:tcPr>
            <w:tcW w:w="4858" w:type="dxa"/>
          </w:tcPr>
          <w:p w14:paraId="02B2B838">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本项目与《国务院办公厅关于进一步促进农产品加工业发展的意见》（国办发〔2016〕93号）、《制糖工业污染防治技术政策》（2016年第87号）、《制糖工业污染防治可行技术指南》(HJ2303-2018)、《江西省空气质量持续改善行动计划实施方案》（赣府发〔2024〕20号）和《乐平市名口镇流总体规划》等相关规划相符性分析。</w:t>
            </w:r>
          </w:p>
        </w:tc>
        <w:tc>
          <w:tcPr>
            <w:tcW w:w="3967" w:type="dxa"/>
          </w:tcPr>
          <w:p w14:paraId="500E3BD4">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已补充本项目与</w:t>
            </w:r>
            <w:r>
              <w:rPr>
                <w:rFonts w:hint="default" w:ascii="Times New Roman" w:hAnsi="Times New Roman" w:cs="Times New Roman"/>
                <w:color w:val="auto"/>
                <w:sz w:val="21"/>
                <w:szCs w:val="21"/>
                <w:highlight w:val="none"/>
                <w:lang w:val="en-US" w:eastAsia="zh-CN"/>
              </w:rPr>
              <w:t>《国务院办公厅关于进一步促进农产品加工业发展的意见》（国办发〔2016〕93号）、《制糖工业污染防治技术政策》（2016年第87号）、《制糖工业污染防治可行技术指南》(HJ2303-2018)、《江西省空气质量持续改善行动计划实施方案》（赣府发〔2024〕20号）</w:t>
            </w:r>
            <w:r>
              <w:rPr>
                <w:rFonts w:hint="eastAsia" w:ascii="Times New Roman" w:hAnsi="Times New Roman" w:cs="Times New Roman"/>
                <w:color w:val="auto"/>
                <w:sz w:val="21"/>
                <w:szCs w:val="21"/>
                <w:highlight w:val="none"/>
                <w:lang w:val="en-US" w:eastAsia="zh-CN"/>
              </w:rPr>
              <w:t>和《乐平市名口镇国土空间总体规划》相符性分析。</w:t>
            </w:r>
          </w:p>
        </w:tc>
        <w:tc>
          <w:tcPr>
            <w:tcW w:w="1138" w:type="dxa"/>
            <w:vAlign w:val="center"/>
          </w:tcPr>
          <w:p w14:paraId="2B1901ED">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P16-23</w:t>
            </w:r>
          </w:p>
        </w:tc>
      </w:tr>
      <w:tr w14:paraId="00C89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75" w:type="dxa"/>
            <w:vMerge w:val="restart"/>
            <w:shd w:val="clear" w:color="auto" w:fill="auto"/>
            <w:vAlign w:val="top"/>
          </w:tcPr>
          <w:p w14:paraId="5E368E91">
            <w:pPr>
              <w:spacing w:line="440" w:lineRule="exact"/>
              <w:jc w:val="both"/>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2、</w:t>
            </w:r>
          </w:p>
        </w:tc>
        <w:tc>
          <w:tcPr>
            <w:tcW w:w="4858" w:type="dxa"/>
          </w:tcPr>
          <w:p w14:paraId="5B6C63DE">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明确本项目用地性质，进一步调查补充周围生态环境现状（含动植物种类分布和耕地林地分布情况）和敏感点距本项目的距离；</w:t>
            </w:r>
          </w:p>
        </w:tc>
        <w:tc>
          <w:tcPr>
            <w:tcW w:w="3967" w:type="dxa"/>
          </w:tcPr>
          <w:p w14:paraId="513704C3">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已明确本项目用地性质，为工业用地，</w:t>
            </w:r>
            <w:r>
              <w:rPr>
                <w:rFonts w:ascii="Times New Roman" w:hAnsi="Times New Roman" w:eastAsia="宋体"/>
                <w:color w:val="auto"/>
                <w:szCs w:val="21"/>
              </w:rPr>
              <w:t>经过调查，项目地块附近范围内</w:t>
            </w:r>
            <w:r>
              <w:rPr>
                <w:rFonts w:hint="eastAsia" w:ascii="宋体" w:hAnsi="宋体" w:cs="宋体"/>
                <w:snapToGrid w:val="0"/>
                <w:color w:val="auto"/>
                <w:szCs w:val="20"/>
                <w:highlight w:val="none"/>
              </w:rPr>
              <w:t>无自然保护区、世界文化和自然遗产地、风景名胜区、森林公园、地质公园、珍稀动植物资源等敏感目标；无珍稀动植物资源，</w:t>
            </w:r>
            <w:r>
              <w:rPr>
                <w:rFonts w:ascii="Times New Roman" w:hAnsi="Times New Roman" w:eastAsia="宋体"/>
                <w:color w:val="auto"/>
                <w:szCs w:val="21"/>
              </w:rPr>
              <w:t>属于一般区域。</w:t>
            </w:r>
            <w:r>
              <w:rPr>
                <w:rFonts w:hint="eastAsia" w:ascii="Times New Roman" w:hAnsi="Times New Roman" w:eastAsia="宋体"/>
                <w:color w:val="FF0000"/>
                <w:szCs w:val="21"/>
                <w:lang w:val="en-US" w:eastAsia="zh-CN"/>
              </w:rPr>
              <w:t>项目地块现状植被以落叶阔叶林、针叶林为主，此外还有乔木、林下灌木、地表草本等分布。</w:t>
            </w:r>
          </w:p>
        </w:tc>
        <w:tc>
          <w:tcPr>
            <w:tcW w:w="1138" w:type="dxa"/>
            <w:vAlign w:val="center"/>
          </w:tcPr>
          <w:p w14:paraId="69047F92">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P25、P35</w:t>
            </w:r>
          </w:p>
        </w:tc>
      </w:tr>
      <w:tr w14:paraId="1E24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shd w:val="clear" w:color="auto" w:fill="auto"/>
            <w:vAlign w:val="top"/>
          </w:tcPr>
          <w:p w14:paraId="4F02C2B7">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3B597FAD">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补充四邻关系照片及厂区现状照片；</w:t>
            </w:r>
          </w:p>
        </w:tc>
        <w:tc>
          <w:tcPr>
            <w:tcW w:w="3967" w:type="dxa"/>
          </w:tcPr>
          <w:p w14:paraId="0DC76094">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已补充项目四至照片及场地现状照片；</w:t>
            </w:r>
          </w:p>
        </w:tc>
        <w:tc>
          <w:tcPr>
            <w:tcW w:w="1138" w:type="dxa"/>
            <w:vAlign w:val="center"/>
          </w:tcPr>
          <w:p w14:paraId="4DAB4071">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附图11</w:t>
            </w:r>
          </w:p>
        </w:tc>
      </w:tr>
      <w:tr w14:paraId="463F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shd w:val="clear" w:color="auto" w:fill="auto"/>
            <w:vAlign w:val="top"/>
          </w:tcPr>
          <w:p w14:paraId="2773B135">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46011A81">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补充厂区西面乐安河的水质现状检测数据、管理目标、水质类别、水体功能及距离本项目的最近距离等；</w:t>
            </w:r>
          </w:p>
        </w:tc>
        <w:tc>
          <w:tcPr>
            <w:tcW w:w="3967" w:type="dxa"/>
          </w:tcPr>
          <w:p w14:paraId="1A0C7347">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已完善，本次评价地表水监测数据引用景德镇市生态环境局发布的景德镇市2026年3月环境监测质量月报中乐安河桃源断面监测数据，已明确管理目标、水质类别、水体功能；</w:t>
            </w:r>
          </w:p>
        </w:tc>
        <w:tc>
          <w:tcPr>
            <w:tcW w:w="1138" w:type="dxa"/>
            <w:vAlign w:val="center"/>
          </w:tcPr>
          <w:p w14:paraId="689BBD11">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P34-35</w:t>
            </w:r>
          </w:p>
        </w:tc>
      </w:tr>
      <w:tr w14:paraId="3638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shd w:val="clear" w:color="auto" w:fill="auto"/>
            <w:vAlign w:val="top"/>
          </w:tcPr>
          <w:p w14:paraId="3BD75ED9">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065B0D6D">
            <w:pPr>
              <w:spacing w:line="440" w:lineRule="exact"/>
              <w:jc w:val="both"/>
              <w:rPr>
                <w:rFonts w:hint="default" w:ascii="Times New Roman" w:hAnsi="Times New Roman" w:cs="Times New Roman"/>
                <w:color w:val="FF0000"/>
                <w:sz w:val="21"/>
                <w:szCs w:val="21"/>
                <w:highlight w:val="yellow"/>
                <w:lang w:val="en-US" w:eastAsia="zh-CN"/>
              </w:rPr>
            </w:pPr>
            <w:r>
              <w:rPr>
                <w:rFonts w:hint="default" w:ascii="Times New Roman" w:hAnsi="Times New Roman" w:cs="Times New Roman"/>
                <w:color w:val="auto"/>
                <w:sz w:val="21"/>
                <w:szCs w:val="21"/>
                <w:highlight w:val="none"/>
                <w:lang w:val="en-US" w:eastAsia="zh-CN"/>
              </w:rPr>
              <w:t>明确农灌水暂存池的容积 P20 废水排入污水处理站处理达到《农田灌溉水质标准》（GB5084-2021）标准应统一执行《制糖工业水污染物排放标准》（GB21909-2008）对应表的标准限制。</w:t>
            </w:r>
          </w:p>
        </w:tc>
        <w:tc>
          <w:tcPr>
            <w:tcW w:w="3967" w:type="dxa"/>
          </w:tcPr>
          <w:p w14:paraId="186125C6">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本项目废水污水处理站处理后用于周边农田灌溉，不外排，《制糖工业水污染物排放标准》（GB21909-2008）适用于企业向环境水体的排放行为，故本项目执行</w:t>
            </w:r>
            <w:r>
              <w:rPr>
                <w:rFonts w:hint="default" w:ascii="Times New Roman" w:hAnsi="Times New Roman" w:cs="Times New Roman"/>
                <w:color w:val="auto"/>
                <w:sz w:val="21"/>
                <w:szCs w:val="21"/>
                <w:highlight w:val="none"/>
                <w:lang w:val="en-US" w:eastAsia="zh-CN"/>
              </w:rPr>
              <w:t>《农田灌溉水质标准》（GB5084-2021）</w:t>
            </w:r>
            <w:r>
              <w:rPr>
                <w:rFonts w:hint="eastAsia" w:ascii="Times New Roman" w:hAnsi="Times New Roman" w:cs="Times New Roman"/>
                <w:color w:val="auto"/>
                <w:sz w:val="21"/>
                <w:szCs w:val="21"/>
                <w:highlight w:val="none"/>
                <w:lang w:val="en-US" w:eastAsia="zh-CN"/>
              </w:rPr>
              <w:t>标准。</w:t>
            </w:r>
          </w:p>
        </w:tc>
        <w:tc>
          <w:tcPr>
            <w:tcW w:w="1138" w:type="dxa"/>
            <w:vAlign w:val="center"/>
          </w:tcPr>
          <w:p w14:paraId="13C386EA">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P37</w:t>
            </w:r>
          </w:p>
        </w:tc>
      </w:tr>
      <w:tr w14:paraId="431C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shd w:val="clear" w:color="auto" w:fill="auto"/>
            <w:vAlign w:val="top"/>
          </w:tcPr>
          <w:p w14:paraId="25B8D9EB">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70FD32A0">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明确项目附近农田可灌溉的实际租用的面积及其与本项目的位置关系，并补充租赁协议，灌溉可行性分析补充废灌溉期的储存量、补充灌溉方式（运输/沟渠管道输送）；</w:t>
            </w:r>
          </w:p>
        </w:tc>
        <w:tc>
          <w:tcPr>
            <w:tcW w:w="3967" w:type="dxa"/>
          </w:tcPr>
          <w:p w14:paraId="7474F434">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已明确已签订的废水灌溉农田面积及其与本项目的位置关系，已补充废水灌溉农田协议，设置45m</w:t>
            </w:r>
            <w:r>
              <w:rPr>
                <w:rFonts w:hint="eastAsia" w:ascii="Times New Roman" w:hAnsi="Times New Roman" w:cs="Times New Roman"/>
                <w:color w:val="auto"/>
                <w:sz w:val="21"/>
                <w:szCs w:val="21"/>
                <w:highlight w:val="none"/>
                <w:vertAlign w:val="superscript"/>
                <w:lang w:val="en-US" w:eastAsia="zh-CN"/>
              </w:rPr>
              <w:t>3</w:t>
            </w:r>
            <w:r>
              <w:rPr>
                <w:rFonts w:hint="eastAsia" w:ascii="Times New Roman" w:hAnsi="Times New Roman" w:cs="Times New Roman"/>
                <w:color w:val="auto"/>
                <w:sz w:val="21"/>
                <w:szCs w:val="21"/>
                <w:highlight w:val="none"/>
                <w:lang w:val="en-US" w:eastAsia="zh-CN"/>
              </w:rPr>
              <w:t>的废水暂存池，灌溉水采用管道输送；</w:t>
            </w:r>
          </w:p>
        </w:tc>
        <w:tc>
          <w:tcPr>
            <w:tcW w:w="1138" w:type="dxa"/>
            <w:vAlign w:val="center"/>
          </w:tcPr>
          <w:p w14:paraId="0BB3DB7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P52</w:t>
            </w:r>
          </w:p>
        </w:tc>
      </w:tr>
      <w:tr w14:paraId="551A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shd w:val="clear" w:color="auto" w:fill="auto"/>
            <w:vAlign w:val="top"/>
          </w:tcPr>
          <w:p w14:paraId="33755A6A">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798BBDDC">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补充施工期土石方量及水土流失防治措施；等。</w:t>
            </w:r>
          </w:p>
        </w:tc>
        <w:tc>
          <w:tcPr>
            <w:tcW w:w="3967" w:type="dxa"/>
          </w:tcPr>
          <w:p w14:paraId="371D4D17">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已补充施工期废弃土石方及水土流失防治措施；</w:t>
            </w:r>
          </w:p>
        </w:tc>
        <w:tc>
          <w:tcPr>
            <w:tcW w:w="1138" w:type="dxa"/>
            <w:vAlign w:val="center"/>
          </w:tcPr>
          <w:p w14:paraId="014A0F66">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P42-43</w:t>
            </w:r>
          </w:p>
        </w:tc>
      </w:tr>
      <w:tr w14:paraId="3338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75" w:type="dxa"/>
            <w:vMerge w:val="restart"/>
          </w:tcPr>
          <w:p w14:paraId="1F6ABA7D">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3、</w:t>
            </w:r>
          </w:p>
        </w:tc>
        <w:tc>
          <w:tcPr>
            <w:tcW w:w="4858" w:type="dxa"/>
          </w:tcPr>
          <w:p w14:paraId="3559B9EB">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核实执行《环境空气质量标准》(GB3095-2026)“二级标准”更新为“过渡阶段”且该新标准无修改单中，核实《建筑施工场界环境噪声排放标准》（GB12523-2011）并更新为《建筑施工噪声排放标准》（GB 12523-2025），</w:t>
            </w:r>
          </w:p>
        </w:tc>
        <w:tc>
          <w:tcPr>
            <w:tcW w:w="3967" w:type="dxa"/>
          </w:tcPr>
          <w:p w14:paraId="634066C9">
            <w:pPr>
              <w:spacing w:line="440" w:lineRule="exact"/>
              <w:jc w:val="both"/>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已修改完善，执行《环境空气质量标准》</w:t>
            </w:r>
          </w:p>
          <w:p w14:paraId="47D53D23">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（GB3095-2026）中过渡阶段浓度限值二级标准，已修改为</w:t>
            </w:r>
            <w:r>
              <w:rPr>
                <w:rFonts w:hint="default" w:ascii="Times New Roman" w:hAnsi="Times New Roman" w:cs="Times New Roman"/>
                <w:color w:val="auto"/>
                <w:sz w:val="21"/>
                <w:szCs w:val="21"/>
                <w:highlight w:val="none"/>
                <w:lang w:val="en-US" w:eastAsia="zh-CN"/>
              </w:rPr>
              <w:t>《建筑施工噪声排放标准》（GB 12523-2025）</w:t>
            </w:r>
            <w:r>
              <w:rPr>
                <w:rFonts w:hint="eastAsia" w:ascii="Times New Roman" w:hAnsi="Times New Roman" w:cs="Times New Roman"/>
                <w:color w:val="auto"/>
                <w:sz w:val="21"/>
                <w:szCs w:val="21"/>
                <w:highlight w:val="none"/>
                <w:lang w:val="en-US" w:eastAsia="zh-CN"/>
              </w:rPr>
              <w:t>，</w:t>
            </w:r>
          </w:p>
        </w:tc>
        <w:tc>
          <w:tcPr>
            <w:tcW w:w="1138" w:type="dxa"/>
            <w:vAlign w:val="center"/>
          </w:tcPr>
          <w:p w14:paraId="31EA6C59">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P35、P41-42</w:t>
            </w:r>
          </w:p>
        </w:tc>
      </w:tr>
      <w:tr w14:paraId="4311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1B643EAC">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0393EF62">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核实“《乐平市国民经济和社会发展第十四个五年规划和二〇三五年远景目标纲要》”并更新为乐平市国民经济和社会发展第十五个五年规划中的茅蔗糖内容，</w:t>
            </w:r>
          </w:p>
        </w:tc>
        <w:tc>
          <w:tcPr>
            <w:tcW w:w="3967" w:type="dxa"/>
          </w:tcPr>
          <w:p w14:paraId="2F4A3BD3">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w:t>
            </w:r>
            <w:r>
              <w:rPr>
                <w:rFonts w:hint="default" w:ascii="Times New Roman" w:hAnsi="Times New Roman" w:cs="Times New Roman"/>
                <w:color w:val="auto"/>
                <w:sz w:val="21"/>
                <w:szCs w:val="21"/>
                <w:highlight w:val="none"/>
                <w:lang w:val="en-US" w:eastAsia="zh-CN"/>
              </w:rPr>
              <w:t>《乐平市国民经济和社会发展第十四个五年规划和二〇三五年远景目标纲要》</w:t>
            </w:r>
            <w:r>
              <w:rPr>
                <w:rFonts w:hint="eastAsia" w:ascii="Times New Roman" w:hAnsi="Times New Roman" w:cs="Times New Roman"/>
                <w:color w:val="auto"/>
                <w:sz w:val="21"/>
                <w:szCs w:val="21"/>
                <w:highlight w:val="none"/>
                <w:lang w:val="en-US" w:eastAsia="zh-CN"/>
              </w:rPr>
              <w:t>内容，“乐平市国民经济和社会发展第十五个五年规划”暂未发布；</w:t>
            </w:r>
          </w:p>
        </w:tc>
        <w:tc>
          <w:tcPr>
            <w:tcW w:w="1138" w:type="dxa"/>
            <w:vAlign w:val="center"/>
          </w:tcPr>
          <w:p w14:paraId="05760CF7">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P24</w:t>
            </w:r>
          </w:p>
        </w:tc>
      </w:tr>
      <w:tr w14:paraId="3840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75" w:type="dxa"/>
            <w:vMerge w:val="continue"/>
          </w:tcPr>
          <w:p w14:paraId="345CAEA6">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4381FB4D">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《制定地方大气污染物排放标准的技术方法》（GB/T3840-91）已废止应删除，（GB/T39499 -2020）本身就含无组织排放卫生防护距离计算公式；</w:t>
            </w:r>
          </w:p>
        </w:tc>
        <w:tc>
          <w:tcPr>
            <w:tcW w:w="3967" w:type="dxa"/>
          </w:tcPr>
          <w:p w14:paraId="32AAF541">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已删除</w:t>
            </w:r>
            <w:r>
              <w:rPr>
                <w:rFonts w:hint="default" w:ascii="Times New Roman" w:hAnsi="Times New Roman" w:cs="Times New Roman"/>
                <w:color w:val="auto"/>
                <w:sz w:val="21"/>
                <w:szCs w:val="21"/>
                <w:highlight w:val="none"/>
                <w:lang w:val="en-US" w:eastAsia="zh-CN"/>
              </w:rPr>
              <w:t>《制定地方大气污染物排放标准的技术方法》（GB/T3840-91）</w:t>
            </w:r>
            <w:r>
              <w:rPr>
                <w:rFonts w:hint="eastAsia" w:ascii="Times New Roman" w:hAnsi="Times New Roman" w:cs="Times New Roman"/>
                <w:color w:val="auto"/>
                <w:sz w:val="21"/>
                <w:szCs w:val="21"/>
                <w:highlight w:val="none"/>
                <w:lang w:val="en-US" w:eastAsia="zh-CN"/>
              </w:rPr>
              <w:t>；</w:t>
            </w:r>
          </w:p>
        </w:tc>
        <w:tc>
          <w:tcPr>
            <w:tcW w:w="1138" w:type="dxa"/>
            <w:vAlign w:val="center"/>
          </w:tcPr>
          <w:p w14:paraId="03C83C5C">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P48</w:t>
            </w:r>
          </w:p>
        </w:tc>
      </w:tr>
      <w:tr w14:paraId="3891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75" w:type="dxa"/>
            <w:vMerge w:val="continue"/>
          </w:tcPr>
          <w:p w14:paraId="7ABDDF25">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26F76F5D">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核实本项目运营期执行《工业企业厂界环境噪声排放标准》(GB12348-2008)3 类标准的合理性；</w:t>
            </w:r>
          </w:p>
        </w:tc>
        <w:tc>
          <w:tcPr>
            <w:tcW w:w="3967" w:type="dxa"/>
          </w:tcPr>
          <w:p w14:paraId="547C35E0">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已修改为</w:t>
            </w:r>
            <w:r>
              <w:rPr>
                <w:rFonts w:hint="default" w:ascii="Times New Roman" w:hAnsi="Times New Roman" w:cs="Times New Roman"/>
                <w:color w:val="auto"/>
                <w:sz w:val="21"/>
                <w:szCs w:val="21"/>
                <w:highlight w:val="none"/>
                <w:lang w:val="en-US" w:eastAsia="zh-CN"/>
              </w:rPr>
              <w:t>《工业企业厂界环境噪声排放标准》(GB12348-2008)</w:t>
            </w:r>
            <w:r>
              <w:rPr>
                <w:rFonts w:hint="eastAsia" w:ascii="Times New Roman" w:hAnsi="Times New Roman" w:cs="Times New Roman"/>
                <w:color w:val="auto"/>
                <w:sz w:val="21"/>
                <w:szCs w:val="21"/>
                <w:highlight w:val="none"/>
                <w:lang w:val="en-US" w:eastAsia="zh-CN"/>
              </w:rPr>
              <w:t>2</w:t>
            </w:r>
            <w:r>
              <w:rPr>
                <w:rFonts w:hint="default" w:ascii="Times New Roman" w:hAnsi="Times New Roman" w:cs="Times New Roman"/>
                <w:color w:val="auto"/>
                <w:sz w:val="21"/>
                <w:szCs w:val="21"/>
                <w:highlight w:val="none"/>
                <w:lang w:val="en-US" w:eastAsia="zh-CN"/>
              </w:rPr>
              <w:t xml:space="preserve"> 类标准</w:t>
            </w:r>
          </w:p>
        </w:tc>
        <w:tc>
          <w:tcPr>
            <w:tcW w:w="1138" w:type="dxa"/>
            <w:vAlign w:val="center"/>
          </w:tcPr>
          <w:p w14:paraId="0253E1B6">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P38</w:t>
            </w:r>
          </w:p>
        </w:tc>
      </w:tr>
      <w:tr w14:paraId="1E2F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4012C5DB">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712B518E">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核实厂区卫生防护距离的面源面积（表 4-13 和表4-14 中的 43158.88 m2）；</w:t>
            </w:r>
          </w:p>
        </w:tc>
        <w:tc>
          <w:tcPr>
            <w:tcW w:w="3967" w:type="dxa"/>
          </w:tcPr>
          <w:p w14:paraId="1F46A50D">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已核实修改，面源面积已修改为污水处理站边界面积；</w:t>
            </w:r>
          </w:p>
        </w:tc>
        <w:tc>
          <w:tcPr>
            <w:tcW w:w="1138" w:type="dxa"/>
            <w:vAlign w:val="center"/>
          </w:tcPr>
          <w:p w14:paraId="60A226CD">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P49</w:t>
            </w:r>
          </w:p>
        </w:tc>
      </w:tr>
      <w:tr w14:paraId="1B1D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4C0C257B">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79E2C5D9">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核实一般固废间的面积（50m2 /30 m2）；</w:t>
            </w:r>
          </w:p>
        </w:tc>
        <w:tc>
          <w:tcPr>
            <w:tcW w:w="3967" w:type="dxa"/>
          </w:tcPr>
          <w:p w14:paraId="6BBD8756">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已核实修改一般固废间面积（50m2）</w:t>
            </w:r>
          </w:p>
        </w:tc>
        <w:tc>
          <w:tcPr>
            <w:tcW w:w="1138" w:type="dxa"/>
            <w:vAlign w:val="center"/>
          </w:tcPr>
          <w:p w14:paraId="2C6EC316">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P69</w:t>
            </w:r>
          </w:p>
        </w:tc>
      </w:tr>
      <w:tr w14:paraId="1B83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75" w:type="dxa"/>
            <w:vMerge w:val="continue"/>
          </w:tcPr>
          <w:p w14:paraId="542D1578">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5253D6A7">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P20 根据茅蔗清洗用水量为 0.5m3 /t·原料系数，核实茅蔗清洗用水量为 35.71m3 /d（4285m3/a）、年更换量为 428.52m3 /a、新鲜水补充量为 3.571m3 /d（428.52m3 /a）及蒸发损耗的新鲜水补充量为 0.714m3 /d（85.7m3 /a），对应重新计算各自排放量和水平衡图表；</w:t>
            </w:r>
          </w:p>
        </w:tc>
        <w:tc>
          <w:tcPr>
            <w:tcW w:w="3967" w:type="dxa"/>
          </w:tcPr>
          <w:p w14:paraId="70E4942D">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已核实完善，茅蔗清洗用水量为0.5m3/t·原料，项目原料用量约8570吨，已完善各废水排放量和水平衡图表；</w:t>
            </w:r>
          </w:p>
        </w:tc>
        <w:tc>
          <w:tcPr>
            <w:tcW w:w="1138" w:type="dxa"/>
            <w:vAlign w:val="center"/>
          </w:tcPr>
          <w:p w14:paraId="353C0D3E">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P29-30</w:t>
            </w:r>
          </w:p>
        </w:tc>
      </w:tr>
      <w:tr w14:paraId="3B61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75" w:type="dxa"/>
            <w:vMerge w:val="continue"/>
          </w:tcPr>
          <w:p w14:paraId="4E685C37">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1FDB0340">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核实熬糖锅 10 口与“连环锅系统由 5-18 口铁锅串联排列（常见“五口锅”或“十八连环锅”）” 数量或名称的匹配一致性；</w:t>
            </w:r>
          </w:p>
        </w:tc>
        <w:tc>
          <w:tcPr>
            <w:tcW w:w="3967" w:type="dxa"/>
          </w:tcPr>
          <w:p w14:paraId="00FE91C9">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已核实修改，连环锅系统由10口铁锅串联排列；</w:t>
            </w:r>
          </w:p>
        </w:tc>
        <w:tc>
          <w:tcPr>
            <w:tcW w:w="1138" w:type="dxa"/>
            <w:vAlign w:val="center"/>
          </w:tcPr>
          <w:p w14:paraId="51B54377">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P32</w:t>
            </w:r>
          </w:p>
        </w:tc>
      </w:tr>
      <w:tr w14:paraId="288D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4A642F4B">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31609186">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 P41 生活污水及食堂废水各指标浓度的来源依据，重新其各自产排量；</w:t>
            </w:r>
          </w:p>
        </w:tc>
        <w:tc>
          <w:tcPr>
            <w:tcW w:w="3967" w:type="dxa"/>
          </w:tcPr>
          <w:p w14:paraId="6EA8A8DA">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w:t>
            </w:r>
            <w:r>
              <w:rPr>
                <w:rFonts w:hint="default" w:ascii="Times New Roman" w:hAnsi="Times New Roman" w:cs="Times New Roman"/>
                <w:color w:val="auto"/>
                <w:sz w:val="21"/>
                <w:szCs w:val="21"/>
                <w:highlight w:val="none"/>
                <w:lang w:val="en-US" w:eastAsia="zh-CN"/>
              </w:rPr>
              <w:t>生活污水及食堂废水各指标浓度</w:t>
            </w:r>
            <w:r>
              <w:rPr>
                <w:rFonts w:hint="eastAsia" w:ascii="Times New Roman" w:hAnsi="Times New Roman" w:cs="Times New Roman"/>
                <w:color w:val="auto"/>
                <w:sz w:val="21"/>
                <w:szCs w:val="21"/>
                <w:highlight w:val="none"/>
                <w:lang w:val="en-US" w:eastAsia="zh-CN"/>
              </w:rPr>
              <w:t>来源依据，已修改完善各自产排量；</w:t>
            </w:r>
          </w:p>
        </w:tc>
        <w:tc>
          <w:tcPr>
            <w:tcW w:w="1138" w:type="dxa"/>
            <w:vAlign w:val="center"/>
          </w:tcPr>
          <w:p w14:paraId="471E812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P51</w:t>
            </w:r>
          </w:p>
        </w:tc>
      </w:tr>
      <w:tr w14:paraId="4498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404E6315">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66475B11">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核实表 4-14 中废机油及废机油桶的形态；</w:t>
            </w:r>
          </w:p>
        </w:tc>
        <w:tc>
          <w:tcPr>
            <w:tcW w:w="3967" w:type="dxa"/>
          </w:tcPr>
          <w:p w14:paraId="56FE98CB">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已核实修改废机油</w:t>
            </w:r>
            <w:r>
              <w:rPr>
                <w:rFonts w:hint="default" w:ascii="Times New Roman" w:hAnsi="Times New Roman" w:cs="Times New Roman"/>
                <w:color w:val="auto"/>
                <w:sz w:val="21"/>
                <w:szCs w:val="21"/>
                <w:highlight w:val="none"/>
                <w:lang w:val="en-US" w:eastAsia="zh-CN"/>
              </w:rPr>
              <w:t>及废机油桶的形态</w:t>
            </w:r>
            <w:r>
              <w:rPr>
                <w:rFonts w:hint="eastAsia" w:ascii="Times New Roman" w:hAnsi="Times New Roman" w:cs="Times New Roman"/>
                <w:color w:val="auto"/>
                <w:sz w:val="21"/>
                <w:szCs w:val="21"/>
                <w:highlight w:val="none"/>
                <w:lang w:val="en-US" w:eastAsia="zh-CN"/>
              </w:rPr>
              <w:t>；</w:t>
            </w:r>
          </w:p>
        </w:tc>
        <w:tc>
          <w:tcPr>
            <w:tcW w:w="1138" w:type="dxa"/>
            <w:vAlign w:val="center"/>
          </w:tcPr>
          <w:p w14:paraId="1AA57D33">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P58</w:t>
            </w:r>
          </w:p>
        </w:tc>
      </w:tr>
      <w:tr w14:paraId="09AE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431DC049">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0B24F3D5">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《固体废物污染环境防治法》应为全称；</w:t>
            </w:r>
          </w:p>
        </w:tc>
        <w:tc>
          <w:tcPr>
            <w:tcW w:w="3967" w:type="dxa"/>
          </w:tcPr>
          <w:p w14:paraId="0EA0DC02">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已修改为《中华人民共和国固体废物污染环境防治法》；</w:t>
            </w:r>
          </w:p>
        </w:tc>
        <w:tc>
          <w:tcPr>
            <w:tcW w:w="1138" w:type="dxa"/>
            <w:vAlign w:val="center"/>
          </w:tcPr>
          <w:p w14:paraId="641B93B9">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P60</w:t>
            </w:r>
          </w:p>
        </w:tc>
      </w:tr>
      <w:tr w14:paraId="4B4F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3D3F4808">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354C86DF">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核实“在危废储存区内配备火花自动检测装置”现实可行性；</w:t>
            </w:r>
          </w:p>
        </w:tc>
        <w:tc>
          <w:tcPr>
            <w:tcW w:w="3967" w:type="dxa"/>
          </w:tcPr>
          <w:p w14:paraId="75220ECD">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已修改完善，在危废储存区内配备灭火系统；</w:t>
            </w:r>
          </w:p>
        </w:tc>
        <w:tc>
          <w:tcPr>
            <w:tcW w:w="1138" w:type="dxa"/>
            <w:vAlign w:val="center"/>
          </w:tcPr>
          <w:p w14:paraId="529759C0">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P63</w:t>
            </w:r>
          </w:p>
        </w:tc>
      </w:tr>
      <w:tr w14:paraId="0D10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2CF68656">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2563E88F">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核实备案文件本项目占地面积 101 亩与乐平市自然资源和规划局(赣（2026）第 0003068 号)核准的宗地面积 43148.88m2的一致性等。</w:t>
            </w:r>
          </w:p>
        </w:tc>
        <w:tc>
          <w:tcPr>
            <w:tcW w:w="3967" w:type="dxa"/>
          </w:tcPr>
          <w:p w14:paraId="69C357AF">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已核实，项目厂区</w:t>
            </w:r>
            <w:r>
              <w:rPr>
                <w:rFonts w:hint="default" w:ascii="Times New Roman" w:hAnsi="Times New Roman" w:cs="Times New Roman"/>
                <w:color w:val="auto"/>
                <w:sz w:val="21"/>
                <w:szCs w:val="21"/>
                <w:highlight w:val="none"/>
                <w:lang w:val="en-US" w:eastAsia="zh-CN"/>
              </w:rPr>
              <w:t>是荒山，要修路过去才能到达，之前是乡村小路，项目本身作为乡村振兴产业，帮人家做好了路，但是路不可能也办证办</w:t>
            </w:r>
            <w:r>
              <w:rPr>
                <w:rFonts w:hint="eastAsia" w:ascii="Times New Roman" w:hAnsi="Times New Roman" w:cs="Times New Roman"/>
                <w:color w:val="auto"/>
                <w:sz w:val="21"/>
                <w:szCs w:val="21"/>
                <w:highlight w:val="none"/>
                <w:lang w:val="en-US" w:eastAsia="zh-CN"/>
              </w:rPr>
              <w:t>厂区的土地证</w:t>
            </w:r>
            <w:r>
              <w:rPr>
                <w:rFonts w:hint="default" w:ascii="Times New Roman" w:hAnsi="Times New Roman" w:cs="Times New Roman"/>
                <w:color w:val="auto"/>
                <w:sz w:val="21"/>
                <w:szCs w:val="21"/>
                <w:highlight w:val="none"/>
                <w:lang w:val="en-US" w:eastAsia="zh-CN"/>
              </w:rPr>
              <w:t>里去，</w:t>
            </w:r>
            <w:r>
              <w:rPr>
                <w:rFonts w:hint="eastAsia" w:ascii="Times New Roman" w:hAnsi="Times New Roman" w:cs="Times New Roman"/>
                <w:color w:val="auto"/>
                <w:sz w:val="21"/>
                <w:szCs w:val="21"/>
                <w:highlight w:val="none"/>
                <w:lang w:val="en-US" w:eastAsia="zh-CN"/>
              </w:rPr>
              <w:t>所以备案文件中的101亩用地是包含了要修的道路的面积，土地证的面积只是项目厂区的面积。</w:t>
            </w:r>
          </w:p>
        </w:tc>
        <w:tc>
          <w:tcPr>
            <w:tcW w:w="1138" w:type="dxa"/>
            <w:vAlign w:val="center"/>
          </w:tcPr>
          <w:p w14:paraId="7EE8D9C4">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r>
      <w:tr w14:paraId="7486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restart"/>
          </w:tcPr>
          <w:p w14:paraId="144BA10E">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4、</w:t>
            </w:r>
          </w:p>
        </w:tc>
        <w:tc>
          <w:tcPr>
            <w:tcW w:w="4858" w:type="dxa"/>
          </w:tcPr>
          <w:p w14:paraId="70A5B5C6">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表 2-4 主要原辅材料及能源消耗一览表补充除臭剂的用量和理化性质，</w:t>
            </w:r>
          </w:p>
        </w:tc>
        <w:tc>
          <w:tcPr>
            <w:tcW w:w="3967" w:type="dxa"/>
          </w:tcPr>
          <w:p w14:paraId="69BE4671">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已补充除臭剂用量及理化性质，</w:t>
            </w:r>
          </w:p>
        </w:tc>
        <w:tc>
          <w:tcPr>
            <w:tcW w:w="1138" w:type="dxa"/>
            <w:vAlign w:val="center"/>
          </w:tcPr>
          <w:p w14:paraId="3919250C">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P28</w:t>
            </w:r>
          </w:p>
        </w:tc>
      </w:tr>
      <w:tr w14:paraId="0582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7FAA306A">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50AF05BF">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表2-3项目主要设备一览表补充鼓式清洗机、卧式切蔗机、弧形曲筛、离心筛、模具、特制糖刀等；</w:t>
            </w:r>
          </w:p>
        </w:tc>
        <w:tc>
          <w:tcPr>
            <w:tcW w:w="3967" w:type="dxa"/>
          </w:tcPr>
          <w:p w14:paraId="0E1C7088">
            <w:pPr>
              <w:spacing w:line="440" w:lineRule="exact"/>
              <w:jc w:val="both"/>
              <w:rPr>
                <w:rFonts w:hint="default" w:ascii="Times New Roman" w:hAnsi="Times New Roman" w:cs="Times New Roman" w:eastAsiaTheme="minorEastAsia"/>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已完善设备清单，</w:t>
            </w:r>
            <w:r>
              <w:rPr>
                <w:rFonts w:hint="default" w:ascii="Times New Roman" w:hAnsi="Times New Roman" w:cs="Times New Roman"/>
                <w:color w:val="auto"/>
                <w:sz w:val="21"/>
                <w:szCs w:val="21"/>
                <w:highlight w:val="none"/>
                <w:lang w:val="en-US" w:eastAsia="zh-CN"/>
              </w:rPr>
              <w:t>弧形曲筛、离心筛</w:t>
            </w:r>
            <w:r>
              <w:rPr>
                <w:rFonts w:hint="eastAsia" w:ascii="Times New Roman" w:hAnsi="Times New Roman" w:cs="Times New Roman"/>
                <w:color w:val="auto"/>
                <w:sz w:val="21"/>
                <w:szCs w:val="21"/>
                <w:highlight w:val="none"/>
                <w:lang w:val="en-US" w:eastAsia="zh-CN"/>
              </w:rPr>
              <w:t>属于</w:t>
            </w:r>
            <w:r>
              <w:rPr>
                <w:color w:val="auto"/>
                <w:kern w:val="0"/>
                <w:sz w:val="21"/>
                <w:szCs w:val="21"/>
                <w:highlight w:val="none"/>
              </w:rPr>
              <w:t>蔗汁过滤机</w:t>
            </w:r>
            <w:r>
              <w:rPr>
                <w:rFonts w:hint="eastAsia"/>
                <w:color w:val="auto"/>
                <w:kern w:val="0"/>
                <w:sz w:val="21"/>
                <w:szCs w:val="21"/>
                <w:highlight w:val="none"/>
                <w:lang w:val="en-US" w:eastAsia="zh-CN"/>
              </w:rPr>
              <w:t>设备的部件，未单独列出；</w:t>
            </w:r>
          </w:p>
        </w:tc>
        <w:tc>
          <w:tcPr>
            <w:tcW w:w="1138" w:type="dxa"/>
            <w:vAlign w:val="center"/>
          </w:tcPr>
          <w:p w14:paraId="283979DA">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P26-27</w:t>
            </w:r>
          </w:p>
        </w:tc>
      </w:tr>
      <w:tr w14:paraId="71EA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5A23EF31">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1ECF1BF6">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补充主要设备与产能匹配性分析；</w:t>
            </w:r>
          </w:p>
        </w:tc>
        <w:tc>
          <w:tcPr>
            <w:tcW w:w="3967" w:type="dxa"/>
          </w:tcPr>
          <w:p w14:paraId="5D8CE500">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已补充主要设备与产能匹配性分析；</w:t>
            </w:r>
          </w:p>
        </w:tc>
        <w:tc>
          <w:tcPr>
            <w:tcW w:w="1138" w:type="dxa"/>
            <w:vAlign w:val="center"/>
          </w:tcPr>
          <w:p w14:paraId="779F4A80">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P27</w:t>
            </w:r>
          </w:p>
        </w:tc>
      </w:tr>
      <w:tr w14:paraId="4DE6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Merge w:val="continue"/>
          </w:tcPr>
          <w:p w14:paraId="1ED17898">
            <w:pPr>
              <w:spacing w:line="440" w:lineRule="exact"/>
              <w:jc w:val="both"/>
              <w:rPr>
                <w:rFonts w:hint="default" w:ascii="Times New Roman" w:hAnsi="Times New Roman" w:cs="Times New Roman"/>
                <w:color w:val="auto"/>
                <w:sz w:val="21"/>
                <w:szCs w:val="21"/>
                <w:highlight w:val="none"/>
                <w:lang w:val="en-US" w:eastAsia="zh-CN"/>
              </w:rPr>
            </w:pPr>
          </w:p>
        </w:tc>
        <w:tc>
          <w:tcPr>
            <w:tcW w:w="4858" w:type="dxa"/>
          </w:tcPr>
          <w:p w14:paraId="5B7AA507">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补充收购的茅蔗原料入厂含水率、含糖份、重量、成熟度、颜色等质量品味或预处理（削皮或清洗泥沙等）要求，不合格（有病虫害或近似腐烂）等的去向要求等；</w:t>
            </w:r>
          </w:p>
        </w:tc>
        <w:tc>
          <w:tcPr>
            <w:tcW w:w="3967" w:type="dxa"/>
          </w:tcPr>
          <w:p w14:paraId="1E59A510">
            <w:pPr>
              <w:spacing w:line="440" w:lineRule="exact"/>
              <w:jc w:val="both"/>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已补充收购的茅蔗原料质量要求，不合格原料返回供应方；</w:t>
            </w:r>
          </w:p>
        </w:tc>
        <w:tc>
          <w:tcPr>
            <w:tcW w:w="1138" w:type="dxa"/>
            <w:vAlign w:val="center"/>
          </w:tcPr>
          <w:p w14:paraId="39573EE8">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P28</w:t>
            </w:r>
          </w:p>
        </w:tc>
      </w:tr>
      <w:tr w14:paraId="101F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75" w:type="dxa"/>
            <w:vMerge w:val="restart"/>
            <w:vAlign w:val="top"/>
          </w:tcPr>
          <w:p w14:paraId="33D84827">
            <w:pPr>
              <w:spacing w:line="440" w:lineRule="exact"/>
              <w:jc w:val="both"/>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5、</w:t>
            </w:r>
          </w:p>
        </w:tc>
        <w:tc>
          <w:tcPr>
            <w:tcW w:w="4858" w:type="dxa"/>
          </w:tcPr>
          <w:p w14:paraId="44450CB1">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补充清洗环节去除泥土、砂石和杂物的产生量及其去向，清洗时长和清洗频次；</w:t>
            </w:r>
          </w:p>
        </w:tc>
        <w:tc>
          <w:tcPr>
            <w:tcW w:w="3967" w:type="dxa"/>
          </w:tcPr>
          <w:p w14:paraId="496A47FB">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清洗的泥土、沙石进入清洗废水并进入污水处理站处理，最终进入污水处理站污泥，已补充清洗时长</w:t>
            </w:r>
            <w:r>
              <w:rPr>
                <w:rFonts w:hint="default" w:ascii="Times New Roman" w:hAnsi="Times New Roman" w:cs="Times New Roman"/>
                <w:color w:val="auto"/>
                <w:sz w:val="21"/>
                <w:szCs w:val="21"/>
                <w:highlight w:val="none"/>
                <w:lang w:val="en-US" w:eastAsia="zh-CN"/>
              </w:rPr>
              <w:t>和清洗频次</w:t>
            </w:r>
            <w:r>
              <w:rPr>
                <w:rFonts w:hint="eastAsia" w:ascii="Times New Roman" w:hAnsi="Times New Roman" w:cs="Times New Roman"/>
                <w:color w:val="auto"/>
                <w:sz w:val="21"/>
                <w:szCs w:val="21"/>
                <w:highlight w:val="none"/>
                <w:lang w:val="en-US" w:eastAsia="zh-CN"/>
              </w:rPr>
              <w:t>；</w:t>
            </w:r>
          </w:p>
        </w:tc>
        <w:tc>
          <w:tcPr>
            <w:tcW w:w="1138" w:type="dxa"/>
            <w:vAlign w:val="center"/>
          </w:tcPr>
          <w:p w14:paraId="0386B5D1">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P31</w:t>
            </w:r>
          </w:p>
        </w:tc>
      </w:tr>
      <w:tr w14:paraId="10DED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75" w:type="dxa"/>
            <w:vMerge w:val="continue"/>
            <w:vAlign w:val="top"/>
          </w:tcPr>
          <w:p w14:paraId="44ECC201">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4781269A">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补充榨汁时长和每批次的榨汁量、入模定型时长；</w:t>
            </w:r>
          </w:p>
        </w:tc>
        <w:tc>
          <w:tcPr>
            <w:tcW w:w="3967" w:type="dxa"/>
          </w:tcPr>
          <w:p w14:paraId="03172D27">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已补充，榨汁单次时长为8～10分钟，每批次处理鲜茅蔗约1.5吨，入模定型时长为35～40分钟；</w:t>
            </w:r>
          </w:p>
        </w:tc>
        <w:tc>
          <w:tcPr>
            <w:tcW w:w="1138" w:type="dxa"/>
            <w:vAlign w:val="center"/>
          </w:tcPr>
          <w:p w14:paraId="3B633749">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P32</w:t>
            </w:r>
          </w:p>
        </w:tc>
      </w:tr>
      <w:tr w14:paraId="0AFE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75" w:type="dxa"/>
            <w:vMerge w:val="continue"/>
            <w:vAlign w:val="top"/>
          </w:tcPr>
          <w:p w14:paraId="04037380">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337F4972">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补充污水处理站污泥外售综合利用的可行性及途径等。</w:t>
            </w:r>
          </w:p>
        </w:tc>
        <w:tc>
          <w:tcPr>
            <w:tcW w:w="3967" w:type="dxa"/>
          </w:tcPr>
          <w:p w14:paraId="4759967A">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已补充污水处理站污泥可进行水泥窑协同处置、用于结块砖制砖、用于烧制陶粒等，均为成熟的污泥综合利用方式。</w:t>
            </w:r>
          </w:p>
        </w:tc>
        <w:tc>
          <w:tcPr>
            <w:tcW w:w="1138" w:type="dxa"/>
            <w:vAlign w:val="center"/>
          </w:tcPr>
          <w:p w14:paraId="1928B8A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P58</w:t>
            </w:r>
          </w:p>
        </w:tc>
      </w:tr>
      <w:tr w14:paraId="7A82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vAlign w:val="top"/>
          </w:tcPr>
          <w:p w14:paraId="779CB9BF">
            <w:pPr>
              <w:spacing w:line="440" w:lineRule="exact"/>
              <w:jc w:val="both"/>
              <w:rPr>
                <w:rFonts w:hint="default" w:ascii="Times New Roman" w:hAnsi="Times New Roman"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6、</w:t>
            </w:r>
          </w:p>
        </w:tc>
        <w:tc>
          <w:tcPr>
            <w:tcW w:w="4858" w:type="dxa"/>
          </w:tcPr>
          <w:p w14:paraId="0ADA68F0">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重新核算各设备噪声源强：根据“表 4-12 项目主要设备噪声源强一览表（室内声源）”中的各机器设备单台噪声源强等效声压级，补充各类型设备各自的总声压级计算，噪声随距离增加而衰减，距室内边界距离/m 应明确各方位，室内边界声级/dB(A) 和建筑外噪声声压级值均应为各方位的声压级值，再根据各类设备各方位总源强数据随距离在室内四方位进行衰减和建筑物插入损失计算，重新计算噪声源强声压级值和表 4-14 厂界处各等效室外声源叠加贡献值计算结果与达标分析表等。</w:t>
            </w:r>
          </w:p>
        </w:tc>
        <w:tc>
          <w:tcPr>
            <w:tcW w:w="3967" w:type="dxa"/>
          </w:tcPr>
          <w:p w14:paraId="439F5FB0">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已重新核算设备噪声源强及厂界处各等效室外声源叠加贡献值计算结果等。</w:t>
            </w:r>
          </w:p>
        </w:tc>
        <w:tc>
          <w:tcPr>
            <w:tcW w:w="1138" w:type="dxa"/>
            <w:vAlign w:val="center"/>
          </w:tcPr>
          <w:p w14:paraId="1825EDBC">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P53-57</w:t>
            </w:r>
          </w:p>
        </w:tc>
      </w:tr>
      <w:tr w14:paraId="670D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restart"/>
            <w:vAlign w:val="top"/>
          </w:tcPr>
          <w:p w14:paraId="10C3025B">
            <w:pPr>
              <w:spacing w:line="440" w:lineRule="exact"/>
              <w:jc w:val="both"/>
              <w:rPr>
                <w:rFonts w:hint="default" w:ascii="Times New Roman" w:hAnsi="Times New Roman"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7、</w:t>
            </w:r>
          </w:p>
        </w:tc>
        <w:tc>
          <w:tcPr>
            <w:tcW w:w="4858" w:type="dxa"/>
          </w:tcPr>
          <w:p w14:paraId="167DE16B">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补充完善附图附件：补充厂区污水管网收集图，附图 2 补充灌溉水田的位置；</w:t>
            </w:r>
          </w:p>
        </w:tc>
        <w:tc>
          <w:tcPr>
            <w:tcW w:w="3967" w:type="dxa"/>
          </w:tcPr>
          <w:p w14:paraId="10D08C03">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已完善附图，附图2已补充灌溉农田位置，已补充项目雨污管网分布图；</w:t>
            </w:r>
          </w:p>
        </w:tc>
        <w:tc>
          <w:tcPr>
            <w:tcW w:w="1138" w:type="dxa"/>
            <w:vAlign w:val="center"/>
          </w:tcPr>
          <w:p w14:paraId="20065A3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附图2、附图5</w:t>
            </w:r>
          </w:p>
        </w:tc>
      </w:tr>
      <w:tr w14:paraId="3CA2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continue"/>
            <w:vAlign w:val="top"/>
          </w:tcPr>
          <w:p w14:paraId="49790CAA">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70B94FC8">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完善总平面布置图（标注消防水池、排气筒的位置等）、补充地表水系图等；</w:t>
            </w:r>
          </w:p>
        </w:tc>
        <w:tc>
          <w:tcPr>
            <w:tcW w:w="3967" w:type="dxa"/>
          </w:tcPr>
          <w:p w14:paraId="29C9743A">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已完善总平面布置图，已标注消防水池、排气筒位置，已补充地表水系图；</w:t>
            </w:r>
          </w:p>
        </w:tc>
        <w:tc>
          <w:tcPr>
            <w:tcW w:w="1138" w:type="dxa"/>
            <w:vAlign w:val="center"/>
          </w:tcPr>
          <w:p w14:paraId="32E60F62">
            <w:pPr>
              <w:spacing w:line="440" w:lineRule="exact"/>
              <w:jc w:val="center"/>
              <w:rPr>
                <w:rFonts w:hint="default" w:ascii="Times New Roman" w:hAnsi="Times New Roman" w:cs="Times New Roman"/>
                <w:color w:val="auto"/>
                <w:sz w:val="21"/>
                <w:szCs w:val="21"/>
                <w:highlight w:val="none"/>
                <w:lang w:val="en-US" w:eastAsia="zh-CN"/>
              </w:rPr>
            </w:pPr>
            <w:bookmarkStart w:id="0" w:name="_GoBack"/>
            <w:r>
              <w:rPr>
                <w:rFonts w:hint="eastAsia" w:ascii="Times New Roman" w:hAnsi="Times New Roman" w:cs="Times New Roman"/>
                <w:color w:val="FF0000"/>
                <w:sz w:val="21"/>
                <w:szCs w:val="21"/>
                <w:highlight w:val="none"/>
                <w:lang w:val="en-US" w:eastAsia="zh-CN"/>
              </w:rPr>
              <w:t>附图3-1</w:t>
            </w:r>
            <w:bookmarkEnd w:id="0"/>
            <w:r>
              <w:rPr>
                <w:rFonts w:hint="eastAsia" w:ascii="Times New Roman" w:hAnsi="Times New Roman" w:cs="Times New Roman"/>
                <w:color w:val="auto"/>
                <w:sz w:val="21"/>
                <w:szCs w:val="21"/>
                <w:highlight w:val="none"/>
                <w:lang w:val="en-US" w:eastAsia="zh-CN"/>
              </w:rPr>
              <w:t>、附图10</w:t>
            </w:r>
          </w:p>
        </w:tc>
      </w:tr>
      <w:tr w14:paraId="288A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5" w:type="dxa"/>
            <w:vMerge w:val="continue"/>
            <w:vAlign w:val="top"/>
          </w:tcPr>
          <w:p w14:paraId="05AD0D50">
            <w:pPr>
              <w:spacing w:line="440" w:lineRule="exact"/>
              <w:jc w:val="both"/>
              <w:rPr>
                <w:rFonts w:hint="default" w:ascii="Times New Roman" w:hAnsi="Times New Roman" w:cs="Times New Roman"/>
                <w:color w:val="auto"/>
                <w:kern w:val="2"/>
                <w:sz w:val="21"/>
                <w:szCs w:val="21"/>
                <w:highlight w:val="none"/>
                <w:lang w:val="en-US" w:eastAsia="zh-CN" w:bidi="ar-SA"/>
              </w:rPr>
            </w:pPr>
          </w:p>
        </w:tc>
        <w:tc>
          <w:tcPr>
            <w:tcW w:w="4858" w:type="dxa"/>
          </w:tcPr>
          <w:p w14:paraId="17FFA0D5">
            <w:pPr>
              <w:spacing w:line="440" w:lineRule="exact"/>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补充未占用林地的证明许可文件、补充租赁灌溉农田协议等。</w:t>
            </w:r>
          </w:p>
        </w:tc>
        <w:tc>
          <w:tcPr>
            <w:tcW w:w="3967" w:type="dxa"/>
          </w:tcPr>
          <w:p w14:paraId="48388314">
            <w:pPr>
              <w:spacing w:line="440" w:lineRule="exact"/>
              <w:jc w:val="both"/>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根据土地证，项目用地性质为工业用地，不涉及林地，已补充农田灌溉协议。</w:t>
            </w:r>
          </w:p>
        </w:tc>
        <w:tc>
          <w:tcPr>
            <w:tcW w:w="1138" w:type="dxa"/>
            <w:vAlign w:val="center"/>
          </w:tcPr>
          <w:p w14:paraId="51A1C72B">
            <w:pPr>
              <w:spacing w:line="440" w:lineRule="exact"/>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附件3、附件6</w:t>
            </w:r>
          </w:p>
        </w:tc>
      </w:tr>
    </w:tbl>
    <w:p w14:paraId="707A92B0">
      <w:pPr>
        <w:jc w:val="both"/>
        <w:rPr>
          <w:rFonts w:asciiTheme="minorEastAsia" w:hAnsiTheme="minorEastAsia" w:cstheme="minorEastAsia"/>
          <w:b/>
          <w:bCs/>
          <w:color w:val="auto"/>
          <w:sz w:val="28"/>
          <w:szCs w:val="36"/>
          <w:highlight w:val="none"/>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OGVmYTAzZDRhMDJiOTRlZWQ5NDZjODkxNDUyZTQifQ=="/>
  </w:docVars>
  <w:rsids>
    <w:rsidRoot w:val="00216085"/>
    <w:rsid w:val="00091E82"/>
    <w:rsid w:val="00163E61"/>
    <w:rsid w:val="001B4EF9"/>
    <w:rsid w:val="00216085"/>
    <w:rsid w:val="00304BA3"/>
    <w:rsid w:val="00377076"/>
    <w:rsid w:val="003D5223"/>
    <w:rsid w:val="00411D74"/>
    <w:rsid w:val="00424128"/>
    <w:rsid w:val="00460E9E"/>
    <w:rsid w:val="0055574E"/>
    <w:rsid w:val="00755DF0"/>
    <w:rsid w:val="008E24F4"/>
    <w:rsid w:val="00A034E4"/>
    <w:rsid w:val="00A67D58"/>
    <w:rsid w:val="00B342F1"/>
    <w:rsid w:val="00B924E4"/>
    <w:rsid w:val="00BF6711"/>
    <w:rsid w:val="00C16B03"/>
    <w:rsid w:val="00D41C7B"/>
    <w:rsid w:val="00F065A6"/>
    <w:rsid w:val="0107283E"/>
    <w:rsid w:val="01082F36"/>
    <w:rsid w:val="011253ED"/>
    <w:rsid w:val="0136320C"/>
    <w:rsid w:val="014B0C08"/>
    <w:rsid w:val="01674150"/>
    <w:rsid w:val="016B772C"/>
    <w:rsid w:val="016C3C7B"/>
    <w:rsid w:val="016F1206"/>
    <w:rsid w:val="017618AE"/>
    <w:rsid w:val="01A83822"/>
    <w:rsid w:val="01AC11EC"/>
    <w:rsid w:val="01B5050A"/>
    <w:rsid w:val="01D31B84"/>
    <w:rsid w:val="01D41F8E"/>
    <w:rsid w:val="01D46B46"/>
    <w:rsid w:val="01D52F59"/>
    <w:rsid w:val="01F93DCE"/>
    <w:rsid w:val="022220DD"/>
    <w:rsid w:val="022E26FA"/>
    <w:rsid w:val="02341997"/>
    <w:rsid w:val="023E69B3"/>
    <w:rsid w:val="024C2B81"/>
    <w:rsid w:val="02522972"/>
    <w:rsid w:val="0261655A"/>
    <w:rsid w:val="02756C62"/>
    <w:rsid w:val="027A7612"/>
    <w:rsid w:val="028642E4"/>
    <w:rsid w:val="02BF2514"/>
    <w:rsid w:val="02D247A8"/>
    <w:rsid w:val="02E910F0"/>
    <w:rsid w:val="030B2A3C"/>
    <w:rsid w:val="031645FE"/>
    <w:rsid w:val="0323668E"/>
    <w:rsid w:val="034B79A0"/>
    <w:rsid w:val="03526967"/>
    <w:rsid w:val="036C3FC7"/>
    <w:rsid w:val="036F2FCB"/>
    <w:rsid w:val="038D0151"/>
    <w:rsid w:val="038E12EC"/>
    <w:rsid w:val="03984306"/>
    <w:rsid w:val="03CB0BC1"/>
    <w:rsid w:val="03E90388"/>
    <w:rsid w:val="03FF0E4A"/>
    <w:rsid w:val="04092ED3"/>
    <w:rsid w:val="0417480B"/>
    <w:rsid w:val="041D1ABE"/>
    <w:rsid w:val="042B22FA"/>
    <w:rsid w:val="0447162C"/>
    <w:rsid w:val="046E6095"/>
    <w:rsid w:val="047D09EA"/>
    <w:rsid w:val="047D675D"/>
    <w:rsid w:val="0480664C"/>
    <w:rsid w:val="04873C79"/>
    <w:rsid w:val="04952722"/>
    <w:rsid w:val="049D55FD"/>
    <w:rsid w:val="04A627F0"/>
    <w:rsid w:val="04B37BF0"/>
    <w:rsid w:val="04B862AB"/>
    <w:rsid w:val="04CE0686"/>
    <w:rsid w:val="050046C8"/>
    <w:rsid w:val="050A4C6D"/>
    <w:rsid w:val="051345C3"/>
    <w:rsid w:val="05176AAF"/>
    <w:rsid w:val="051D6FDB"/>
    <w:rsid w:val="053C5F29"/>
    <w:rsid w:val="05404510"/>
    <w:rsid w:val="054B35C3"/>
    <w:rsid w:val="054F6C10"/>
    <w:rsid w:val="05526865"/>
    <w:rsid w:val="05837654"/>
    <w:rsid w:val="059E6DDE"/>
    <w:rsid w:val="05A67C20"/>
    <w:rsid w:val="05AF5084"/>
    <w:rsid w:val="05B560C0"/>
    <w:rsid w:val="05C771DE"/>
    <w:rsid w:val="05C84F82"/>
    <w:rsid w:val="05D34E0F"/>
    <w:rsid w:val="05F343BE"/>
    <w:rsid w:val="05FB5EE9"/>
    <w:rsid w:val="05FC0414"/>
    <w:rsid w:val="06007F0A"/>
    <w:rsid w:val="06070A68"/>
    <w:rsid w:val="0656737D"/>
    <w:rsid w:val="06687940"/>
    <w:rsid w:val="066D48F9"/>
    <w:rsid w:val="067B2190"/>
    <w:rsid w:val="0687687D"/>
    <w:rsid w:val="06991E27"/>
    <w:rsid w:val="06A22D73"/>
    <w:rsid w:val="06AB60C8"/>
    <w:rsid w:val="06B13D99"/>
    <w:rsid w:val="06B43742"/>
    <w:rsid w:val="06B8201F"/>
    <w:rsid w:val="06D76DEC"/>
    <w:rsid w:val="06F4184F"/>
    <w:rsid w:val="06F4459D"/>
    <w:rsid w:val="07002110"/>
    <w:rsid w:val="070B0AAC"/>
    <w:rsid w:val="070B7B0B"/>
    <w:rsid w:val="070D7B39"/>
    <w:rsid w:val="070E1AE2"/>
    <w:rsid w:val="071377F4"/>
    <w:rsid w:val="071441A6"/>
    <w:rsid w:val="071A3C3D"/>
    <w:rsid w:val="071F3A56"/>
    <w:rsid w:val="07274FBA"/>
    <w:rsid w:val="072A47AB"/>
    <w:rsid w:val="07340AEF"/>
    <w:rsid w:val="074E47F1"/>
    <w:rsid w:val="07500B74"/>
    <w:rsid w:val="078A1487"/>
    <w:rsid w:val="0798609A"/>
    <w:rsid w:val="079D1213"/>
    <w:rsid w:val="07AF1BE8"/>
    <w:rsid w:val="07B40702"/>
    <w:rsid w:val="07B559CB"/>
    <w:rsid w:val="07D818AF"/>
    <w:rsid w:val="07DE64D2"/>
    <w:rsid w:val="07E741AF"/>
    <w:rsid w:val="080B7A09"/>
    <w:rsid w:val="080E6028"/>
    <w:rsid w:val="081721C2"/>
    <w:rsid w:val="08317BB7"/>
    <w:rsid w:val="083D43FD"/>
    <w:rsid w:val="084D299D"/>
    <w:rsid w:val="084E1932"/>
    <w:rsid w:val="085D4226"/>
    <w:rsid w:val="08611584"/>
    <w:rsid w:val="086652A8"/>
    <w:rsid w:val="08686480"/>
    <w:rsid w:val="0875005B"/>
    <w:rsid w:val="087B7DD6"/>
    <w:rsid w:val="087E1C1F"/>
    <w:rsid w:val="08A6014E"/>
    <w:rsid w:val="08A96637"/>
    <w:rsid w:val="08B07A3A"/>
    <w:rsid w:val="08B37F3D"/>
    <w:rsid w:val="08DE79BE"/>
    <w:rsid w:val="08E8672E"/>
    <w:rsid w:val="08ED3499"/>
    <w:rsid w:val="08ED6854"/>
    <w:rsid w:val="08F81AEF"/>
    <w:rsid w:val="08FF7AB1"/>
    <w:rsid w:val="091660C7"/>
    <w:rsid w:val="091C32AD"/>
    <w:rsid w:val="091D735A"/>
    <w:rsid w:val="09376339"/>
    <w:rsid w:val="09433779"/>
    <w:rsid w:val="094D3BEF"/>
    <w:rsid w:val="09604414"/>
    <w:rsid w:val="09787726"/>
    <w:rsid w:val="09862872"/>
    <w:rsid w:val="098D02BE"/>
    <w:rsid w:val="099472E7"/>
    <w:rsid w:val="09965A9C"/>
    <w:rsid w:val="09A30C23"/>
    <w:rsid w:val="09A3577C"/>
    <w:rsid w:val="09C04CF3"/>
    <w:rsid w:val="09D52537"/>
    <w:rsid w:val="09F21E25"/>
    <w:rsid w:val="09FE4CC5"/>
    <w:rsid w:val="0A040FD5"/>
    <w:rsid w:val="0A0A31A0"/>
    <w:rsid w:val="0A2B546F"/>
    <w:rsid w:val="0A2D14EA"/>
    <w:rsid w:val="0A31108A"/>
    <w:rsid w:val="0A354AA9"/>
    <w:rsid w:val="0A3925DE"/>
    <w:rsid w:val="0A395BE3"/>
    <w:rsid w:val="0A6071C9"/>
    <w:rsid w:val="0A65118A"/>
    <w:rsid w:val="0A670631"/>
    <w:rsid w:val="0A775417"/>
    <w:rsid w:val="0A7C0731"/>
    <w:rsid w:val="0A825D85"/>
    <w:rsid w:val="0A8406B1"/>
    <w:rsid w:val="0A876FD5"/>
    <w:rsid w:val="0AB0732C"/>
    <w:rsid w:val="0AC1532D"/>
    <w:rsid w:val="0AD53561"/>
    <w:rsid w:val="0AD83852"/>
    <w:rsid w:val="0AEB3965"/>
    <w:rsid w:val="0AF40E2F"/>
    <w:rsid w:val="0AFE03FE"/>
    <w:rsid w:val="0B046525"/>
    <w:rsid w:val="0B0B4D1F"/>
    <w:rsid w:val="0B0F15F8"/>
    <w:rsid w:val="0B2A3F6C"/>
    <w:rsid w:val="0B326AD7"/>
    <w:rsid w:val="0B4F6FDE"/>
    <w:rsid w:val="0B560E88"/>
    <w:rsid w:val="0B61769D"/>
    <w:rsid w:val="0B7D4592"/>
    <w:rsid w:val="0B862FB9"/>
    <w:rsid w:val="0B905589"/>
    <w:rsid w:val="0BA8746E"/>
    <w:rsid w:val="0BF96FED"/>
    <w:rsid w:val="0C1C7C0E"/>
    <w:rsid w:val="0C1E21AC"/>
    <w:rsid w:val="0C2E5CE5"/>
    <w:rsid w:val="0C331A1B"/>
    <w:rsid w:val="0C3D0E88"/>
    <w:rsid w:val="0C442C71"/>
    <w:rsid w:val="0C531993"/>
    <w:rsid w:val="0C5B722C"/>
    <w:rsid w:val="0C6716ED"/>
    <w:rsid w:val="0C775768"/>
    <w:rsid w:val="0C7A475D"/>
    <w:rsid w:val="0CC916B4"/>
    <w:rsid w:val="0CDD22A9"/>
    <w:rsid w:val="0CE40585"/>
    <w:rsid w:val="0CEA6E4B"/>
    <w:rsid w:val="0D054058"/>
    <w:rsid w:val="0D0614E0"/>
    <w:rsid w:val="0D19103D"/>
    <w:rsid w:val="0D396A5D"/>
    <w:rsid w:val="0D54004D"/>
    <w:rsid w:val="0D6B35BD"/>
    <w:rsid w:val="0D8D5219"/>
    <w:rsid w:val="0D942755"/>
    <w:rsid w:val="0D9E5A54"/>
    <w:rsid w:val="0DBD056C"/>
    <w:rsid w:val="0DBF126C"/>
    <w:rsid w:val="0DCB704F"/>
    <w:rsid w:val="0DD20699"/>
    <w:rsid w:val="0DF56D87"/>
    <w:rsid w:val="0DF93F30"/>
    <w:rsid w:val="0E014091"/>
    <w:rsid w:val="0E0B6ECB"/>
    <w:rsid w:val="0E0E286A"/>
    <w:rsid w:val="0E4233DE"/>
    <w:rsid w:val="0E440BB0"/>
    <w:rsid w:val="0E451725"/>
    <w:rsid w:val="0E487640"/>
    <w:rsid w:val="0E54658E"/>
    <w:rsid w:val="0E6F708B"/>
    <w:rsid w:val="0E7B0A75"/>
    <w:rsid w:val="0E7C59F6"/>
    <w:rsid w:val="0EB21FBD"/>
    <w:rsid w:val="0EB66A52"/>
    <w:rsid w:val="0EB96910"/>
    <w:rsid w:val="0EBF035B"/>
    <w:rsid w:val="0EC0065D"/>
    <w:rsid w:val="0ECA69AB"/>
    <w:rsid w:val="0ED8599A"/>
    <w:rsid w:val="0EEE0C5B"/>
    <w:rsid w:val="0EEF4FD4"/>
    <w:rsid w:val="0EF10D38"/>
    <w:rsid w:val="0EF514D7"/>
    <w:rsid w:val="0EF54A4F"/>
    <w:rsid w:val="0F13398B"/>
    <w:rsid w:val="0F2904D1"/>
    <w:rsid w:val="0F2F0DCE"/>
    <w:rsid w:val="0F4D2A18"/>
    <w:rsid w:val="0F515E27"/>
    <w:rsid w:val="0F520A2F"/>
    <w:rsid w:val="0F6931E3"/>
    <w:rsid w:val="0F8A615C"/>
    <w:rsid w:val="0F8C6CB2"/>
    <w:rsid w:val="0F8D1923"/>
    <w:rsid w:val="0F983265"/>
    <w:rsid w:val="0F9C1453"/>
    <w:rsid w:val="0FBA3368"/>
    <w:rsid w:val="0FCE72CB"/>
    <w:rsid w:val="0FD347EE"/>
    <w:rsid w:val="0FE16FFE"/>
    <w:rsid w:val="0FFD2123"/>
    <w:rsid w:val="100B5E29"/>
    <w:rsid w:val="101271B8"/>
    <w:rsid w:val="10196798"/>
    <w:rsid w:val="102858E0"/>
    <w:rsid w:val="10352221"/>
    <w:rsid w:val="104F43ED"/>
    <w:rsid w:val="10602B21"/>
    <w:rsid w:val="106C10CC"/>
    <w:rsid w:val="108019BD"/>
    <w:rsid w:val="109951E3"/>
    <w:rsid w:val="10A37E92"/>
    <w:rsid w:val="10CD1330"/>
    <w:rsid w:val="10DB2A34"/>
    <w:rsid w:val="1109680C"/>
    <w:rsid w:val="11155936"/>
    <w:rsid w:val="11560372"/>
    <w:rsid w:val="116203FE"/>
    <w:rsid w:val="116B295A"/>
    <w:rsid w:val="117618D1"/>
    <w:rsid w:val="11873316"/>
    <w:rsid w:val="118D218B"/>
    <w:rsid w:val="119F64C9"/>
    <w:rsid w:val="11A33222"/>
    <w:rsid w:val="11A93AA9"/>
    <w:rsid w:val="11B408CA"/>
    <w:rsid w:val="11BB562D"/>
    <w:rsid w:val="11BF3497"/>
    <w:rsid w:val="11BF435B"/>
    <w:rsid w:val="11C45F04"/>
    <w:rsid w:val="11C47BAB"/>
    <w:rsid w:val="12216487"/>
    <w:rsid w:val="122E1BCA"/>
    <w:rsid w:val="122E2A09"/>
    <w:rsid w:val="123431B6"/>
    <w:rsid w:val="123754DC"/>
    <w:rsid w:val="125E3353"/>
    <w:rsid w:val="12704019"/>
    <w:rsid w:val="12715409"/>
    <w:rsid w:val="127610E8"/>
    <w:rsid w:val="12764E1A"/>
    <w:rsid w:val="12842632"/>
    <w:rsid w:val="12942477"/>
    <w:rsid w:val="12A40229"/>
    <w:rsid w:val="12BE1B98"/>
    <w:rsid w:val="12C23BD5"/>
    <w:rsid w:val="12D6640D"/>
    <w:rsid w:val="12D76496"/>
    <w:rsid w:val="12D80AD7"/>
    <w:rsid w:val="12E52944"/>
    <w:rsid w:val="12E60488"/>
    <w:rsid w:val="12E73B9A"/>
    <w:rsid w:val="12FC10BC"/>
    <w:rsid w:val="12FE1E3C"/>
    <w:rsid w:val="13085AB0"/>
    <w:rsid w:val="130A686C"/>
    <w:rsid w:val="132A0CBC"/>
    <w:rsid w:val="13321FC3"/>
    <w:rsid w:val="13370CE3"/>
    <w:rsid w:val="133B4DC8"/>
    <w:rsid w:val="133F37D4"/>
    <w:rsid w:val="13433B2C"/>
    <w:rsid w:val="13465239"/>
    <w:rsid w:val="13466D26"/>
    <w:rsid w:val="134D425F"/>
    <w:rsid w:val="1351335C"/>
    <w:rsid w:val="1362048E"/>
    <w:rsid w:val="13650603"/>
    <w:rsid w:val="13881C11"/>
    <w:rsid w:val="13A55725"/>
    <w:rsid w:val="13B33011"/>
    <w:rsid w:val="13C945AC"/>
    <w:rsid w:val="13CD6366"/>
    <w:rsid w:val="13F11BC9"/>
    <w:rsid w:val="13F70ACB"/>
    <w:rsid w:val="14025A60"/>
    <w:rsid w:val="14045B07"/>
    <w:rsid w:val="140C748B"/>
    <w:rsid w:val="141333F2"/>
    <w:rsid w:val="14134772"/>
    <w:rsid w:val="14164D9C"/>
    <w:rsid w:val="1420184E"/>
    <w:rsid w:val="14333BA0"/>
    <w:rsid w:val="14441457"/>
    <w:rsid w:val="1444190A"/>
    <w:rsid w:val="14485EF1"/>
    <w:rsid w:val="147068D6"/>
    <w:rsid w:val="147D6971"/>
    <w:rsid w:val="14887A48"/>
    <w:rsid w:val="149208C7"/>
    <w:rsid w:val="14B33741"/>
    <w:rsid w:val="14C8253B"/>
    <w:rsid w:val="14D94125"/>
    <w:rsid w:val="14EF5D19"/>
    <w:rsid w:val="14F66E12"/>
    <w:rsid w:val="15096842"/>
    <w:rsid w:val="151C4A30"/>
    <w:rsid w:val="152B44FA"/>
    <w:rsid w:val="152D6842"/>
    <w:rsid w:val="15326F0C"/>
    <w:rsid w:val="153F6AF9"/>
    <w:rsid w:val="15450131"/>
    <w:rsid w:val="154D0C92"/>
    <w:rsid w:val="158C1CF7"/>
    <w:rsid w:val="15AE7584"/>
    <w:rsid w:val="15B519FF"/>
    <w:rsid w:val="15C87D35"/>
    <w:rsid w:val="15D47C9D"/>
    <w:rsid w:val="15D96C9D"/>
    <w:rsid w:val="15DB52DB"/>
    <w:rsid w:val="15E909BB"/>
    <w:rsid w:val="15EC156C"/>
    <w:rsid w:val="161C066B"/>
    <w:rsid w:val="16433569"/>
    <w:rsid w:val="164D4DC8"/>
    <w:rsid w:val="16604BAD"/>
    <w:rsid w:val="16723ED0"/>
    <w:rsid w:val="16855A40"/>
    <w:rsid w:val="16931028"/>
    <w:rsid w:val="16A92E3A"/>
    <w:rsid w:val="16AA1A1F"/>
    <w:rsid w:val="16AE2069"/>
    <w:rsid w:val="16BD47E2"/>
    <w:rsid w:val="16CB4C64"/>
    <w:rsid w:val="16FE0496"/>
    <w:rsid w:val="17005FBC"/>
    <w:rsid w:val="17050851"/>
    <w:rsid w:val="17097300"/>
    <w:rsid w:val="17234E0E"/>
    <w:rsid w:val="17236AAD"/>
    <w:rsid w:val="172B2D69"/>
    <w:rsid w:val="173318DE"/>
    <w:rsid w:val="17364BCE"/>
    <w:rsid w:val="173D57C7"/>
    <w:rsid w:val="173F5020"/>
    <w:rsid w:val="17424826"/>
    <w:rsid w:val="1744403A"/>
    <w:rsid w:val="174D4F79"/>
    <w:rsid w:val="17683B61"/>
    <w:rsid w:val="177828B1"/>
    <w:rsid w:val="177A736B"/>
    <w:rsid w:val="177E2F9C"/>
    <w:rsid w:val="1780475D"/>
    <w:rsid w:val="178E719B"/>
    <w:rsid w:val="17967DAA"/>
    <w:rsid w:val="17B04616"/>
    <w:rsid w:val="17C87C3F"/>
    <w:rsid w:val="17CD7345"/>
    <w:rsid w:val="17D2114D"/>
    <w:rsid w:val="17D527F3"/>
    <w:rsid w:val="17D6724D"/>
    <w:rsid w:val="17EA382E"/>
    <w:rsid w:val="17EB5AC8"/>
    <w:rsid w:val="18032D47"/>
    <w:rsid w:val="18565A66"/>
    <w:rsid w:val="18610127"/>
    <w:rsid w:val="186E52C5"/>
    <w:rsid w:val="189119F3"/>
    <w:rsid w:val="189A2F87"/>
    <w:rsid w:val="18B36757"/>
    <w:rsid w:val="18BC4164"/>
    <w:rsid w:val="18C82B09"/>
    <w:rsid w:val="18D03F04"/>
    <w:rsid w:val="18FF2DED"/>
    <w:rsid w:val="190639B9"/>
    <w:rsid w:val="190743F1"/>
    <w:rsid w:val="190865B5"/>
    <w:rsid w:val="190E25A1"/>
    <w:rsid w:val="191653AF"/>
    <w:rsid w:val="19202945"/>
    <w:rsid w:val="193559DC"/>
    <w:rsid w:val="19413957"/>
    <w:rsid w:val="194D51D1"/>
    <w:rsid w:val="194E3054"/>
    <w:rsid w:val="195475F8"/>
    <w:rsid w:val="195A0460"/>
    <w:rsid w:val="1980089F"/>
    <w:rsid w:val="19900C1C"/>
    <w:rsid w:val="19A56A79"/>
    <w:rsid w:val="19A919C4"/>
    <w:rsid w:val="19AC54B0"/>
    <w:rsid w:val="19B3536B"/>
    <w:rsid w:val="19BF28A7"/>
    <w:rsid w:val="19F35798"/>
    <w:rsid w:val="1A147D5C"/>
    <w:rsid w:val="1A176B5E"/>
    <w:rsid w:val="1A1D2D97"/>
    <w:rsid w:val="1A2E63AE"/>
    <w:rsid w:val="1A351955"/>
    <w:rsid w:val="1A432058"/>
    <w:rsid w:val="1A447CEA"/>
    <w:rsid w:val="1A4D5912"/>
    <w:rsid w:val="1A50370F"/>
    <w:rsid w:val="1A5B3D97"/>
    <w:rsid w:val="1A674F7C"/>
    <w:rsid w:val="1A6D5107"/>
    <w:rsid w:val="1A7D5BF6"/>
    <w:rsid w:val="1A872185"/>
    <w:rsid w:val="1A98650B"/>
    <w:rsid w:val="1A9F7388"/>
    <w:rsid w:val="1AB05D24"/>
    <w:rsid w:val="1AB07CF9"/>
    <w:rsid w:val="1AB1351C"/>
    <w:rsid w:val="1AC11F06"/>
    <w:rsid w:val="1AC57F78"/>
    <w:rsid w:val="1AEE5479"/>
    <w:rsid w:val="1AF9372C"/>
    <w:rsid w:val="1B025DE9"/>
    <w:rsid w:val="1B0F5915"/>
    <w:rsid w:val="1B1C50E0"/>
    <w:rsid w:val="1B2304CB"/>
    <w:rsid w:val="1B335427"/>
    <w:rsid w:val="1B382838"/>
    <w:rsid w:val="1B485531"/>
    <w:rsid w:val="1B4D72F6"/>
    <w:rsid w:val="1B642469"/>
    <w:rsid w:val="1B653BF2"/>
    <w:rsid w:val="1B66462C"/>
    <w:rsid w:val="1B734960"/>
    <w:rsid w:val="1B7C6D8C"/>
    <w:rsid w:val="1B9055A5"/>
    <w:rsid w:val="1BA61589"/>
    <w:rsid w:val="1BB24DE7"/>
    <w:rsid w:val="1BB42AF4"/>
    <w:rsid w:val="1BB8286A"/>
    <w:rsid w:val="1BCB0DA7"/>
    <w:rsid w:val="1BD21EF1"/>
    <w:rsid w:val="1BF07270"/>
    <w:rsid w:val="1C0021B6"/>
    <w:rsid w:val="1C0D2502"/>
    <w:rsid w:val="1C0F2CE1"/>
    <w:rsid w:val="1C1154DD"/>
    <w:rsid w:val="1C2638EA"/>
    <w:rsid w:val="1C404590"/>
    <w:rsid w:val="1C422DF6"/>
    <w:rsid w:val="1C4A6B98"/>
    <w:rsid w:val="1C4B61CA"/>
    <w:rsid w:val="1C52438D"/>
    <w:rsid w:val="1C5B608D"/>
    <w:rsid w:val="1C5C2545"/>
    <w:rsid w:val="1C6E1C1A"/>
    <w:rsid w:val="1C731A53"/>
    <w:rsid w:val="1C7459D6"/>
    <w:rsid w:val="1C7A236C"/>
    <w:rsid w:val="1CB251DA"/>
    <w:rsid w:val="1CB548B6"/>
    <w:rsid w:val="1CC16D0E"/>
    <w:rsid w:val="1CC976F8"/>
    <w:rsid w:val="1CD37CCF"/>
    <w:rsid w:val="1CDF0421"/>
    <w:rsid w:val="1CE7136B"/>
    <w:rsid w:val="1CF64A4A"/>
    <w:rsid w:val="1CFB3AAF"/>
    <w:rsid w:val="1CFD66CD"/>
    <w:rsid w:val="1D0600A4"/>
    <w:rsid w:val="1D567591"/>
    <w:rsid w:val="1D7266FC"/>
    <w:rsid w:val="1D757953"/>
    <w:rsid w:val="1D762F10"/>
    <w:rsid w:val="1DA60575"/>
    <w:rsid w:val="1DC25D24"/>
    <w:rsid w:val="1DC35CF6"/>
    <w:rsid w:val="1DC37D43"/>
    <w:rsid w:val="1DC92705"/>
    <w:rsid w:val="1DD65CC8"/>
    <w:rsid w:val="1DDA6006"/>
    <w:rsid w:val="1DFA39AE"/>
    <w:rsid w:val="1E181BDB"/>
    <w:rsid w:val="1E2A5FF9"/>
    <w:rsid w:val="1E2E7D43"/>
    <w:rsid w:val="1E380731"/>
    <w:rsid w:val="1E460C8E"/>
    <w:rsid w:val="1E553C4C"/>
    <w:rsid w:val="1E5E6B20"/>
    <w:rsid w:val="1E5F7152"/>
    <w:rsid w:val="1E6D316A"/>
    <w:rsid w:val="1E7647BE"/>
    <w:rsid w:val="1E7D7EF2"/>
    <w:rsid w:val="1E8976CC"/>
    <w:rsid w:val="1EBC4668"/>
    <w:rsid w:val="1EC85CFC"/>
    <w:rsid w:val="1ED40DE1"/>
    <w:rsid w:val="1EDF41B4"/>
    <w:rsid w:val="1EEA3685"/>
    <w:rsid w:val="1EF44666"/>
    <w:rsid w:val="1EF51681"/>
    <w:rsid w:val="1F171119"/>
    <w:rsid w:val="1F374A08"/>
    <w:rsid w:val="1F3D317B"/>
    <w:rsid w:val="1F4968E7"/>
    <w:rsid w:val="1F4B27F4"/>
    <w:rsid w:val="1F4E188E"/>
    <w:rsid w:val="1F7B7941"/>
    <w:rsid w:val="1F9261F2"/>
    <w:rsid w:val="1FDC70E1"/>
    <w:rsid w:val="1FDD5573"/>
    <w:rsid w:val="1FE21F94"/>
    <w:rsid w:val="1FEB325C"/>
    <w:rsid w:val="1FF469EB"/>
    <w:rsid w:val="201828BE"/>
    <w:rsid w:val="20291696"/>
    <w:rsid w:val="202B600C"/>
    <w:rsid w:val="203147B6"/>
    <w:rsid w:val="2032135D"/>
    <w:rsid w:val="203536CE"/>
    <w:rsid w:val="203611D9"/>
    <w:rsid w:val="203C1FBA"/>
    <w:rsid w:val="205B335A"/>
    <w:rsid w:val="206B76D7"/>
    <w:rsid w:val="2082404F"/>
    <w:rsid w:val="20854BCF"/>
    <w:rsid w:val="208F2D91"/>
    <w:rsid w:val="20A113F3"/>
    <w:rsid w:val="20E406FC"/>
    <w:rsid w:val="20F34FFC"/>
    <w:rsid w:val="20F41A39"/>
    <w:rsid w:val="21013A21"/>
    <w:rsid w:val="21254871"/>
    <w:rsid w:val="21263540"/>
    <w:rsid w:val="213678CF"/>
    <w:rsid w:val="213E05CA"/>
    <w:rsid w:val="21525B61"/>
    <w:rsid w:val="216255D4"/>
    <w:rsid w:val="216E163F"/>
    <w:rsid w:val="21853DBD"/>
    <w:rsid w:val="21893EF2"/>
    <w:rsid w:val="218D19B7"/>
    <w:rsid w:val="21BB4FA6"/>
    <w:rsid w:val="21C45532"/>
    <w:rsid w:val="21C87E71"/>
    <w:rsid w:val="21DD00DF"/>
    <w:rsid w:val="21E9700F"/>
    <w:rsid w:val="21EA010A"/>
    <w:rsid w:val="22087833"/>
    <w:rsid w:val="223A4438"/>
    <w:rsid w:val="22421B7E"/>
    <w:rsid w:val="224A0A33"/>
    <w:rsid w:val="226021E4"/>
    <w:rsid w:val="22776795"/>
    <w:rsid w:val="228A1A1C"/>
    <w:rsid w:val="22972872"/>
    <w:rsid w:val="2297354C"/>
    <w:rsid w:val="22990FB2"/>
    <w:rsid w:val="22B031AD"/>
    <w:rsid w:val="22CF718A"/>
    <w:rsid w:val="22D1085D"/>
    <w:rsid w:val="22F52F71"/>
    <w:rsid w:val="22F67FAB"/>
    <w:rsid w:val="22FA7A52"/>
    <w:rsid w:val="23094031"/>
    <w:rsid w:val="232C2F7F"/>
    <w:rsid w:val="233901C8"/>
    <w:rsid w:val="2339265A"/>
    <w:rsid w:val="234E7019"/>
    <w:rsid w:val="235F7526"/>
    <w:rsid w:val="236C180A"/>
    <w:rsid w:val="237F603E"/>
    <w:rsid w:val="23930CA2"/>
    <w:rsid w:val="23945DF5"/>
    <w:rsid w:val="23BA1BE8"/>
    <w:rsid w:val="23F579A6"/>
    <w:rsid w:val="2419690F"/>
    <w:rsid w:val="242D409C"/>
    <w:rsid w:val="24332746"/>
    <w:rsid w:val="24346EE8"/>
    <w:rsid w:val="24352F06"/>
    <w:rsid w:val="24576DBD"/>
    <w:rsid w:val="2474241C"/>
    <w:rsid w:val="24927A9A"/>
    <w:rsid w:val="24A501A2"/>
    <w:rsid w:val="24AB12F6"/>
    <w:rsid w:val="24C72301"/>
    <w:rsid w:val="24EF3785"/>
    <w:rsid w:val="24F829C8"/>
    <w:rsid w:val="24FC0BF4"/>
    <w:rsid w:val="252845FF"/>
    <w:rsid w:val="253911C5"/>
    <w:rsid w:val="253F194E"/>
    <w:rsid w:val="25402F8D"/>
    <w:rsid w:val="255663BE"/>
    <w:rsid w:val="257A33DD"/>
    <w:rsid w:val="258A2776"/>
    <w:rsid w:val="258B2BE4"/>
    <w:rsid w:val="25930566"/>
    <w:rsid w:val="259C77B7"/>
    <w:rsid w:val="25CB59E7"/>
    <w:rsid w:val="25D06A6E"/>
    <w:rsid w:val="25D94CA0"/>
    <w:rsid w:val="25E22A70"/>
    <w:rsid w:val="25E66627"/>
    <w:rsid w:val="25E777CE"/>
    <w:rsid w:val="260C05A8"/>
    <w:rsid w:val="26181749"/>
    <w:rsid w:val="26334116"/>
    <w:rsid w:val="265413CE"/>
    <w:rsid w:val="26544F83"/>
    <w:rsid w:val="266100F9"/>
    <w:rsid w:val="26637A2E"/>
    <w:rsid w:val="26844111"/>
    <w:rsid w:val="269B7AAF"/>
    <w:rsid w:val="26C2527C"/>
    <w:rsid w:val="26CF2CD5"/>
    <w:rsid w:val="26D6070D"/>
    <w:rsid w:val="26DC4BC5"/>
    <w:rsid w:val="26E606CD"/>
    <w:rsid w:val="26EA1951"/>
    <w:rsid w:val="26EC3A06"/>
    <w:rsid w:val="26EF48E0"/>
    <w:rsid w:val="26FB054E"/>
    <w:rsid w:val="27021B75"/>
    <w:rsid w:val="27022992"/>
    <w:rsid w:val="27174C5C"/>
    <w:rsid w:val="27194E78"/>
    <w:rsid w:val="271A3592"/>
    <w:rsid w:val="272761D2"/>
    <w:rsid w:val="2728324D"/>
    <w:rsid w:val="272F0129"/>
    <w:rsid w:val="2738665A"/>
    <w:rsid w:val="276537A2"/>
    <w:rsid w:val="27703848"/>
    <w:rsid w:val="27717F19"/>
    <w:rsid w:val="279449AB"/>
    <w:rsid w:val="27D8088F"/>
    <w:rsid w:val="27DD736D"/>
    <w:rsid w:val="27DF1C1D"/>
    <w:rsid w:val="27E45486"/>
    <w:rsid w:val="27E95E09"/>
    <w:rsid w:val="284E2A11"/>
    <w:rsid w:val="285504BE"/>
    <w:rsid w:val="28633A87"/>
    <w:rsid w:val="287F0D0A"/>
    <w:rsid w:val="288240FF"/>
    <w:rsid w:val="28882199"/>
    <w:rsid w:val="288B759B"/>
    <w:rsid w:val="28B55D42"/>
    <w:rsid w:val="28B93F0A"/>
    <w:rsid w:val="28C357AF"/>
    <w:rsid w:val="28D12CB9"/>
    <w:rsid w:val="28DE0637"/>
    <w:rsid w:val="28E144D2"/>
    <w:rsid w:val="28E2176A"/>
    <w:rsid w:val="28F31FBB"/>
    <w:rsid w:val="28F701A8"/>
    <w:rsid w:val="28F714EE"/>
    <w:rsid w:val="291036C0"/>
    <w:rsid w:val="29310257"/>
    <w:rsid w:val="29312005"/>
    <w:rsid w:val="294D466D"/>
    <w:rsid w:val="29575AB0"/>
    <w:rsid w:val="2962684A"/>
    <w:rsid w:val="29755249"/>
    <w:rsid w:val="29763B2D"/>
    <w:rsid w:val="298C78AB"/>
    <w:rsid w:val="298E3FA1"/>
    <w:rsid w:val="29B54E22"/>
    <w:rsid w:val="29B671D9"/>
    <w:rsid w:val="29ED7525"/>
    <w:rsid w:val="29EE38B4"/>
    <w:rsid w:val="29F81AAE"/>
    <w:rsid w:val="29F86E8E"/>
    <w:rsid w:val="29FF7471"/>
    <w:rsid w:val="2A045BD0"/>
    <w:rsid w:val="2A07545B"/>
    <w:rsid w:val="2A0934D4"/>
    <w:rsid w:val="2A104943"/>
    <w:rsid w:val="2A211099"/>
    <w:rsid w:val="2A2A6B32"/>
    <w:rsid w:val="2A4A0E5D"/>
    <w:rsid w:val="2A4A19FA"/>
    <w:rsid w:val="2A4D25F1"/>
    <w:rsid w:val="2A58723C"/>
    <w:rsid w:val="2A655EA6"/>
    <w:rsid w:val="2A66710B"/>
    <w:rsid w:val="2A6D48A8"/>
    <w:rsid w:val="2A720FDA"/>
    <w:rsid w:val="2A8D5C2F"/>
    <w:rsid w:val="2AC52D4A"/>
    <w:rsid w:val="2B037F8B"/>
    <w:rsid w:val="2B1340B1"/>
    <w:rsid w:val="2B1572F4"/>
    <w:rsid w:val="2B1D7018"/>
    <w:rsid w:val="2B270AF1"/>
    <w:rsid w:val="2B4204FA"/>
    <w:rsid w:val="2B454208"/>
    <w:rsid w:val="2B4D20BD"/>
    <w:rsid w:val="2B8227D8"/>
    <w:rsid w:val="2B934377"/>
    <w:rsid w:val="2B9C657D"/>
    <w:rsid w:val="2BCE4483"/>
    <w:rsid w:val="2BDD56F8"/>
    <w:rsid w:val="2BE340D3"/>
    <w:rsid w:val="2BE65975"/>
    <w:rsid w:val="2BF30AC7"/>
    <w:rsid w:val="2C2D59BB"/>
    <w:rsid w:val="2C3A328B"/>
    <w:rsid w:val="2C464839"/>
    <w:rsid w:val="2C565957"/>
    <w:rsid w:val="2C5D5A7B"/>
    <w:rsid w:val="2C663969"/>
    <w:rsid w:val="2C9B7BCC"/>
    <w:rsid w:val="2CB64ED7"/>
    <w:rsid w:val="2CBA1D29"/>
    <w:rsid w:val="2CBE64C2"/>
    <w:rsid w:val="2CBF00EA"/>
    <w:rsid w:val="2CC0607B"/>
    <w:rsid w:val="2CC648C2"/>
    <w:rsid w:val="2CDD05EA"/>
    <w:rsid w:val="2D1A0C92"/>
    <w:rsid w:val="2D2774A2"/>
    <w:rsid w:val="2D2F4209"/>
    <w:rsid w:val="2D4C09D3"/>
    <w:rsid w:val="2D4E125B"/>
    <w:rsid w:val="2D4F637D"/>
    <w:rsid w:val="2D5B03BD"/>
    <w:rsid w:val="2D9C00DA"/>
    <w:rsid w:val="2D9E7EFF"/>
    <w:rsid w:val="2DA105FB"/>
    <w:rsid w:val="2DB25CF7"/>
    <w:rsid w:val="2DBC1D29"/>
    <w:rsid w:val="2DBC4E89"/>
    <w:rsid w:val="2DC037C6"/>
    <w:rsid w:val="2DC10FD1"/>
    <w:rsid w:val="2DCE2591"/>
    <w:rsid w:val="2DD1212B"/>
    <w:rsid w:val="2DD83BB6"/>
    <w:rsid w:val="2DDD44FF"/>
    <w:rsid w:val="2DE75CFE"/>
    <w:rsid w:val="2DED2399"/>
    <w:rsid w:val="2DFC17D1"/>
    <w:rsid w:val="2DFC1DEA"/>
    <w:rsid w:val="2E0D1BAB"/>
    <w:rsid w:val="2E1113BC"/>
    <w:rsid w:val="2E33681F"/>
    <w:rsid w:val="2E372CDD"/>
    <w:rsid w:val="2E405189"/>
    <w:rsid w:val="2E512D5F"/>
    <w:rsid w:val="2E51591F"/>
    <w:rsid w:val="2E7E2B69"/>
    <w:rsid w:val="2E89196A"/>
    <w:rsid w:val="2E9F272A"/>
    <w:rsid w:val="2EEB1912"/>
    <w:rsid w:val="2EF20B11"/>
    <w:rsid w:val="2EF9563B"/>
    <w:rsid w:val="2EFF4093"/>
    <w:rsid w:val="2F090A76"/>
    <w:rsid w:val="2F303548"/>
    <w:rsid w:val="2F3B167F"/>
    <w:rsid w:val="2F3F3AC6"/>
    <w:rsid w:val="2F445343"/>
    <w:rsid w:val="2F492C52"/>
    <w:rsid w:val="2F5B5154"/>
    <w:rsid w:val="2F793865"/>
    <w:rsid w:val="2F794E45"/>
    <w:rsid w:val="2F873385"/>
    <w:rsid w:val="2F994DA8"/>
    <w:rsid w:val="2FA36D2A"/>
    <w:rsid w:val="2FA63021"/>
    <w:rsid w:val="2FB15C4D"/>
    <w:rsid w:val="2FB6462A"/>
    <w:rsid w:val="2FBF6621"/>
    <w:rsid w:val="2FCF167C"/>
    <w:rsid w:val="2FD7142C"/>
    <w:rsid w:val="2FE0036A"/>
    <w:rsid w:val="2FE96152"/>
    <w:rsid w:val="2FEB3CB8"/>
    <w:rsid w:val="2FEF6EA0"/>
    <w:rsid w:val="2FF911D6"/>
    <w:rsid w:val="30080B9F"/>
    <w:rsid w:val="301C729C"/>
    <w:rsid w:val="30247031"/>
    <w:rsid w:val="30487D57"/>
    <w:rsid w:val="304C178D"/>
    <w:rsid w:val="30536EF8"/>
    <w:rsid w:val="306A72B8"/>
    <w:rsid w:val="30782C0F"/>
    <w:rsid w:val="30875D5B"/>
    <w:rsid w:val="308E2E6E"/>
    <w:rsid w:val="309659CE"/>
    <w:rsid w:val="30B921AC"/>
    <w:rsid w:val="30B935AB"/>
    <w:rsid w:val="30C5261B"/>
    <w:rsid w:val="30C776F3"/>
    <w:rsid w:val="30E107B4"/>
    <w:rsid w:val="30E81920"/>
    <w:rsid w:val="30EF09B2"/>
    <w:rsid w:val="3100388B"/>
    <w:rsid w:val="311538EC"/>
    <w:rsid w:val="312B663F"/>
    <w:rsid w:val="312B788E"/>
    <w:rsid w:val="31300DF3"/>
    <w:rsid w:val="3138736B"/>
    <w:rsid w:val="313A7DEA"/>
    <w:rsid w:val="31464ABB"/>
    <w:rsid w:val="31580199"/>
    <w:rsid w:val="315C2D32"/>
    <w:rsid w:val="31695EA3"/>
    <w:rsid w:val="317576FC"/>
    <w:rsid w:val="31925C65"/>
    <w:rsid w:val="31935A2F"/>
    <w:rsid w:val="31956F9B"/>
    <w:rsid w:val="319C528E"/>
    <w:rsid w:val="31A66C44"/>
    <w:rsid w:val="31A970F2"/>
    <w:rsid w:val="31C81974"/>
    <w:rsid w:val="31C97184"/>
    <w:rsid w:val="31DE3FD2"/>
    <w:rsid w:val="31E13008"/>
    <w:rsid w:val="320C7286"/>
    <w:rsid w:val="32125735"/>
    <w:rsid w:val="321E1594"/>
    <w:rsid w:val="321E3562"/>
    <w:rsid w:val="323F24AC"/>
    <w:rsid w:val="32827BE5"/>
    <w:rsid w:val="328F2EA2"/>
    <w:rsid w:val="32A060A0"/>
    <w:rsid w:val="32B87FFD"/>
    <w:rsid w:val="32BA46D5"/>
    <w:rsid w:val="32D631A2"/>
    <w:rsid w:val="32D80A01"/>
    <w:rsid w:val="32EC51EE"/>
    <w:rsid w:val="33017740"/>
    <w:rsid w:val="3305425E"/>
    <w:rsid w:val="331D184C"/>
    <w:rsid w:val="332901F1"/>
    <w:rsid w:val="332C2888"/>
    <w:rsid w:val="332D1A72"/>
    <w:rsid w:val="333B187C"/>
    <w:rsid w:val="33720AA1"/>
    <w:rsid w:val="33757815"/>
    <w:rsid w:val="337F6063"/>
    <w:rsid w:val="33962255"/>
    <w:rsid w:val="33963705"/>
    <w:rsid w:val="33C75552"/>
    <w:rsid w:val="33DB1580"/>
    <w:rsid w:val="33DF5ABE"/>
    <w:rsid w:val="33F402F0"/>
    <w:rsid w:val="33FC05F9"/>
    <w:rsid w:val="34064F33"/>
    <w:rsid w:val="3408704F"/>
    <w:rsid w:val="340D74C2"/>
    <w:rsid w:val="341C7C88"/>
    <w:rsid w:val="342061E8"/>
    <w:rsid w:val="34425A0E"/>
    <w:rsid w:val="34522791"/>
    <w:rsid w:val="345A0A93"/>
    <w:rsid w:val="3477346D"/>
    <w:rsid w:val="347C1795"/>
    <w:rsid w:val="34807B79"/>
    <w:rsid w:val="348666C5"/>
    <w:rsid w:val="34885F3C"/>
    <w:rsid w:val="349F2217"/>
    <w:rsid w:val="34AD7CC3"/>
    <w:rsid w:val="34C01AAE"/>
    <w:rsid w:val="34DC4DA5"/>
    <w:rsid w:val="34E1465F"/>
    <w:rsid w:val="34E42621"/>
    <w:rsid w:val="34EC585D"/>
    <w:rsid w:val="34F25146"/>
    <w:rsid w:val="34F87442"/>
    <w:rsid w:val="34FD1955"/>
    <w:rsid w:val="35095259"/>
    <w:rsid w:val="35371DC3"/>
    <w:rsid w:val="353C6B0C"/>
    <w:rsid w:val="35414FEB"/>
    <w:rsid w:val="3544507C"/>
    <w:rsid w:val="354A558B"/>
    <w:rsid w:val="35536571"/>
    <w:rsid w:val="35590BCC"/>
    <w:rsid w:val="35655629"/>
    <w:rsid w:val="35682C17"/>
    <w:rsid w:val="357C1BD2"/>
    <w:rsid w:val="35866659"/>
    <w:rsid w:val="35980173"/>
    <w:rsid w:val="35A66297"/>
    <w:rsid w:val="35A76209"/>
    <w:rsid w:val="35AD53E1"/>
    <w:rsid w:val="35B35962"/>
    <w:rsid w:val="35BB7A67"/>
    <w:rsid w:val="35D94662"/>
    <w:rsid w:val="36257AEB"/>
    <w:rsid w:val="36275B9D"/>
    <w:rsid w:val="36280C33"/>
    <w:rsid w:val="362A7D2B"/>
    <w:rsid w:val="364315C9"/>
    <w:rsid w:val="364E71D5"/>
    <w:rsid w:val="36572C22"/>
    <w:rsid w:val="368D0EDC"/>
    <w:rsid w:val="368F68BA"/>
    <w:rsid w:val="36942A73"/>
    <w:rsid w:val="369618CE"/>
    <w:rsid w:val="36AF2FA0"/>
    <w:rsid w:val="36C16BB3"/>
    <w:rsid w:val="36D459B9"/>
    <w:rsid w:val="36DE6870"/>
    <w:rsid w:val="36E54871"/>
    <w:rsid w:val="370239A6"/>
    <w:rsid w:val="37061FB8"/>
    <w:rsid w:val="370F5699"/>
    <w:rsid w:val="371231AB"/>
    <w:rsid w:val="37176DD8"/>
    <w:rsid w:val="37220D9B"/>
    <w:rsid w:val="372A21D9"/>
    <w:rsid w:val="3741343F"/>
    <w:rsid w:val="374A5B55"/>
    <w:rsid w:val="37515F68"/>
    <w:rsid w:val="375810A4"/>
    <w:rsid w:val="375F5793"/>
    <w:rsid w:val="376611C4"/>
    <w:rsid w:val="37773C05"/>
    <w:rsid w:val="37893954"/>
    <w:rsid w:val="379238FC"/>
    <w:rsid w:val="379D33C4"/>
    <w:rsid w:val="37A56647"/>
    <w:rsid w:val="37C77A36"/>
    <w:rsid w:val="37CA0B39"/>
    <w:rsid w:val="37E73F70"/>
    <w:rsid w:val="37E962DD"/>
    <w:rsid w:val="37EE7705"/>
    <w:rsid w:val="38017BD4"/>
    <w:rsid w:val="38203906"/>
    <w:rsid w:val="3821435A"/>
    <w:rsid w:val="38293F00"/>
    <w:rsid w:val="38384FCA"/>
    <w:rsid w:val="383F1A19"/>
    <w:rsid w:val="384117A8"/>
    <w:rsid w:val="384522FC"/>
    <w:rsid w:val="38532D07"/>
    <w:rsid w:val="3887070B"/>
    <w:rsid w:val="388E7474"/>
    <w:rsid w:val="38997183"/>
    <w:rsid w:val="38AA3B82"/>
    <w:rsid w:val="38AE777B"/>
    <w:rsid w:val="38C17488"/>
    <w:rsid w:val="38D702AC"/>
    <w:rsid w:val="38E928FC"/>
    <w:rsid w:val="38FC028B"/>
    <w:rsid w:val="390D41E2"/>
    <w:rsid w:val="391A0B15"/>
    <w:rsid w:val="392B1577"/>
    <w:rsid w:val="39333C95"/>
    <w:rsid w:val="39477F91"/>
    <w:rsid w:val="394849A7"/>
    <w:rsid w:val="39521A8C"/>
    <w:rsid w:val="396650B4"/>
    <w:rsid w:val="39A22387"/>
    <w:rsid w:val="39AE76A2"/>
    <w:rsid w:val="39B501D2"/>
    <w:rsid w:val="39ED4FC6"/>
    <w:rsid w:val="39F03902"/>
    <w:rsid w:val="39F06D61"/>
    <w:rsid w:val="39F70B01"/>
    <w:rsid w:val="3A0B536E"/>
    <w:rsid w:val="3A112D1C"/>
    <w:rsid w:val="3A1825C2"/>
    <w:rsid w:val="3A1C460B"/>
    <w:rsid w:val="3A1E7DED"/>
    <w:rsid w:val="3A47500C"/>
    <w:rsid w:val="3A5E7E7C"/>
    <w:rsid w:val="3A7529C0"/>
    <w:rsid w:val="3A8B23A8"/>
    <w:rsid w:val="3A8D295D"/>
    <w:rsid w:val="3AA328F4"/>
    <w:rsid w:val="3AB727F7"/>
    <w:rsid w:val="3AC056FF"/>
    <w:rsid w:val="3ACC431A"/>
    <w:rsid w:val="3AD80824"/>
    <w:rsid w:val="3AEC222F"/>
    <w:rsid w:val="3B041612"/>
    <w:rsid w:val="3B0A002F"/>
    <w:rsid w:val="3B0E1CEF"/>
    <w:rsid w:val="3B2A3E75"/>
    <w:rsid w:val="3B462D16"/>
    <w:rsid w:val="3B5B01B8"/>
    <w:rsid w:val="3B7364AD"/>
    <w:rsid w:val="3B773AAD"/>
    <w:rsid w:val="3B7778D0"/>
    <w:rsid w:val="3B7B1D01"/>
    <w:rsid w:val="3BA53C00"/>
    <w:rsid w:val="3BAD7AF9"/>
    <w:rsid w:val="3BB036BD"/>
    <w:rsid w:val="3BC259C5"/>
    <w:rsid w:val="3BCF2E52"/>
    <w:rsid w:val="3BD65F91"/>
    <w:rsid w:val="3BDC758C"/>
    <w:rsid w:val="3BE64261"/>
    <w:rsid w:val="3C0A3C46"/>
    <w:rsid w:val="3C1576F8"/>
    <w:rsid w:val="3C193840"/>
    <w:rsid w:val="3C202B12"/>
    <w:rsid w:val="3C261771"/>
    <w:rsid w:val="3C270B87"/>
    <w:rsid w:val="3C2C0DFE"/>
    <w:rsid w:val="3C2E5527"/>
    <w:rsid w:val="3C37397E"/>
    <w:rsid w:val="3C4B6B57"/>
    <w:rsid w:val="3C6D4187"/>
    <w:rsid w:val="3C700C3E"/>
    <w:rsid w:val="3C7544A7"/>
    <w:rsid w:val="3C953319"/>
    <w:rsid w:val="3C9708C1"/>
    <w:rsid w:val="3CA73FA5"/>
    <w:rsid w:val="3CB44C1A"/>
    <w:rsid w:val="3CBD21E4"/>
    <w:rsid w:val="3CBE0F98"/>
    <w:rsid w:val="3CC23304"/>
    <w:rsid w:val="3CD1792F"/>
    <w:rsid w:val="3CE45E3B"/>
    <w:rsid w:val="3D0D46DF"/>
    <w:rsid w:val="3D107D75"/>
    <w:rsid w:val="3D1B32A0"/>
    <w:rsid w:val="3D251EFB"/>
    <w:rsid w:val="3D507308"/>
    <w:rsid w:val="3D5D0026"/>
    <w:rsid w:val="3D6C05CD"/>
    <w:rsid w:val="3D74475E"/>
    <w:rsid w:val="3D8E5B8A"/>
    <w:rsid w:val="3DAB4D18"/>
    <w:rsid w:val="3DB92E37"/>
    <w:rsid w:val="3DCA661A"/>
    <w:rsid w:val="3DD06639"/>
    <w:rsid w:val="3DD408D2"/>
    <w:rsid w:val="3DDB14BE"/>
    <w:rsid w:val="3DDF04C6"/>
    <w:rsid w:val="3DE04069"/>
    <w:rsid w:val="3DEB2C72"/>
    <w:rsid w:val="3DF02037"/>
    <w:rsid w:val="3E0E7B2F"/>
    <w:rsid w:val="3E171929"/>
    <w:rsid w:val="3E1F3A48"/>
    <w:rsid w:val="3E435CB3"/>
    <w:rsid w:val="3E4D2B9C"/>
    <w:rsid w:val="3E4D3BD3"/>
    <w:rsid w:val="3E4E3201"/>
    <w:rsid w:val="3E777624"/>
    <w:rsid w:val="3E791760"/>
    <w:rsid w:val="3E88657A"/>
    <w:rsid w:val="3E8C7713"/>
    <w:rsid w:val="3EAD05B8"/>
    <w:rsid w:val="3EAF7E39"/>
    <w:rsid w:val="3EB8348F"/>
    <w:rsid w:val="3EBA2645"/>
    <w:rsid w:val="3EDA167F"/>
    <w:rsid w:val="3EDD1AA6"/>
    <w:rsid w:val="3EDF3AE1"/>
    <w:rsid w:val="3EE549F9"/>
    <w:rsid w:val="3EE576C2"/>
    <w:rsid w:val="3EE61308"/>
    <w:rsid w:val="3EE651E8"/>
    <w:rsid w:val="3EF53EFA"/>
    <w:rsid w:val="3F1F4829"/>
    <w:rsid w:val="3F2750DF"/>
    <w:rsid w:val="3F2F7F48"/>
    <w:rsid w:val="3F332A95"/>
    <w:rsid w:val="3F3370D1"/>
    <w:rsid w:val="3F3855FC"/>
    <w:rsid w:val="3F3A40FD"/>
    <w:rsid w:val="3F4C0447"/>
    <w:rsid w:val="3F572DB1"/>
    <w:rsid w:val="3F890F80"/>
    <w:rsid w:val="3F9220F5"/>
    <w:rsid w:val="3F9A4950"/>
    <w:rsid w:val="3FA12B50"/>
    <w:rsid w:val="3FA27B9B"/>
    <w:rsid w:val="3FA7706D"/>
    <w:rsid w:val="3FAF05CC"/>
    <w:rsid w:val="3FB85717"/>
    <w:rsid w:val="3FC77279"/>
    <w:rsid w:val="3FD71FC8"/>
    <w:rsid w:val="3FE060DB"/>
    <w:rsid w:val="3FE92A3E"/>
    <w:rsid w:val="3FEC3D0C"/>
    <w:rsid w:val="3FF132F0"/>
    <w:rsid w:val="3FFA159D"/>
    <w:rsid w:val="401B5ECE"/>
    <w:rsid w:val="402663F7"/>
    <w:rsid w:val="40307887"/>
    <w:rsid w:val="40377553"/>
    <w:rsid w:val="405A0221"/>
    <w:rsid w:val="40684614"/>
    <w:rsid w:val="407707ED"/>
    <w:rsid w:val="40771E13"/>
    <w:rsid w:val="40EB76AA"/>
    <w:rsid w:val="40F739B3"/>
    <w:rsid w:val="41111905"/>
    <w:rsid w:val="41383B80"/>
    <w:rsid w:val="414B4CAC"/>
    <w:rsid w:val="41540B2E"/>
    <w:rsid w:val="415B5B5C"/>
    <w:rsid w:val="4170513C"/>
    <w:rsid w:val="417D31F5"/>
    <w:rsid w:val="418D4813"/>
    <w:rsid w:val="419312AE"/>
    <w:rsid w:val="419A4E88"/>
    <w:rsid w:val="419C7782"/>
    <w:rsid w:val="41A86F4A"/>
    <w:rsid w:val="41B5659C"/>
    <w:rsid w:val="41CA4AC0"/>
    <w:rsid w:val="41CE08E1"/>
    <w:rsid w:val="41D115E0"/>
    <w:rsid w:val="41DE69ED"/>
    <w:rsid w:val="41E6762A"/>
    <w:rsid w:val="41FD3FEF"/>
    <w:rsid w:val="42051D7A"/>
    <w:rsid w:val="42156990"/>
    <w:rsid w:val="421E2CDD"/>
    <w:rsid w:val="42287D65"/>
    <w:rsid w:val="42312C1E"/>
    <w:rsid w:val="424D468B"/>
    <w:rsid w:val="42525789"/>
    <w:rsid w:val="425A3587"/>
    <w:rsid w:val="42736F2E"/>
    <w:rsid w:val="4284574D"/>
    <w:rsid w:val="429458D3"/>
    <w:rsid w:val="42A5533C"/>
    <w:rsid w:val="42B02FBB"/>
    <w:rsid w:val="42B373DE"/>
    <w:rsid w:val="42B456D1"/>
    <w:rsid w:val="42B86072"/>
    <w:rsid w:val="42C447F4"/>
    <w:rsid w:val="42C65A5C"/>
    <w:rsid w:val="42D90AA2"/>
    <w:rsid w:val="42E819E9"/>
    <w:rsid w:val="43086CA6"/>
    <w:rsid w:val="430B29C4"/>
    <w:rsid w:val="430D0143"/>
    <w:rsid w:val="43120B21"/>
    <w:rsid w:val="432B0A26"/>
    <w:rsid w:val="4331056A"/>
    <w:rsid w:val="43476D8E"/>
    <w:rsid w:val="434F15AD"/>
    <w:rsid w:val="435B7631"/>
    <w:rsid w:val="43615785"/>
    <w:rsid w:val="436566F9"/>
    <w:rsid w:val="43665AEA"/>
    <w:rsid w:val="43803982"/>
    <w:rsid w:val="438374A9"/>
    <w:rsid w:val="439E6F77"/>
    <w:rsid w:val="43A45E8A"/>
    <w:rsid w:val="43AF65E8"/>
    <w:rsid w:val="43E50164"/>
    <w:rsid w:val="43E71F98"/>
    <w:rsid w:val="43EE0EE9"/>
    <w:rsid w:val="43F65E3F"/>
    <w:rsid w:val="441F7E10"/>
    <w:rsid w:val="442944F4"/>
    <w:rsid w:val="442A4658"/>
    <w:rsid w:val="444179F8"/>
    <w:rsid w:val="445022B0"/>
    <w:rsid w:val="44962078"/>
    <w:rsid w:val="44B17B81"/>
    <w:rsid w:val="44B41B2E"/>
    <w:rsid w:val="44B429B8"/>
    <w:rsid w:val="44B84D15"/>
    <w:rsid w:val="44B94074"/>
    <w:rsid w:val="44BD69EB"/>
    <w:rsid w:val="44E7657C"/>
    <w:rsid w:val="44FE6FA1"/>
    <w:rsid w:val="45006B95"/>
    <w:rsid w:val="450B1E4C"/>
    <w:rsid w:val="452804AD"/>
    <w:rsid w:val="45441F9B"/>
    <w:rsid w:val="4577237F"/>
    <w:rsid w:val="45781A84"/>
    <w:rsid w:val="458A0262"/>
    <w:rsid w:val="45901443"/>
    <w:rsid w:val="45D216B4"/>
    <w:rsid w:val="45E664F5"/>
    <w:rsid w:val="45ED342E"/>
    <w:rsid w:val="46115B04"/>
    <w:rsid w:val="46151C0A"/>
    <w:rsid w:val="46183C1D"/>
    <w:rsid w:val="46244F73"/>
    <w:rsid w:val="46261ED4"/>
    <w:rsid w:val="462A7029"/>
    <w:rsid w:val="462E5DF2"/>
    <w:rsid w:val="462F56C6"/>
    <w:rsid w:val="463C2EAE"/>
    <w:rsid w:val="46517A11"/>
    <w:rsid w:val="4652520E"/>
    <w:rsid w:val="4653355B"/>
    <w:rsid w:val="466415D1"/>
    <w:rsid w:val="46720FC6"/>
    <w:rsid w:val="469043B7"/>
    <w:rsid w:val="46985E97"/>
    <w:rsid w:val="469D7242"/>
    <w:rsid w:val="46CB5083"/>
    <w:rsid w:val="46E135A3"/>
    <w:rsid w:val="46F37F67"/>
    <w:rsid w:val="46FB6950"/>
    <w:rsid w:val="47116EE2"/>
    <w:rsid w:val="471660D6"/>
    <w:rsid w:val="47183517"/>
    <w:rsid w:val="472C25BB"/>
    <w:rsid w:val="47324E2D"/>
    <w:rsid w:val="47431429"/>
    <w:rsid w:val="47462E94"/>
    <w:rsid w:val="475F1ABD"/>
    <w:rsid w:val="47733AF9"/>
    <w:rsid w:val="4773401C"/>
    <w:rsid w:val="47796431"/>
    <w:rsid w:val="47A53E92"/>
    <w:rsid w:val="47AE26C7"/>
    <w:rsid w:val="47B9547A"/>
    <w:rsid w:val="47CC4D35"/>
    <w:rsid w:val="47DF6BAC"/>
    <w:rsid w:val="47ED7156"/>
    <w:rsid w:val="47EF0EF9"/>
    <w:rsid w:val="47F1517F"/>
    <w:rsid w:val="47F606A9"/>
    <w:rsid w:val="47F70ABB"/>
    <w:rsid w:val="48011848"/>
    <w:rsid w:val="4809297E"/>
    <w:rsid w:val="481608EC"/>
    <w:rsid w:val="48194880"/>
    <w:rsid w:val="48225263"/>
    <w:rsid w:val="484564C9"/>
    <w:rsid w:val="48524E68"/>
    <w:rsid w:val="486E26CB"/>
    <w:rsid w:val="48861F15"/>
    <w:rsid w:val="489F6835"/>
    <w:rsid w:val="48FD49D8"/>
    <w:rsid w:val="48FD7CFE"/>
    <w:rsid w:val="492D275E"/>
    <w:rsid w:val="4943548D"/>
    <w:rsid w:val="49444499"/>
    <w:rsid w:val="496C1C44"/>
    <w:rsid w:val="49735E03"/>
    <w:rsid w:val="49771E85"/>
    <w:rsid w:val="497B33A6"/>
    <w:rsid w:val="497E7DE4"/>
    <w:rsid w:val="49902920"/>
    <w:rsid w:val="49943F3C"/>
    <w:rsid w:val="4997149C"/>
    <w:rsid w:val="49D013C0"/>
    <w:rsid w:val="49F02AF2"/>
    <w:rsid w:val="49F248BA"/>
    <w:rsid w:val="49F66671"/>
    <w:rsid w:val="49FA2AB6"/>
    <w:rsid w:val="4A065A9B"/>
    <w:rsid w:val="4A0C4942"/>
    <w:rsid w:val="4A0F1A96"/>
    <w:rsid w:val="4A0F3F8B"/>
    <w:rsid w:val="4A28267D"/>
    <w:rsid w:val="4A282B58"/>
    <w:rsid w:val="4A761B16"/>
    <w:rsid w:val="4A7E31B4"/>
    <w:rsid w:val="4A81678C"/>
    <w:rsid w:val="4A8A25A6"/>
    <w:rsid w:val="4A8B75D6"/>
    <w:rsid w:val="4A9305F9"/>
    <w:rsid w:val="4A982678"/>
    <w:rsid w:val="4A9F777D"/>
    <w:rsid w:val="4AAB0504"/>
    <w:rsid w:val="4AEA5736"/>
    <w:rsid w:val="4AFD67B2"/>
    <w:rsid w:val="4B2D0AFD"/>
    <w:rsid w:val="4B373076"/>
    <w:rsid w:val="4B4878E3"/>
    <w:rsid w:val="4B4C4E77"/>
    <w:rsid w:val="4B4E72C6"/>
    <w:rsid w:val="4B5D13C1"/>
    <w:rsid w:val="4B652BD6"/>
    <w:rsid w:val="4B667A3A"/>
    <w:rsid w:val="4B7F0E9E"/>
    <w:rsid w:val="4B8A16F4"/>
    <w:rsid w:val="4B961983"/>
    <w:rsid w:val="4BB32C12"/>
    <w:rsid w:val="4BD12979"/>
    <w:rsid w:val="4BD452D6"/>
    <w:rsid w:val="4BE3548C"/>
    <w:rsid w:val="4BEE466E"/>
    <w:rsid w:val="4BFF6727"/>
    <w:rsid w:val="4C1C3988"/>
    <w:rsid w:val="4C236AC0"/>
    <w:rsid w:val="4C276021"/>
    <w:rsid w:val="4C2B2810"/>
    <w:rsid w:val="4C356710"/>
    <w:rsid w:val="4C40066C"/>
    <w:rsid w:val="4C512CF9"/>
    <w:rsid w:val="4C604516"/>
    <w:rsid w:val="4C8A5C61"/>
    <w:rsid w:val="4CAB1680"/>
    <w:rsid w:val="4CAC6ECA"/>
    <w:rsid w:val="4CAF2CEA"/>
    <w:rsid w:val="4CC21240"/>
    <w:rsid w:val="4CCC1F22"/>
    <w:rsid w:val="4CD53A69"/>
    <w:rsid w:val="4CDF5113"/>
    <w:rsid w:val="4CE57E16"/>
    <w:rsid w:val="4CEB71AF"/>
    <w:rsid w:val="4CF02398"/>
    <w:rsid w:val="4CF7657C"/>
    <w:rsid w:val="4CFB09F8"/>
    <w:rsid w:val="4D111FCA"/>
    <w:rsid w:val="4D196F10"/>
    <w:rsid w:val="4D282F9C"/>
    <w:rsid w:val="4D2E6B5A"/>
    <w:rsid w:val="4D3A3F0D"/>
    <w:rsid w:val="4D3B2FD5"/>
    <w:rsid w:val="4D4B7289"/>
    <w:rsid w:val="4D585209"/>
    <w:rsid w:val="4D7245C5"/>
    <w:rsid w:val="4D7E78B2"/>
    <w:rsid w:val="4D90400D"/>
    <w:rsid w:val="4D931A77"/>
    <w:rsid w:val="4D9C7AE5"/>
    <w:rsid w:val="4DBB3B96"/>
    <w:rsid w:val="4DBC675D"/>
    <w:rsid w:val="4DE61F3B"/>
    <w:rsid w:val="4DE65BA1"/>
    <w:rsid w:val="4DFE58E7"/>
    <w:rsid w:val="4E007F3F"/>
    <w:rsid w:val="4E1349CC"/>
    <w:rsid w:val="4E2A02B5"/>
    <w:rsid w:val="4E445C83"/>
    <w:rsid w:val="4E4C3A58"/>
    <w:rsid w:val="4E56232F"/>
    <w:rsid w:val="4E593DA0"/>
    <w:rsid w:val="4E6B5B05"/>
    <w:rsid w:val="4E703B34"/>
    <w:rsid w:val="4EC15329"/>
    <w:rsid w:val="4ECE4BCD"/>
    <w:rsid w:val="4ECF1250"/>
    <w:rsid w:val="4EE23307"/>
    <w:rsid w:val="4EED1BAD"/>
    <w:rsid w:val="4EF314F5"/>
    <w:rsid w:val="4F0A108E"/>
    <w:rsid w:val="4F0E0906"/>
    <w:rsid w:val="4F137948"/>
    <w:rsid w:val="4F1813ED"/>
    <w:rsid w:val="4F2B25D5"/>
    <w:rsid w:val="4F35405E"/>
    <w:rsid w:val="4F483E9A"/>
    <w:rsid w:val="4F5D32A4"/>
    <w:rsid w:val="4F9250F0"/>
    <w:rsid w:val="4F9636DF"/>
    <w:rsid w:val="4FA17635"/>
    <w:rsid w:val="4FA35BBB"/>
    <w:rsid w:val="4FA40ED3"/>
    <w:rsid w:val="4FB54E8E"/>
    <w:rsid w:val="4FBB33CE"/>
    <w:rsid w:val="4FBF4D31"/>
    <w:rsid w:val="4FC520E9"/>
    <w:rsid w:val="4FDD093D"/>
    <w:rsid w:val="4FE35701"/>
    <w:rsid w:val="4FFB4953"/>
    <w:rsid w:val="501C18CA"/>
    <w:rsid w:val="5020203E"/>
    <w:rsid w:val="50304749"/>
    <w:rsid w:val="504A7AC5"/>
    <w:rsid w:val="50666188"/>
    <w:rsid w:val="506C56BD"/>
    <w:rsid w:val="50842D92"/>
    <w:rsid w:val="50901BFA"/>
    <w:rsid w:val="509E204D"/>
    <w:rsid w:val="50A40509"/>
    <w:rsid w:val="50A6127D"/>
    <w:rsid w:val="50B10705"/>
    <w:rsid w:val="50B769E4"/>
    <w:rsid w:val="50BD2031"/>
    <w:rsid w:val="50D45F09"/>
    <w:rsid w:val="50D77086"/>
    <w:rsid w:val="5101440A"/>
    <w:rsid w:val="51095C0A"/>
    <w:rsid w:val="51117DB5"/>
    <w:rsid w:val="511F78BE"/>
    <w:rsid w:val="51291D97"/>
    <w:rsid w:val="51371AA8"/>
    <w:rsid w:val="513A1AEF"/>
    <w:rsid w:val="51617A54"/>
    <w:rsid w:val="51630161"/>
    <w:rsid w:val="5163689F"/>
    <w:rsid w:val="51644FE4"/>
    <w:rsid w:val="51812C12"/>
    <w:rsid w:val="51850F5F"/>
    <w:rsid w:val="519E5F9B"/>
    <w:rsid w:val="51A467BE"/>
    <w:rsid w:val="51B728F4"/>
    <w:rsid w:val="51EA66DA"/>
    <w:rsid w:val="51FB4D82"/>
    <w:rsid w:val="52007FED"/>
    <w:rsid w:val="520F7643"/>
    <w:rsid w:val="521066AC"/>
    <w:rsid w:val="521F44D0"/>
    <w:rsid w:val="521F6281"/>
    <w:rsid w:val="522035A4"/>
    <w:rsid w:val="522F2F72"/>
    <w:rsid w:val="523E76E2"/>
    <w:rsid w:val="5247230F"/>
    <w:rsid w:val="52474539"/>
    <w:rsid w:val="52495D62"/>
    <w:rsid w:val="52512517"/>
    <w:rsid w:val="52565816"/>
    <w:rsid w:val="5259018B"/>
    <w:rsid w:val="525D3E49"/>
    <w:rsid w:val="52604182"/>
    <w:rsid w:val="52704C51"/>
    <w:rsid w:val="52712486"/>
    <w:rsid w:val="527463C1"/>
    <w:rsid w:val="52756577"/>
    <w:rsid w:val="52811102"/>
    <w:rsid w:val="5282760B"/>
    <w:rsid w:val="5288688A"/>
    <w:rsid w:val="52946A2D"/>
    <w:rsid w:val="529D4434"/>
    <w:rsid w:val="52B83312"/>
    <w:rsid w:val="52BD3540"/>
    <w:rsid w:val="52C75604"/>
    <w:rsid w:val="52D229F0"/>
    <w:rsid w:val="52D8298E"/>
    <w:rsid w:val="53004DCB"/>
    <w:rsid w:val="53276F29"/>
    <w:rsid w:val="532A7941"/>
    <w:rsid w:val="533770B1"/>
    <w:rsid w:val="53385737"/>
    <w:rsid w:val="535248BD"/>
    <w:rsid w:val="5379573A"/>
    <w:rsid w:val="538057B3"/>
    <w:rsid w:val="53870D4D"/>
    <w:rsid w:val="53A63401"/>
    <w:rsid w:val="53B12CA6"/>
    <w:rsid w:val="53C81829"/>
    <w:rsid w:val="53D00DAD"/>
    <w:rsid w:val="53F038F2"/>
    <w:rsid w:val="53FB308C"/>
    <w:rsid w:val="540A746D"/>
    <w:rsid w:val="5428191A"/>
    <w:rsid w:val="5440581F"/>
    <w:rsid w:val="54462AC3"/>
    <w:rsid w:val="54541073"/>
    <w:rsid w:val="54541E6E"/>
    <w:rsid w:val="547B557B"/>
    <w:rsid w:val="548716E5"/>
    <w:rsid w:val="54946BC7"/>
    <w:rsid w:val="54A35BFD"/>
    <w:rsid w:val="54C326B4"/>
    <w:rsid w:val="54D05830"/>
    <w:rsid w:val="54D9161F"/>
    <w:rsid w:val="55084806"/>
    <w:rsid w:val="552B1A30"/>
    <w:rsid w:val="553E695D"/>
    <w:rsid w:val="5541273A"/>
    <w:rsid w:val="554966A9"/>
    <w:rsid w:val="554A5701"/>
    <w:rsid w:val="554F18E1"/>
    <w:rsid w:val="55690622"/>
    <w:rsid w:val="557C5D66"/>
    <w:rsid w:val="55913CA7"/>
    <w:rsid w:val="559519EA"/>
    <w:rsid w:val="55983FE0"/>
    <w:rsid w:val="55A83B16"/>
    <w:rsid w:val="55D9483A"/>
    <w:rsid w:val="55F03353"/>
    <w:rsid w:val="55FB5806"/>
    <w:rsid w:val="561F035F"/>
    <w:rsid w:val="56270168"/>
    <w:rsid w:val="56323CAD"/>
    <w:rsid w:val="56343D89"/>
    <w:rsid w:val="564176D7"/>
    <w:rsid w:val="56563FC1"/>
    <w:rsid w:val="565A33D2"/>
    <w:rsid w:val="565B0391"/>
    <w:rsid w:val="5667220F"/>
    <w:rsid w:val="566D58B7"/>
    <w:rsid w:val="5684737B"/>
    <w:rsid w:val="56865326"/>
    <w:rsid w:val="569735FE"/>
    <w:rsid w:val="56A208DB"/>
    <w:rsid w:val="56A2566D"/>
    <w:rsid w:val="56A77ED4"/>
    <w:rsid w:val="56AC6210"/>
    <w:rsid w:val="56B1523A"/>
    <w:rsid w:val="56B50E2E"/>
    <w:rsid w:val="56DF3695"/>
    <w:rsid w:val="56E10B52"/>
    <w:rsid w:val="56EA7B13"/>
    <w:rsid w:val="570144BA"/>
    <w:rsid w:val="5703569A"/>
    <w:rsid w:val="5727604A"/>
    <w:rsid w:val="5728063B"/>
    <w:rsid w:val="57445CEB"/>
    <w:rsid w:val="574715D9"/>
    <w:rsid w:val="574B06C0"/>
    <w:rsid w:val="57524F7E"/>
    <w:rsid w:val="57585DE5"/>
    <w:rsid w:val="57625788"/>
    <w:rsid w:val="57633665"/>
    <w:rsid w:val="5765334B"/>
    <w:rsid w:val="57653F19"/>
    <w:rsid w:val="5768049B"/>
    <w:rsid w:val="57682A50"/>
    <w:rsid w:val="576F769C"/>
    <w:rsid w:val="578627F1"/>
    <w:rsid w:val="578735B4"/>
    <w:rsid w:val="57917F17"/>
    <w:rsid w:val="57934711"/>
    <w:rsid w:val="579665DE"/>
    <w:rsid w:val="57A07595"/>
    <w:rsid w:val="57A858DC"/>
    <w:rsid w:val="57A87259"/>
    <w:rsid w:val="57B31183"/>
    <w:rsid w:val="57C304C5"/>
    <w:rsid w:val="57D976BE"/>
    <w:rsid w:val="57E011E6"/>
    <w:rsid w:val="57E72CB5"/>
    <w:rsid w:val="57EB7706"/>
    <w:rsid w:val="57EF1159"/>
    <w:rsid w:val="57EF4CB5"/>
    <w:rsid w:val="57F10A2D"/>
    <w:rsid w:val="57F32392"/>
    <w:rsid w:val="57F44AE8"/>
    <w:rsid w:val="58006EC2"/>
    <w:rsid w:val="581904CC"/>
    <w:rsid w:val="58237BBB"/>
    <w:rsid w:val="58275F36"/>
    <w:rsid w:val="582C415B"/>
    <w:rsid w:val="58346749"/>
    <w:rsid w:val="583A02F5"/>
    <w:rsid w:val="585302EF"/>
    <w:rsid w:val="58AB20DC"/>
    <w:rsid w:val="58CD3C2A"/>
    <w:rsid w:val="58D31E5E"/>
    <w:rsid w:val="58D71890"/>
    <w:rsid w:val="58DB72D7"/>
    <w:rsid w:val="58E81E30"/>
    <w:rsid w:val="58E84AF7"/>
    <w:rsid w:val="58EF1411"/>
    <w:rsid w:val="58F23886"/>
    <w:rsid w:val="59034EBC"/>
    <w:rsid w:val="59091C66"/>
    <w:rsid w:val="59283BDE"/>
    <w:rsid w:val="594966C7"/>
    <w:rsid w:val="59527BF2"/>
    <w:rsid w:val="595732B8"/>
    <w:rsid w:val="595E74F9"/>
    <w:rsid w:val="59AB2E3A"/>
    <w:rsid w:val="59AF3157"/>
    <w:rsid w:val="59C817C4"/>
    <w:rsid w:val="59D40607"/>
    <w:rsid w:val="59E43129"/>
    <w:rsid w:val="59ED3269"/>
    <w:rsid w:val="59EF5441"/>
    <w:rsid w:val="59F36CDF"/>
    <w:rsid w:val="5A1114AC"/>
    <w:rsid w:val="5A244AC9"/>
    <w:rsid w:val="5A2E7499"/>
    <w:rsid w:val="5A2F1F60"/>
    <w:rsid w:val="5A306E57"/>
    <w:rsid w:val="5A3A490E"/>
    <w:rsid w:val="5A4118BA"/>
    <w:rsid w:val="5A466D9B"/>
    <w:rsid w:val="5A4824AC"/>
    <w:rsid w:val="5A5D4DE6"/>
    <w:rsid w:val="5A626FE9"/>
    <w:rsid w:val="5A6A2118"/>
    <w:rsid w:val="5A6F03CD"/>
    <w:rsid w:val="5A7F4FD5"/>
    <w:rsid w:val="5A9D699E"/>
    <w:rsid w:val="5ABD109B"/>
    <w:rsid w:val="5AF4268F"/>
    <w:rsid w:val="5AF63B00"/>
    <w:rsid w:val="5AFB4D33"/>
    <w:rsid w:val="5B1A6BF5"/>
    <w:rsid w:val="5B203499"/>
    <w:rsid w:val="5B3A39F1"/>
    <w:rsid w:val="5B477723"/>
    <w:rsid w:val="5B614D12"/>
    <w:rsid w:val="5B630835"/>
    <w:rsid w:val="5B714189"/>
    <w:rsid w:val="5B756F4B"/>
    <w:rsid w:val="5B791318"/>
    <w:rsid w:val="5B7D2F0C"/>
    <w:rsid w:val="5B97277E"/>
    <w:rsid w:val="5B9C5154"/>
    <w:rsid w:val="5BC87CF7"/>
    <w:rsid w:val="5BDE1878"/>
    <w:rsid w:val="5BEC677B"/>
    <w:rsid w:val="5BF01A8E"/>
    <w:rsid w:val="5C0A7C77"/>
    <w:rsid w:val="5C1644DA"/>
    <w:rsid w:val="5C4C7794"/>
    <w:rsid w:val="5C695461"/>
    <w:rsid w:val="5C73006C"/>
    <w:rsid w:val="5C752009"/>
    <w:rsid w:val="5C754A8B"/>
    <w:rsid w:val="5C7A4DD1"/>
    <w:rsid w:val="5C7B41F9"/>
    <w:rsid w:val="5C95750F"/>
    <w:rsid w:val="5C9826E9"/>
    <w:rsid w:val="5CA23154"/>
    <w:rsid w:val="5CA37ECD"/>
    <w:rsid w:val="5CAA4009"/>
    <w:rsid w:val="5CC11084"/>
    <w:rsid w:val="5CDE4EAE"/>
    <w:rsid w:val="5CFE17E2"/>
    <w:rsid w:val="5D242FA7"/>
    <w:rsid w:val="5D332A48"/>
    <w:rsid w:val="5D505284"/>
    <w:rsid w:val="5D975108"/>
    <w:rsid w:val="5D9953D6"/>
    <w:rsid w:val="5D9B634E"/>
    <w:rsid w:val="5DBA1450"/>
    <w:rsid w:val="5DBA3940"/>
    <w:rsid w:val="5DC340E4"/>
    <w:rsid w:val="5DC92C7B"/>
    <w:rsid w:val="5DCD570F"/>
    <w:rsid w:val="5DD76917"/>
    <w:rsid w:val="5E0628EE"/>
    <w:rsid w:val="5E065B4B"/>
    <w:rsid w:val="5E1A4E23"/>
    <w:rsid w:val="5E2B07F8"/>
    <w:rsid w:val="5E4E6BDA"/>
    <w:rsid w:val="5E525554"/>
    <w:rsid w:val="5E6F08FE"/>
    <w:rsid w:val="5E7746C2"/>
    <w:rsid w:val="5E8062F4"/>
    <w:rsid w:val="5E863277"/>
    <w:rsid w:val="5E8E6FD6"/>
    <w:rsid w:val="5E9D669B"/>
    <w:rsid w:val="5EA7174A"/>
    <w:rsid w:val="5EC2293C"/>
    <w:rsid w:val="5EC450EE"/>
    <w:rsid w:val="5EC61AE3"/>
    <w:rsid w:val="5ED215C7"/>
    <w:rsid w:val="5EEF00C4"/>
    <w:rsid w:val="5F0C4D0E"/>
    <w:rsid w:val="5F427DC1"/>
    <w:rsid w:val="5F4414C3"/>
    <w:rsid w:val="5F4904F3"/>
    <w:rsid w:val="5F692997"/>
    <w:rsid w:val="5F7257B7"/>
    <w:rsid w:val="5F775CBC"/>
    <w:rsid w:val="5F7A63F7"/>
    <w:rsid w:val="5F906A05"/>
    <w:rsid w:val="5F972372"/>
    <w:rsid w:val="5FAB4B88"/>
    <w:rsid w:val="5FD762B2"/>
    <w:rsid w:val="5FDC119B"/>
    <w:rsid w:val="5FDC6467"/>
    <w:rsid w:val="5FE322E8"/>
    <w:rsid w:val="5FEF1CF6"/>
    <w:rsid w:val="5FFC4FFB"/>
    <w:rsid w:val="60004F9C"/>
    <w:rsid w:val="600D3B89"/>
    <w:rsid w:val="600D6620"/>
    <w:rsid w:val="60150878"/>
    <w:rsid w:val="60347DC8"/>
    <w:rsid w:val="60433DF0"/>
    <w:rsid w:val="605E02BC"/>
    <w:rsid w:val="606C7E03"/>
    <w:rsid w:val="607972CC"/>
    <w:rsid w:val="607F50B2"/>
    <w:rsid w:val="60922C6B"/>
    <w:rsid w:val="609F65A9"/>
    <w:rsid w:val="60A87DF2"/>
    <w:rsid w:val="60AE2A12"/>
    <w:rsid w:val="60C56259"/>
    <w:rsid w:val="60C83E4B"/>
    <w:rsid w:val="60EC6236"/>
    <w:rsid w:val="60F135E1"/>
    <w:rsid w:val="6118702B"/>
    <w:rsid w:val="611A2DA3"/>
    <w:rsid w:val="611A5DAC"/>
    <w:rsid w:val="611C05BC"/>
    <w:rsid w:val="611D53BA"/>
    <w:rsid w:val="612260FC"/>
    <w:rsid w:val="612B2D0D"/>
    <w:rsid w:val="61516DED"/>
    <w:rsid w:val="61704A20"/>
    <w:rsid w:val="61711D56"/>
    <w:rsid w:val="617431D0"/>
    <w:rsid w:val="61863652"/>
    <w:rsid w:val="618A7F9E"/>
    <w:rsid w:val="618B114C"/>
    <w:rsid w:val="618F73A6"/>
    <w:rsid w:val="61C749C6"/>
    <w:rsid w:val="61DF4496"/>
    <w:rsid w:val="61EE563C"/>
    <w:rsid w:val="61F209AD"/>
    <w:rsid w:val="621F2794"/>
    <w:rsid w:val="621F3F49"/>
    <w:rsid w:val="623D6D15"/>
    <w:rsid w:val="624A3B5C"/>
    <w:rsid w:val="624C6069"/>
    <w:rsid w:val="627A6465"/>
    <w:rsid w:val="627D4454"/>
    <w:rsid w:val="62900053"/>
    <w:rsid w:val="62930BBC"/>
    <w:rsid w:val="62A20E38"/>
    <w:rsid w:val="62A80882"/>
    <w:rsid w:val="62CA67E9"/>
    <w:rsid w:val="62CB3C3C"/>
    <w:rsid w:val="62D67B4E"/>
    <w:rsid w:val="62DA3ADB"/>
    <w:rsid w:val="62DF589C"/>
    <w:rsid w:val="62EE20BE"/>
    <w:rsid w:val="62F24CFB"/>
    <w:rsid w:val="62FC032E"/>
    <w:rsid w:val="62FD30EB"/>
    <w:rsid w:val="62FF0A27"/>
    <w:rsid w:val="630739CE"/>
    <w:rsid w:val="631B09B9"/>
    <w:rsid w:val="63282B7D"/>
    <w:rsid w:val="63387E58"/>
    <w:rsid w:val="63400ABB"/>
    <w:rsid w:val="634939EC"/>
    <w:rsid w:val="634F4921"/>
    <w:rsid w:val="63554566"/>
    <w:rsid w:val="6358399A"/>
    <w:rsid w:val="635E6838"/>
    <w:rsid w:val="638E7A78"/>
    <w:rsid w:val="639174EB"/>
    <w:rsid w:val="6399115F"/>
    <w:rsid w:val="63AB3290"/>
    <w:rsid w:val="63B92295"/>
    <w:rsid w:val="63C05186"/>
    <w:rsid w:val="63CA6FD5"/>
    <w:rsid w:val="63CD34A6"/>
    <w:rsid w:val="63D01E3F"/>
    <w:rsid w:val="63D20880"/>
    <w:rsid w:val="63D462B5"/>
    <w:rsid w:val="63E545FC"/>
    <w:rsid w:val="63E87188"/>
    <w:rsid w:val="640308ED"/>
    <w:rsid w:val="64074337"/>
    <w:rsid w:val="640A0E71"/>
    <w:rsid w:val="640B24A8"/>
    <w:rsid w:val="640C3090"/>
    <w:rsid w:val="6410048D"/>
    <w:rsid w:val="641E63C8"/>
    <w:rsid w:val="64262125"/>
    <w:rsid w:val="64314DD7"/>
    <w:rsid w:val="64354DE6"/>
    <w:rsid w:val="643C1282"/>
    <w:rsid w:val="64785766"/>
    <w:rsid w:val="64922E75"/>
    <w:rsid w:val="64A4729B"/>
    <w:rsid w:val="64B27960"/>
    <w:rsid w:val="64E16127"/>
    <w:rsid w:val="64F977F3"/>
    <w:rsid w:val="64FD1FCF"/>
    <w:rsid w:val="651B4B76"/>
    <w:rsid w:val="65493C57"/>
    <w:rsid w:val="655134C1"/>
    <w:rsid w:val="655C6080"/>
    <w:rsid w:val="657348A2"/>
    <w:rsid w:val="65746E07"/>
    <w:rsid w:val="65752C9E"/>
    <w:rsid w:val="65770FA0"/>
    <w:rsid w:val="657802B3"/>
    <w:rsid w:val="6579140B"/>
    <w:rsid w:val="65916D0A"/>
    <w:rsid w:val="65984BDE"/>
    <w:rsid w:val="659E5E1D"/>
    <w:rsid w:val="65A018B7"/>
    <w:rsid w:val="65A03AAB"/>
    <w:rsid w:val="65AB4911"/>
    <w:rsid w:val="65C62E92"/>
    <w:rsid w:val="65D86EB4"/>
    <w:rsid w:val="65E147C2"/>
    <w:rsid w:val="65EB20FA"/>
    <w:rsid w:val="65ED6A45"/>
    <w:rsid w:val="65F70A3F"/>
    <w:rsid w:val="65FD2D91"/>
    <w:rsid w:val="65FD7623"/>
    <w:rsid w:val="66173D55"/>
    <w:rsid w:val="662B5A52"/>
    <w:rsid w:val="66381CB5"/>
    <w:rsid w:val="663A2D93"/>
    <w:rsid w:val="663E5786"/>
    <w:rsid w:val="66614719"/>
    <w:rsid w:val="6663741D"/>
    <w:rsid w:val="66680A54"/>
    <w:rsid w:val="667125CF"/>
    <w:rsid w:val="668138C4"/>
    <w:rsid w:val="669E28FB"/>
    <w:rsid w:val="66BE68C6"/>
    <w:rsid w:val="66C32B28"/>
    <w:rsid w:val="66CC2D91"/>
    <w:rsid w:val="66CC3214"/>
    <w:rsid w:val="66D26CEA"/>
    <w:rsid w:val="66D52837"/>
    <w:rsid w:val="66D9765D"/>
    <w:rsid w:val="66DB02DB"/>
    <w:rsid w:val="66DB4BCE"/>
    <w:rsid w:val="66E10E48"/>
    <w:rsid w:val="66EB5A04"/>
    <w:rsid w:val="670B2805"/>
    <w:rsid w:val="6716225F"/>
    <w:rsid w:val="671A28A6"/>
    <w:rsid w:val="671B758E"/>
    <w:rsid w:val="674352E8"/>
    <w:rsid w:val="67494B65"/>
    <w:rsid w:val="674C225D"/>
    <w:rsid w:val="678A1ED0"/>
    <w:rsid w:val="67963B73"/>
    <w:rsid w:val="679F4002"/>
    <w:rsid w:val="67A216F6"/>
    <w:rsid w:val="67A930D3"/>
    <w:rsid w:val="67AD6A9A"/>
    <w:rsid w:val="67B007D0"/>
    <w:rsid w:val="67D55C76"/>
    <w:rsid w:val="67E265E5"/>
    <w:rsid w:val="67EC1211"/>
    <w:rsid w:val="67FD341E"/>
    <w:rsid w:val="68030A35"/>
    <w:rsid w:val="681575CB"/>
    <w:rsid w:val="681C1AF7"/>
    <w:rsid w:val="681D531A"/>
    <w:rsid w:val="681E3061"/>
    <w:rsid w:val="6820305F"/>
    <w:rsid w:val="682279DD"/>
    <w:rsid w:val="6826397D"/>
    <w:rsid w:val="682B4FDE"/>
    <w:rsid w:val="68407D83"/>
    <w:rsid w:val="6843416D"/>
    <w:rsid w:val="68456C28"/>
    <w:rsid w:val="68660FC4"/>
    <w:rsid w:val="68680898"/>
    <w:rsid w:val="6872562A"/>
    <w:rsid w:val="687A15D9"/>
    <w:rsid w:val="687D67F7"/>
    <w:rsid w:val="689214AD"/>
    <w:rsid w:val="68983253"/>
    <w:rsid w:val="68A05687"/>
    <w:rsid w:val="68AE4832"/>
    <w:rsid w:val="68B0230B"/>
    <w:rsid w:val="68B37AC3"/>
    <w:rsid w:val="68C42472"/>
    <w:rsid w:val="68C82286"/>
    <w:rsid w:val="68DD679C"/>
    <w:rsid w:val="68F14C60"/>
    <w:rsid w:val="68FD7BDF"/>
    <w:rsid w:val="690646F3"/>
    <w:rsid w:val="690B5417"/>
    <w:rsid w:val="695858F7"/>
    <w:rsid w:val="69707E16"/>
    <w:rsid w:val="697B4148"/>
    <w:rsid w:val="69813BD7"/>
    <w:rsid w:val="69A22965"/>
    <w:rsid w:val="69B20800"/>
    <w:rsid w:val="69B7603C"/>
    <w:rsid w:val="69F86367"/>
    <w:rsid w:val="6A002D52"/>
    <w:rsid w:val="6A0103C6"/>
    <w:rsid w:val="6A154A4F"/>
    <w:rsid w:val="6A1D1F7E"/>
    <w:rsid w:val="6A2C776A"/>
    <w:rsid w:val="6A3820D9"/>
    <w:rsid w:val="6A474352"/>
    <w:rsid w:val="6A4D43AE"/>
    <w:rsid w:val="6A4F522D"/>
    <w:rsid w:val="6A5B4141"/>
    <w:rsid w:val="6A5F3975"/>
    <w:rsid w:val="6A830D37"/>
    <w:rsid w:val="6A984024"/>
    <w:rsid w:val="6A9D23B0"/>
    <w:rsid w:val="6AA0209B"/>
    <w:rsid w:val="6AA32BCE"/>
    <w:rsid w:val="6AB05BB1"/>
    <w:rsid w:val="6AB220F1"/>
    <w:rsid w:val="6AB66922"/>
    <w:rsid w:val="6AD2420F"/>
    <w:rsid w:val="6AD51B81"/>
    <w:rsid w:val="6ADA7764"/>
    <w:rsid w:val="6AE3243F"/>
    <w:rsid w:val="6AEA1A38"/>
    <w:rsid w:val="6AFD5FCC"/>
    <w:rsid w:val="6B035767"/>
    <w:rsid w:val="6B0716B6"/>
    <w:rsid w:val="6B242C6E"/>
    <w:rsid w:val="6B254DD2"/>
    <w:rsid w:val="6B2623B1"/>
    <w:rsid w:val="6B301997"/>
    <w:rsid w:val="6B3D1532"/>
    <w:rsid w:val="6B7408F7"/>
    <w:rsid w:val="6B7D3DF4"/>
    <w:rsid w:val="6B876E9F"/>
    <w:rsid w:val="6B8A321B"/>
    <w:rsid w:val="6B9305A5"/>
    <w:rsid w:val="6B9D1C73"/>
    <w:rsid w:val="6BA442DD"/>
    <w:rsid w:val="6BB8389F"/>
    <w:rsid w:val="6BB97BFC"/>
    <w:rsid w:val="6BD032A7"/>
    <w:rsid w:val="6BDB63E5"/>
    <w:rsid w:val="6BDB75D3"/>
    <w:rsid w:val="6BE14288"/>
    <w:rsid w:val="6BE3298D"/>
    <w:rsid w:val="6BE41BEC"/>
    <w:rsid w:val="6BE54E3B"/>
    <w:rsid w:val="6BEE32EF"/>
    <w:rsid w:val="6BF94FBE"/>
    <w:rsid w:val="6BFD1896"/>
    <w:rsid w:val="6C2429FA"/>
    <w:rsid w:val="6C3356D1"/>
    <w:rsid w:val="6C3A5050"/>
    <w:rsid w:val="6C6B4DFB"/>
    <w:rsid w:val="6C856E00"/>
    <w:rsid w:val="6CA16104"/>
    <w:rsid w:val="6CC04528"/>
    <w:rsid w:val="6CC14A1B"/>
    <w:rsid w:val="6CCA44CB"/>
    <w:rsid w:val="6CCB38BE"/>
    <w:rsid w:val="6CD21A7E"/>
    <w:rsid w:val="6CD34812"/>
    <w:rsid w:val="6D0C662B"/>
    <w:rsid w:val="6D0E05B7"/>
    <w:rsid w:val="6D147716"/>
    <w:rsid w:val="6D170642"/>
    <w:rsid w:val="6D253652"/>
    <w:rsid w:val="6D266F73"/>
    <w:rsid w:val="6D302AC4"/>
    <w:rsid w:val="6D303FFD"/>
    <w:rsid w:val="6D332DAF"/>
    <w:rsid w:val="6D390A55"/>
    <w:rsid w:val="6D433682"/>
    <w:rsid w:val="6D4E76D7"/>
    <w:rsid w:val="6D65302B"/>
    <w:rsid w:val="6D6F173C"/>
    <w:rsid w:val="6D6F5996"/>
    <w:rsid w:val="6D705871"/>
    <w:rsid w:val="6D75029C"/>
    <w:rsid w:val="6D7C10A5"/>
    <w:rsid w:val="6D82287F"/>
    <w:rsid w:val="6D920165"/>
    <w:rsid w:val="6D9910E3"/>
    <w:rsid w:val="6DD371E1"/>
    <w:rsid w:val="6DD71289"/>
    <w:rsid w:val="6DE76703"/>
    <w:rsid w:val="6E0530BE"/>
    <w:rsid w:val="6E0E1D0C"/>
    <w:rsid w:val="6E0F2DA6"/>
    <w:rsid w:val="6E237BE1"/>
    <w:rsid w:val="6E2A4648"/>
    <w:rsid w:val="6E2D6774"/>
    <w:rsid w:val="6E5151F1"/>
    <w:rsid w:val="6E516DB9"/>
    <w:rsid w:val="6E5212EE"/>
    <w:rsid w:val="6E697D9E"/>
    <w:rsid w:val="6E751472"/>
    <w:rsid w:val="6E775CD9"/>
    <w:rsid w:val="6E8A3955"/>
    <w:rsid w:val="6E907E61"/>
    <w:rsid w:val="6E9817AB"/>
    <w:rsid w:val="6EAF7C1C"/>
    <w:rsid w:val="6EBD089B"/>
    <w:rsid w:val="6EC94F3E"/>
    <w:rsid w:val="6EEB2333"/>
    <w:rsid w:val="6EF941CB"/>
    <w:rsid w:val="6F0F67B1"/>
    <w:rsid w:val="6F3E2402"/>
    <w:rsid w:val="6F3E692E"/>
    <w:rsid w:val="6F5E6670"/>
    <w:rsid w:val="6F8C2429"/>
    <w:rsid w:val="6F9C0AAA"/>
    <w:rsid w:val="6FA24B07"/>
    <w:rsid w:val="6FB42261"/>
    <w:rsid w:val="6FB70357"/>
    <w:rsid w:val="6FC74C70"/>
    <w:rsid w:val="6FD44BED"/>
    <w:rsid w:val="6FD539CF"/>
    <w:rsid w:val="6FD922F4"/>
    <w:rsid w:val="6FD96B45"/>
    <w:rsid w:val="6FE73523"/>
    <w:rsid w:val="6FF51BD6"/>
    <w:rsid w:val="6FF54EA6"/>
    <w:rsid w:val="6FFE73DB"/>
    <w:rsid w:val="700A24C0"/>
    <w:rsid w:val="702A1AD9"/>
    <w:rsid w:val="702F4391"/>
    <w:rsid w:val="703475A8"/>
    <w:rsid w:val="703A2181"/>
    <w:rsid w:val="703B37C9"/>
    <w:rsid w:val="70445CD9"/>
    <w:rsid w:val="706B4A65"/>
    <w:rsid w:val="70723205"/>
    <w:rsid w:val="70781894"/>
    <w:rsid w:val="70792FF0"/>
    <w:rsid w:val="70804CD9"/>
    <w:rsid w:val="70891361"/>
    <w:rsid w:val="70923755"/>
    <w:rsid w:val="709A1E76"/>
    <w:rsid w:val="709F605F"/>
    <w:rsid w:val="70A20297"/>
    <w:rsid w:val="70AB1C6A"/>
    <w:rsid w:val="70B63522"/>
    <w:rsid w:val="70B944C0"/>
    <w:rsid w:val="70BB6D62"/>
    <w:rsid w:val="70D84732"/>
    <w:rsid w:val="70D95592"/>
    <w:rsid w:val="70FC24C5"/>
    <w:rsid w:val="7104137A"/>
    <w:rsid w:val="710540F1"/>
    <w:rsid w:val="71107D1F"/>
    <w:rsid w:val="7131029F"/>
    <w:rsid w:val="713B613A"/>
    <w:rsid w:val="713E2E55"/>
    <w:rsid w:val="71494FDF"/>
    <w:rsid w:val="714E3831"/>
    <w:rsid w:val="71581DE1"/>
    <w:rsid w:val="716E4A51"/>
    <w:rsid w:val="717D5B0E"/>
    <w:rsid w:val="719A575B"/>
    <w:rsid w:val="71A2550E"/>
    <w:rsid w:val="71B02D05"/>
    <w:rsid w:val="71D23226"/>
    <w:rsid w:val="71D4506A"/>
    <w:rsid w:val="71EA31A9"/>
    <w:rsid w:val="71F47878"/>
    <w:rsid w:val="72023D4C"/>
    <w:rsid w:val="72075BD1"/>
    <w:rsid w:val="720C4AB2"/>
    <w:rsid w:val="720E2DEB"/>
    <w:rsid w:val="72104E4E"/>
    <w:rsid w:val="722021F4"/>
    <w:rsid w:val="722F0CC6"/>
    <w:rsid w:val="724A74B9"/>
    <w:rsid w:val="724B6ED9"/>
    <w:rsid w:val="7258299F"/>
    <w:rsid w:val="725B146D"/>
    <w:rsid w:val="725C7D0B"/>
    <w:rsid w:val="726729A1"/>
    <w:rsid w:val="726D5191"/>
    <w:rsid w:val="727F5FFA"/>
    <w:rsid w:val="72884CA8"/>
    <w:rsid w:val="728B0007"/>
    <w:rsid w:val="729971A7"/>
    <w:rsid w:val="72A22664"/>
    <w:rsid w:val="72A762DD"/>
    <w:rsid w:val="72AF43B7"/>
    <w:rsid w:val="72B30EFF"/>
    <w:rsid w:val="72B94405"/>
    <w:rsid w:val="72C66D21"/>
    <w:rsid w:val="72C9287B"/>
    <w:rsid w:val="72CF0F43"/>
    <w:rsid w:val="72D05D55"/>
    <w:rsid w:val="72E6342D"/>
    <w:rsid w:val="72EC453B"/>
    <w:rsid w:val="72EC5D52"/>
    <w:rsid w:val="72F62D5E"/>
    <w:rsid w:val="73160B2F"/>
    <w:rsid w:val="732218DF"/>
    <w:rsid w:val="732769FB"/>
    <w:rsid w:val="734D3D92"/>
    <w:rsid w:val="7362750D"/>
    <w:rsid w:val="736600CA"/>
    <w:rsid w:val="736903D7"/>
    <w:rsid w:val="737C44A1"/>
    <w:rsid w:val="738C4793"/>
    <w:rsid w:val="73A62F3F"/>
    <w:rsid w:val="73E21E46"/>
    <w:rsid w:val="73F326A7"/>
    <w:rsid w:val="73FC27DC"/>
    <w:rsid w:val="7417027D"/>
    <w:rsid w:val="7425237F"/>
    <w:rsid w:val="74381B08"/>
    <w:rsid w:val="744533A3"/>
    <w:rsid w:val="74456BAD"/>
    <w:rsid w:val="74666D53"/>
    <w:rsid w:val="74736766"/>
    <w:rsid w:val="74793E2D"/>
    <w:rsid w:val="74A900F4"/>
    <w:rsid w:val="74B66E2F"/>
    <w:rsid w:val="74D7308A"/>
    <w:rsid w:val="74E04CC2"/>
    <w:rsid w:val="74F74A15"/>
    <w:rsid w:val="74FF415D"/>
    <w:rsid w:val="75193573"/>
    <w:rsid w:val="75195BFE"/>
    <w:rsid w:val="751A11CC"/>
    <w:rsid w:val="751B3DD6"/>
    <w:rsid w:val="7520725B"/>
    <w:rsid w:val="75223045"/>
    <w:rsid w:val="754E350B"/>
    <w:rsid w:val="75563063"/>
    <w:rsid w:val="758346FC"/>
    <w:rsid w:val="758A6B34"/>
    <w:rsid w:val="759141A6"/>
    <w:rsid w:val="75966B59"/>
    <w:rsid w:val="75A13898"/>
    <w:rsid w:val="75BB3724"/>
    <w:rsid w:val="75C75406"/>
    <w:rsid w:val="75E152FF"/>
    <w:rsid w:val="75F05AFC"/>
    <w:rsid w:val="760130DD"/>
    <w:rsid w:val="761802F4"/>
    <w:rsid w:val="762B1F05"/>
    <w:rsid w:val="763C65CB"/>
    <w:rsid w:val="764C7A4B"/>
    <w:rsid w:val="765C68D8"/>
    <w:rsid w:val="76662182"/>
    <w:rsid w:val="76662A4E"/>
    <w:rsid w:val="767F2064"/>
    <w:rsid w:val="768D1A93"/>
    <w:rsid w:val="769A592B"/>
    <w:rsid w:val="769C24EA"/>
    <w:rsid w:val="76A51B79"/>
    <w:rsid w:val="76AD7DBE"/>
    <w:rsid w:val="76B94DC6"/>
    <w:rsid w:val="76FA1495"/>
    <w:rsid w:val="771C457F"/>
    <w:rsid w:val="771F6F0D"/>
    <w:rsid w:val="77264CCB"/>
    <w:rsid w:val="77297CED"/>
    <w:rsid w:val="773756BD"/>
    <w:rsid w:val="77471FC0"/>
    <w:rsid w:val="77562203"/>
    <w:rsid w:val="775F731C"/>
    <w:rsid w:val="7782124A"/>
    <w:rsid w:val="778B6351"/>
    <w:rsid w:val="778C2845"/>
    <w:rsid w:val="77964236"/>
    <w:rsid w:val="77A97983"/>
    <w:rsid w:val="77B70A23"/>
    <w:rsid w:val="77B877D6"/>
    <w:rsid w:val="77C11D73"/>
    <w:rsid w:val="77C20A65"/>
    <w:rsid w:val="77C424E9"/>
    <w:rsid w:val="77C77CB0"/>
    <w:rsid w:val="780A5EC9"/>
    <w:rsid w:val="78400E45"/>
    <w:rsid w:val="784E7D76"/>
    <w:rsid w:val="785901FD"/>
    <w:rsid w:val="786E07E1"/>
    <w:rsid w:val="78850C0D"/>
    <w:rsid w:val="78C828D6"/>
    <w:rsid w:val="78F13288"/>
    <w:rsid w:val="78F96305"/>
    <w:rsid w:val="790512C5"/>
    <w:rsid w:val="79064DEB"/>
    <w:rsid w:val="791C5275"/>
    <w:rsid w:val="793842B6"/>
    <w:rsid w:val="793E6D8C"/>
    <w:rsid w:val="79480188"/>
    <w:rsid w:val="794E6D89"/>
    <w:rsid w:val="795B5F11"/>
    <w:rsid w:val="79832F2D"/>
    <w:rsid w:val="799426C4"/>
    <w:rsid w:val="79984D55"/>
    <w:rsid w:val="799D3D5D"/>
    <w:rsid w:val="79A350C4"/>
    <w:rsid w:val="79B41F80"/>
    <w:rsid w:val="79BC3F7B"/>
    <w:rsid w:val="79C0526C"/>
    <w:rsid w:val="79CC1747"/>
    <w:rsid w:val="79D044EF"/>
    <w:rsid w:val="79E421DC"/>
    <w:rsid w:val="79E55C8B"/>
    <w:rsid w:val="79F9757E"/>
    <w:rsid w:val="79FE6852"/>
    <w:rsid w:val="79FF4DD4"/>
    <w:rsid w:val="7A2C5A4B"/>
    <w:rsid w:val="7A32769F"/>
    <w:rsid w:val="7A3970F8"/>
    <w:rsid w:val="7A8A43E0"/>
    <w:rsid w:val="7A8A52D6"/>
    <w:rsid w:val="7A8C07B1"/>
    <w:rsid w:val="7A903C7E"/>
    <w:rsid w:val="7A980522"/>
    <w:rsid w:val="7AA5597C"/>
    <w:rsid w:val="7AA603AE"/>
    <w:rsid w:val="7AB7341F"/>
    <w:rsid w:val="7ABB2379"/>
    <w:rsid w:val="7ACB06FD"/>
    <w:rsid w:val="7ADB3CB3"/>
    <w:rsid w:val="7AF037DB"/>
    <w:rsid w:val="7AF4420D"/>
    <w:rsid w:val="7AF949CB"/>
    <w:rsid w:val="7B024EC1"/>
    <w:rsid w:val="7B111C9F"/>
    <w:rsid w:val="7B1233E9"/>
    <w:rsid w:val="7B2A5D27"/>
    <w:rsid w:val="7B2E0DB1"/>
    <w:rsid w:val="7B471DB3"/>
    <w:rsid w:val="7B4E6DB6"/>
    <w:rsid w:val="7B543C25"/>
    <w:rsid w:val="7B5C16B7"/>
    <w:rsid w:val="7B65708C"/>
    <w:rsid w:val="7B7402BF"/>
    <w:rsid w:val="7B7610C6"/>
    <w:rsid w:val="7B892BA7"/>
    <w:rsid w:val="7B8B3166"/>
    <w:rsid w:val="7B8C6B3B"/>
    <w:rsid w:val="7BA43E85"/>
    <w:rsid w:val="7BC6602C"/>
    <w:rsid w:val="7BC8597A"/>
    <w:rsid w:val="7BE50FBA"/>
    <w:rsid w:val="7C081602"/>
    <w:rsid w:val="7C0C4ED7"/>
    <w:rsid w:val="7C3B32FB"/>
    <w:rsid w:val="7C3D5D04"/>
    <w:rsid w:val="7C4B5D49"/>
    <w:rsid w:val="7C4E723E"/>
    <w:rsid w:val="7C506726"/>
    <w:rsid w:val="7C581420"/>
    <w:rsid w:val="7C64240E"/>
    <w:rsid w:val="7C7E46D6"/>
    <w:rsid w:val="7C817D22"/>
    <w:rsid w:val="7C827AED"/>
    <w:rsid w:val="7CA50320"/>
    <w:rsid w:val="7CCF1B4F"/>
    <w:rsid w:val="7CD45CD6"/>
    <w:rsid w:val="7CE1362D"/>
    <w:rsid w:val="7CE7757B"/>
    <w:rsid w:val="7CED7166"/>
    <w:rsid w:val="7CF51870"/>
    <w:rsid w:val="7CF9689B"/>
    <w:rsid w:val="7D03629F"/>
    <w:rsid w:val="7D096956"/>
    <w:rsid w:val="7D146922"/>
    <w:rsid w:val="7D342FE7"/>
    <w:rsid w:val="7D406CE3"/>
    <w:rsid w:val="7D4B1C96"/>
    <w:rsid w:val="7D661F43"/>
    <w:rsid w:val="7D7358BD"/>
    <w:rsid w:val="7D7938E4"/>
    <w:rsid w:val="7D913CF7"/>
    <w:rsid w:val="7D917194"/>
    <w:rsid w:val="7DA460BA"/>
    <w:rsid w:val="7DB86A6E"/>
    <w:rsid w:val="7DC260D5"/>
    <w:rsid w:val="7DCC79A9"/>
    <w:rsid w:val="7DD079E3"/>
    <w:rsid w:val="7DF862CC"/>
    <w:rsid w:val="7E027DFF"/>
    <w:rsid w:val="7E066273"/>
    <w:rsid w:val="7E10135E"/>
    <w:rsid w:val="7E1150D6"/>
    <w:rsid w:val="7E2E35BA"/>
    <w:rsid w:val="7E3374B4"/>
    <w:rsid w:val="7E54771D"/>
    <w:rsid w:val="7E7328F8"/>
    <w:rsid w:val="7E8A7362"/>
    <w:rsid w:val="7E903915"/>
    <w:rsid w:val="7EA72D5D"/>
    <w:rsid w:val="7EAF3506"/>
    <w:rsid w:val="7EF17889"/>
    <w:rsid w:val="7EF737B0"/>
    <w:rsid w:val="7F0E6393"/>
    <w:rsid w:val="7F111831"/>
    <w:rsid w:val="7F1E79D9"/>
    <w:rsid w:val="7F2F69BE"/>
    <w:rsid w:val="7F3C4F87"/>
    <w:rsid w:val="7F40669F"/>
    <w:rsid w:val="7F424249"/>
    <w:rsid w:val="7F4440CE"/>
    <w:rsid w:val="7F480AAC"/>
    <w:rsid w:val="7F967F89"/>
    <w:rsid w:val="7FA75CF2"/>
    <w:rsid w:val="7FB64187"/>
    <w:rsid w:val="7FCA1B0E"/>
    <w:rsid w:val="7FD30301"/>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1"/>
    <w:autoRedefine/>
    <w:qFormat/>
    <w:uiPriority w:val="0"/>
    <w:pPr>
      <w:jc w:val="left"/>
    </w:pPr>
  </w:style>
  <w:style w:type="paragraph" w:styleId="3">
    <w:name w:val="Balloon Text"/>
    <w:basedOn w:val="1"/>
    <w:link w:val="13"/>
    <w:autoRedefine/>
    <w:qFormat/>
    <w:uiPriority w:val="0"/>
    <w:rPr>
      <w:sz w:val="18"/>
      <w:szCs w:val="18"/>
    </w:rPr>
  </w:style>
  <w:style w:type="paragraph" w:styleId="4">
    <w:name w:val="annotation subject"/>
    <w:basedOn w:val="2"/>
    <w:next w:val="2"/>
    <w:link w:val="12"/>
    <w:autoRedefine/>
    <w:qFormat/>
    <w:uiPriority w:val="0"/>
    <w:rPr>
      <w:b/>
      <w:bCs/>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mphasis"/>
    <w:basedOn w:val="7"/>
    <w:autoRedefine/>
    <w:qFormat/>
    <w:uiPriority w:val="20"/>
    <w:rPr>
      <w:i/>
      <w:iCs/>
    </w:rPr>
  </w:style>
  <w:style w:type="character" w:styleId="9">
    <w:name w:val="annotation reference"/>
    <w:basedOn w:val="7"/>
    <w:autoRedefine/>
    <w:qFormat/>
    <w:uiPriority w:val="0"/>
    <w:rPr>
      <w:sz w:val="21"/>
      <w:szCs w:val="21"/>
    </w:rPr>
  </w:style>
  <w:style w:type="paragraph" w:customStyle="1" w:styleId="10">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1">
    <w:name w:val="批注文字 字符"/>
    <w:basedOn w:val="7"/>
    <w:link w:val="2"/>
    <w:autoRedefine/>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4"/>
    <w:autoRedefine/>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2994</Words>
  <Characters>3429</Characters>
  <Lines>9</Lines>
  <Paragraphs>2</Paragraphs>
  <TotalTime>0</TotalTime>
  <ScaleCrop>false</ScaleCrop>
  <LinksUpToDate>false</LinksUpToDate>
  <CharactersWithSpaces>3480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2020-08-13T01:01:00Z</dcterms:created>
  <dc:creator>dell</dc:creator>
  <cp:lastModifiedBy>太阳当空赵</cp:lastModifiedBy>
  <cp:lastPrinted>2021-09-04T01:15:00Z</cp:lastPrinted>
  <dcterms:modified xsi:type="dcterms:W3CDTF">2026-05-24T09:09:44Z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4533A5E920034B7DACB7BAFF19AFB56D</vt:lpwstr>
  </property>
  <property fmtid="{D5CDD505-2E9C-101B-9397-08002B2CF9AE}" pid="4" name="KSOTemplateDocerSaveRecord">
    <vt:lpwstr>eyJoZGlkIjoiMTkxM2NkM2UxMDBjNDFlMzg2YjVkOTMyYmQ0MDA1NmIiLCJ1c2VySWQiOiIzODkzNTgwMDQifQ==</vt:lpwstr>
  </property>
</Properties>
</file>